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阳光人寿[2010]疾病保险 040 号</w:t>
      </w:r>
    </w:p>
    <w:p>
      <w:pPr>
        <w:pStyle w:val="BodyText"/>
        <w:ind w:left="77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910"/>
      </w:pPr>
      <w:r>
        <w:rPr/>
        <w:t>阳光人寿保险股份有限公司</w:t>
      </w:r>
    </w:p>
    <w:p>
      <w:pPr>
        <w:pStyle w:val="BodyText"/>
        <w:spacing w:line="263" w:lineRule="exact"/>
        <w:ind w:left="453"/>
      </w:pPr>
      <w:r>
        <w:rPr/>
        <w:br w:type="column"/>
      </w:r>
      <w:r>
        <w:rPr/>
        <w:t>请扫描以查询验证条款</w:t>
      </w:r>
    </w:p>
    <w:p>
      <w:pPr>
        <w:spacing w:after="0" w:line="263" w:lineRule="exact"/>
        <w:sectPr>
          <w:type w:val="continuous"/>
          <w:pgSz w:w="11910" w:h="16840"/>
          <w:pgMar w:top="1080" w:bottom="280" w:left="1120" w:right="900"/>
          <w:cols w:num="2" w:equalWidth="0">
            <w:col w:w="6753" w:space="40"/>
            <w:col w:w="3097"/>
          </w:cols>
        </w:sectPr>
      </w:pPr>
    </w:p>
    <w:p>
      <w:pPr>
        <w:pStyle w:val="BodyText"/>
        <w:spacing w:before="3"/>
        <w:rPr>
          <w:sz w:val="27"/>
        </w:rPr>
      </w:pPr>
    </w:p>
    <w:p>
      <w:pPr>
        <w:pStyle w:val="Heading1"/>
        <w:spacing w:line="505" w:lineRule="exact"/>
        <w:ind w:left="1983"/>
      </w:pPr>
      <w:r>
        <w:rPr/>
        <w:t>阳光人寿附加万能重大疾病保险 B 款条款</w:t>
      </w:r>
    </w:p>
    <w:p>
      <w:pPr>
        <w:pStyle w:val="BodyText"/>
        <w:spacing w:before="5"/>
        <w:rPr>
          <w:rFonts w:ascii="微软雅黑"/>
          <w:b/>
          <w:sz w:val="24"/>
        </w:rPr>
      </w:pPr>
    </w:p>
    <w:p>
      <w:pPr>
        <w:pStyle w:val="BodyText"/>
        <w:ind w:left="3155"/>
      </w:pPr>
      <w:r>
        <w:rPr/>
        <w:t>(2010 年 12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1524"/>
        <w:jc w:val="center"/>
      </w:pPr>
      <w:r>
        <w:rPr/>
        <w:t>阅  读  指 引</w:t>
      </w:r>
    </w:p>
    <w:p>
      <w:pPr>
        <w:pStyle w:val="BodyText"/>
        <w:spacing w:before="5"/>
        <w:rPr>
          <w:rFonts w:ascii="微软雅黑"/>
          <w:b/>
          <w:sz w:val="28"/>
        </w:rPr>
      </w:pPr>
    </w:p>
    <w:p>
      <w:pPr>
        <w:pStyle w:val="BodyText"/>
        <w:spacing w:line="261" w:lineRule="auto" w:before="1"/>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spacing w:before="0"/>
        <w:ind w:left="1047" w:right="1524" w:firstLine="0"/>
        <w:jc w:val="center"/>
        <w:rPr>
          <w:b/>
          <w:sz w:val="21"/>
        </w:rPr>
      </w:pPr>
      <w:r>
        <w:rPr>
          <w:b/>
          <w:sz w:val="21"/>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7.1</w:t>
      </w:r>
    </w:p>
    <w:p>
      <w:pPr>
        <w:spacing w:before="661"/>
        <w:ind w:left="1021" w:right="1524" w:firstLine="0"/>
        <w:jc w:val="center"/>
        <w:rPr>
          <w:b/>
          <w:sz w:val="21"/>
        </w:rPr>
      </w:pPr>
      <w:r>
        <w:rPr>
          <w:b/>
          <w:sz w:val="21"/>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2"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2.5</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障</w:t>
      </w:r>
      <w:r>
        <w:rPr/>
        <w:t>成本</w:t>
      </w:r>
      <w:r>
        <w:rPr>
          <w:spacing w:val="-3"/>
        </w:rPr>
        <w:t>的</w:t>
      </w:r>
      <w:r>
        <w:rPr/>
        <w:t>权利</w:t>
        <w:tab/>
        <w:t>5.2</w:t>
      </w:r>
    </w:p>
    <w:p>
      <w:pPr>
        <w:pStyle w:val="BodyText"/>
        <w:tabs>
          <w:tab w:pos="9032"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032"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146"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pStyle w:val="Heading1"/>
        <w:spacing w:before="110"/>
        <w:ind w:left="4356" w:right="4594"/>
        <w:jc w:val="center"/>
      </w:pPr>
      <w:r>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489"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保障成本的收取</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308" w:hRule="atLeast"/>
        </w:trPr>
        <w:tc>
          <w:tcPr>
            <w:tcW w:w="3138" w:type="dxa"/>
            <w:tcBorders>
              <w:right w:val="single" w:sz="2" w:space="0" w:color="000000"/>
            </w:tcBorders>
          </w:tcPr>
          <w:p>
            <w:pPr>
              <w:pStyle w:val="TableParagraph"/>
              <w:spacing w:line="243" w:lineRule="exact"/>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line="243" w:lineRule="exact"/>
              <w:ind w:left="316"/>
              <w:rPr>
                <w:sz w:val="21"/>
              </w:rPr>
            </w:pPr>
            <w:r>
              <w:rPr>
                <w:sz w:val="21"/>
              </w:rPr>
              <w:t>5.1 保障成本的收取</w:t>
            </w:r>
          </w:p>
        </w:tc>
        <w:tc>
          <w:tcPr>
            <w:tcW w:w="3145" w:type="dxa"/>
            <w:tcBorders>
              <w:left w:val="single" w:sz="2" w:space="0" w:color="000000"/>
            </w:tcBorders>
          </w:tcPr>
          <w:p>
            <w:pPr>
              <w:pStyle w:val="TableParagraph"/>
              <w:spacing w:line="243" w:lineRule="exact"/>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保障成本的调整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宽限期</w:t>
            </w: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保险期间</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保险金额</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基本保险金额的变更</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毒品</w:t>
            </w:r>
          </w:p>
        </w:tc>
      </w:tr>
      <w:tr>
        <w:trPr>
          <w:trHeight w:val="339" w:hRule="atLeast"/>
        </w:trPr>
        <w:tc>
          <w:tcPr>
            <w:tcW w:w="3138" w:type="dxa"/>
            <w:tcBorders>
              <w:right w:val="single" w:sz="2" w:space="0" w:color="000000"/>
            </w:tcBorders>
          </w:tcPr>
          <w:p>
            <w:pPr>
              <w:pStyle w:val="TableParagraph"/>
              <w:ind w:left="411"/>
              <w:rPr>
                <w:sz w:val="21"/>
              </w:rPr>
            </w:pPr>
            <w:r>
              <w:rPr>
                <w:sz w:val="21"/>
              </w:rPr>
              <w:t>2.5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right="197"/>
              <w:jc w:val="right"/>
              <w:rPr>
                <w:sz w:val="21"/>
              </w:rPr>
            </w:pPr>
            <w:r>
              <w:rPr>
                <w:sz w:val="21"/>
              </w:rPr>
              <w:t>10.5 患艾滋病或感染艾滋病</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病毒</w:t>
            </w:r>
          </w:p>
        </w:tc>
      </w:tr>
      <w:tr>
        <w:trPr>
          <w:trHeight w:val="326"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10.6 遗传性疾病</w:t>
            </w:r>
          </w:p>
        </w:tc>
      </w:tr>
      <w:tr>
        <w:trPr>
          <w:trHeight w:val="325" w:hRule="atLeast"/>
        </w:trPr>
        <w:tc>
          <w:tcPr>
            <w:tcW w:w="3138" w:type="dxa"/>
            <w:tcBorders>
              <w:right w:val="single" w:sz="2" w:space="0" w:color="000000"/>
            </w:tcBorders>
          </w:tcPr>
          <w:p>
            <w:pPr>
              <w:pStyle w:val="TableParagraph"/>
              <w:spacing w:line="261"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61" w:lineRule="exact"/>
              <w:ind w:left="105"/>
              <w:rPr>
                <w:b/>
                <w:sz w:val="21"/>
              </w:rPr>
            </w:pPr>
            <w:r>
              <w:rPr>
                <w:b/>
                <w:sz w:val="21"/>
              </w:rPr>
              <w:t>7 合同解除</w:t>
            </w:r>
          </w:p>
        </w:tc>
        <w:tc>
          <w:tcPr>
            <w:tcW w:w="3145" w:type="dxa"/>
            <w:tcBorders>
              <w:left w:val="single" w:sz="2" w:space="0" w:color="000000"/>
            </w:tcBorders>
          </w:tcPr>
          <w:p>
            <w:pPr>
              <w:pStyle w:val="TableParagraph"/>
              <w:spacing w:line="261" w:lineRule="exact"/>
              <w:ind w:right="197"/>
              <w:jc w:val="right"/>
              <w:rPr>
                <w:sz w:val="21"/>
              </w:rPr>
            </w:pPr>
            <w:r>
              <w:rPr>
                <w:sz w:val="21"/>
              </w:rPr>
              <w:t>10.7 先天性畸形、变形或染</w:t>
            </w:r>
          </w:p>
        </w:tc>
      </w:tr>
      <w:tr>
        <w:trPr>
          <w:trHeight w:val="339" w:hRule="atLeast"/>
        </w:trPr>
        <w:tc>
          <w:tcPr>
            <w:tcW w:w="3138" w:type="dxa"/>
            <w:tcBorders>
              <w:right w:val="single" w:sz="2" w:space="0" w:color="000000"/>
            </w:tcBorders>
          </w:tcPr>
          <w:p>
            <w:pPr>
              <w:pStyle w:val="TableParagraph"/>
              <w:ind w:left="411"/>
              <w:rPr>
                <w:sz w:val="21"/>
              </w:rPr>
            </w:pPr>
            <w:r>
              <w:rPr>
                <w:sz w:val="21"/>
              </w:rPr>
              <w:t>3.1 轻症重疾的范围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849"/>
              <w:rPr>
                <w:sz w:val="21"/>
              </w:rPr>
            </w:pPr>
            <w:r>
              <w:rPr>
                <w:sz w:val="21"/>
              </w:rPr>
              <w:t>色体异常</w:t>
            </w:r>
          </w:p>
        </w:tc>
      </w:tr>
      <w:tr>
        <w:trPr>
          <w:trHeight w:val="341" w:hRule="atLeast"/>
        </w:trPr>
        <w:tc>
          <w:tcPr>
            <w:tcW w:w="3138" w:type="dxa"/>
            <w:tcBorders>
              <w:right w:val="single" w:sz="2" w:space="0" w:color="000000"/>
            </w:tcBorders>
          </w:tcPr>
          <w:p>
            <w:pPr>
              <w:pStyle w:val="TableParagraph"/>
              <w:spacing w:before="1"/>
              <w:ind w:left="411"/>
              <w:rPr>
                <w:sz w:val="21"/>
              </w:rPr>
            </w:pPr>
            <w:r>
              <w:rPr>
                <w:sz w:val="21"/>
              </w:rPr>
              <w:t>3.2 轻症重疾的定义</w:t>
            </w:r>
          </w:p>
        </w:tc>
        <w:tc>
          <w:tcPr>
            <w:tcW w:w="3769" w:type="dxa"/>
            <w:tcBorders>
              <w:left w:val="single" w:sz="2" w:space="0" w:color="000000"/>
              <w:right w:val="single" w:sz="2" w:space="0" w:color="000000"/>
            </w:tcBorders>
          </w:tcPr>
          <w:p>
            <w:pPr>
              <w:pStyle w:val="TableParagraph"/>
              <w:spacing w:before="1"/>
              <w:ind w:left="727"/>
              <w:rPr>
                <w:sz w:val="21"/>
              </w:rPr>
            </w:pPr>
            <w:r>
              <w:rPr>
                <w:sz w:val="21"/>
              </w:rPr>
              <w:t>手续及风险</w:t>
            </w:r>
          </w:p>
        </w:tc>
        <w:tc>
          <w:tcPr>
            <w:tcW w:w="3145" w:type="dxa"/>
            <w:tcBorders>
              <w:left w:val="single" w:sz="2" w:space="0" w:color="000000"/>
            </w:tcBorders>
          </w:tcPr>
          <w:p>
            <w:pPr>
              <w:pStyle w:val="TableParagraph"/>
              <w:spacing w:before="1"/>
              <w:ind w:right="197"/>
              <w:jc w:val="right"/>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3.3 重大疾病的范围</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肢体机能完全丧失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3.4 重大疾病的定义</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10.10 语言能力或咀嚼吞咽</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spacing w:before="1"/>
              <w:ind w:left="952"/>
              <w:rPr>
                <w:sz w:val="21"/>
              </w:rPr>
            </w:pPr>
            <w:r>
              <w:rPr>
                <w:sz w:val="21"/>
              </w:rPr>
              <w:t>能力完全丧失</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spacing w:before="1"/>
              <w:ind w:left="316"/>
              <w:rPr>
                <w:sz w:val="21"/>
              </w:rPr>
            </w:pPr>
            <w:r>
              <w:rPr>
                <w:sz w:val="21"/>
              </w:rPr>
              <w:t>10.11 永久不可逆</w:t>
            </w: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ind w:left="316"/>
              <w:rPr>
                <w:sz w:val="21"/>
              </w:rPr>
            </w:pPr>
            <w:r>
              <w:rPr>
                <w:sz w:val="21"/>
              </w:rPr>
              <w:t>10.12 危险保额</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105"/>
              <w:rPr>
                <w:b/>
                <w:sz w:val="21"/>
              </w:rPr>
            </w:pPr>
            <w:r>
              <w:rPr>
                <w:b/>
                <w:sz w:val="21"/>
              </w:rPr>
              <w:t>附表：年保障成本表</w:t>
            </w:r>
          </w:p>
        </w:tc>
      </w:tr>
    </w:tbl>
    <w:p>
      <w:pPr>
        <w:spacing w:after="0"/>
        <w:rPr>
          <w:sz w:val="21"/>
        </w:rPr>
        <w:sectPr>
          <w:pgSz w:w="11910" w:h="16840"/>
          <w:pgMar w:top="1580" w:bottom="280" w:left="820" w:right="820"/>
        </w:sectPr>
      </w:pPr>
    </w:p>
    <w:p>
      <w:pPr>
        <w:pStyle w:val="BodyText"/>
        <w:spacing w:before="1"/>
        <w:rPr>
          <w:rFonts w:ascii="微软雅黑"/>
          <w:b/>
          <w:sz w:val="22"/>
        </w:rPr>
      </w:pPr>
    </w:p>
    <w:p>
      <w:pPr>
        <w:pStyle w:val="Heading1"/>
        <w:spacing w:before="1"/>
        <w:ind w:left="1504"/>
        <w:rPr>
          <w:rFonts w:ascii="黑体" w:eastAsia="黑体" w:hint="eastAsia"/>
        </w:rPr>
      </w:pPr>
      <w:r>
        <w:rPr>
          <w:rFonts w:ascii="黑体" w:eastAsia="黑体" w:hint="eastAsia"/>
        </w:rPr>
        <w:t>阳光人寿附加万能重大疾病保险 B 款条款</w:t>
      </w:r>
    </w:p>
    <w:p>
      <w:pPr>
        <w:pStyle w:val="BodyText"/>
        <w:spacing w:before="9"/>
        <w:rPr>
          <w:rFonts w:ascii="黑体"/>
          <w:b/>
          <w:sz w:val="34"/>
        </w:rPr>
      </w:pPr>
    </w:p>
    <w:p>
      <w:pPr>
        <w:pStyle w:val="BodyText"/>
        <w:spacing w:line="273" w:lineRule="auto"/>
        <w:ind w:left="220" w:right="151"/>
      </w:pPr>
      <w:r>
        <w:rPr>
          <w:w w:val="100"/>
        </w:rPr>
        <w:t>在本条款中，“您”指投保人，“我们”、“本公司”均指阳光人寿保险股份有限公司，“本附加合同”指</w:t>
      </w:r>
      <w:r>
        <w:rPr/>
        <w:t>您与我们之间订立的“阳光人寿附加万能重大疾病保险 B 款合同”。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371"/>
        <w:gridCol w:w="7920"/>
      </w:tblGrid>
      <w:tr>
        <w:trPr>
          <w:trHeight w:val="451" w:hRule="atLeast"/>
        </w:trPr>
        <w:tc>
          <w:tcPr>
            <w:tcW w:w="795" w:type="dxa"/>
            <w:tcBorders>
              <w:bottom w:val="double" w:sz="1" w:space="0" w:color="000000"/>
            </w:tcBorders>
          </w:tcPr>
          <w:p>
            <w:pPr>
              <w:pStyle w:val="TableParagraph"/>
              <w:spacing w:line="281" w:lineRule="exact"/>
              <w:ind w:left="107"/>
              <w:rPr>
                <w:b/>
                <w:sz w:val="28"/>
              </w:rPr>
            </w:pPr>
            <w:r>
              <w:rPr>
                <w:b/>
                <w:w w:val="99"/>
                <w:sz w:val="28"/>
              </w:rPr>
              <w:t>1</w:t>
            </w:r>
          </w:p>
        </w:tc>
        <w:tc>
          <w:tcPr>
            <w:tcW w:w="9291" w:type="dxa"/>
            <w:gridSpan w:val="2"/>
            <w:tcBorders>
              <w:bottom w:val="double" w:sz="1" w:space="0" w:color="000000"/>
            </w:tcBorders>
          </w:tcPr>
          <w:p>
            <w:pPr>
              <w:pStyle w:val="TableParagraph"/>
              <w:spacing w:line="281" w:lineRule="exact"/>
              <w:ind w:left="369"/>
              <w:rPr>
                <w:b/>
                <w:sz w:val="28"/>
              </w:rPr>
            </w:pPr>
            <w:r>
              <w:rPr>
                <w:b/>
                <w:w w:val="95"/>
                <w:sz w:val="28"/>
              </w:rPr>
              <w:t>您与我们订立的合同</w:t>
            </w:r>
          </w:p>
        </w:tc>
      </w:tr>
      <w:tr>
        <w:trPr>
          <w:trHeight w:val="935" w:hRule="atLeast"/>
        </w:trPr>
        <w:tc>
          <w:tcPr>
            <w:tcW w:w="795"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371" w:type="dxa"/>
            <w:tcBorders>
              <w:top w:val="double" w:sz="1" w:space="0" w:color="000000"/>
            </w:tcBorders>
          </w:tcPr>
          <w:p>
            <w:pPr>
              <w:pStyle w:val="TableParagraph"/>
              <w:rPr>
                <w:sz w:val="14"/>
              </w:rPr>
            </w:pPr>
          </w:p>
          <w:p>
            <w:pPr>
              <w:pStyle w:val="TableParagraph"/>
              <w:ind w:left="369"/>
              <w:rPr>
                <w:b/>
                <w:sz w:val="21"/>
              </w:rPr>
            </w:pPr>
            <w:r>
              <w:rPr>
                <w:b/>
                <w:sz w:val="21"/>
              </w:rPr>
              <w:t>合同订立</w:t>
            </w:r>
          </w:p>
        </w:tc>
        <w:tc>
          <w:tcPr>
            <w:tcW w:w="7920" w:type="dxa"/>
            <w:tcBorders>
              <w:top w:val="double" w:sz="1" w:space="0" w:color="000000"/>
            </w:tcBorders>
          </w:tcPr>
          <w:p>
            <w:pPr>
              <w:pStyle w:val="TableParagraph"/>
              <w:rPr>
                <w:sz w:val="14"/>
              </w:rPr>
            </w:pPr>
          </w:p>
          <w:p>
            <w:pPr>
              <w:pStyle w:val="TableParagraph"/>
              <w:spacing w:line="273" w:lineRule="auto"/>
              <w:ind w:left="155" w:right="193"/>
              <w:rPr>
                <w:sz w:val="21"/>
              </w:rPr>
            </w:pPr>
            <w:r>
              <w:rPr>
                <w:sz w:val="21"/>
              </w:rPr>
              <w:t>本附加合同由主合同投保人提出申请，经我们同意而订立。本附加合同须附加于主合同后始为有效。</w:t>
            </w:r>
          </w:p>
        </w:tc>
      </w:tr>
      <w:tr>
        <w:trPr>
          <w:trHeight w:val="1472" w:hRule="atLeast"/>
        </w:trPr>
        <w:tc>
          <w:tcPr>
            <w:tcW w:w="795" w:type="dxa"/>
          </w:tcPr>
          <w:p>
            <w:pPr>
              <w:pStyle w:val="TableParagraph"/>
              <w:spacing w:before="100"/>
              <w:ind w:left="107"/>
              <w:rPr>
                <w:b/>
                <w:sz w:val="21"/>
              </w:rPr>
            </w:pPr>
            <w:r>
              <w:rPr>
                <w:b/>
                <w:sz w:val="21"/>
              </w:rPr>
              <w:t>1.2</w:t>
            </w:r>
          </w:p>
        </w:tc>
        <w:tc>
          <w:tcPr>
            <w:tcW w:w="1371" w:type="dxa"/>
          </w:tcPr>
          <w:p>
            <w:pPr>
              <w:pStyle w:val="TableParagraph"/>
              <w:spacing w:before="100"/>
              <w:ind w:left="369"/>
              <w:rPr>
                <w:b/>
                <w:sz w:val="21"/>
              </w:rPr>
            </w:pPr>
            <w:r>
              <w:rPr>
                <w:b/>
                <w:sz w:val="21"/>
              </w:rPr>
              <w:t>合同生效</w:t>
            </w:r>
          </w:p>
        </w:tc>
        <w:tc>
          <w:tcPr>
            <w:tcW w:w="7920" w:type="dxa"/>
          </w:tcPr>
          <w:p>
            <w:pPr>
              <w:pStyle w:val="TableParagraph"/>
              <w:spacing w:before="100"/>
              <w:ind w:left="155"/>
              <w:rPr>
                <w:sz w:val="21"/>
              </w:rPr>
            </w:pPr>
            <w:r>
              <w:rPr>
                <w:sz w:val="21"/>
              </w:rPr>
              <w:t>如果本附加合同与主合同同时投保，本附加合同的生效日与主合同相同。</w:t>
            </w:r>
          </w:p>
          <w:p>
            <w:pPr>
              <w:pStyle w:val="TableParagraph"/>
              <w:spacing w:line="273" w:lineRule="auto" w:before="36"/>
              <w:ind w:left="155" w:right="194"/>
              <w:rPr>
                <w:sz w:val="21"/>
              </w:rPr>
            </w:pPr>
            <w:r>
              <w:rPr>
                <w:sz w:val="21"/>
              </w:rPr>
              <w:t>如果您在主合同有效期内投保本附加合同，本附加合同生效日以批注所载的日期为准。</w:t>
            </w:r>
          </w:p>
          <w:p>
            <w:pPr>
              <w:pStyle w:val="TableParagraph"/>
              <w:spacing w:before="7"/>
              <w:ind w:left="155"/>
              <w:rPr>
                <w:sz w:val="21"/>
              </w:rPr>
            </w:pPr>
            <w:r>
              <w:rPr>
                <w:sz w:val="21"/>
              </w:rPr>
              <w:t>本附加合同的保单周年日同主合同的保单周年日。</w:t>
            </w:r>
          </w:p>
        </w:tc>
      </w:tr>
      <w:tr>
        <w:trPr>
          <w:trHeight w:val="1652" w:hRule="atLeast"/>
        </w:trPr>
        <w:tc>
          <w:tcPr>
            <w:tcW w:w="795" w:type="dxa"/>
          </w:tcPr>
          <w:p>
            <w:pPr>
              <w:pStyle w:val="TableParagraph"/>
              <w:spacing w:before="102"/>
              <w:ind w:left="107"/>
              <w:rPr>
                <w:b/>
                <w:sz w:val="21"/>
              </w:rPr>
            </w:pPr>
            <w:r>
              <w:rPr>
                <w:b/>
                <w:sz w:val="21"/>
              </w:rPr>
              <w:t>1.3</w:t>
            </w:r>
          </w:p>
        </w:tc>
        <w:tc>
          <w:tcPr>
            <w:tcW w:w="1371" w:type="dxa"/>
          </w:tcPr>
          <w:p>
            <w:pPr>
              <w:pStyle w:val="TableParagraph"/>
              <w:spacing w:before="102"/>
              <w:ind w:left="369"/>
              <w:rPr>
                <w:b/>
                <w:sz w:val="21"/>
              </w:rPr>
            </w:pPr>
            <w:r>
              <w:rPr>
                <w:b/>
                <w:sz w:val="21"/>
              </w:rPr>
              <w:t>犹豫期</w:t>
            </w:r>
          </w:p>
        </w:tc>
        <w:tc>
          <w:tcPr>
            <w:tcW w:w="7920" w:type="dxa"/>
          </w:tcPr>
          <w:p>
            <w:pPr>
              <w:pStyle w:val="TableParagraph"/>
              <w:spacing w:line="264" w:lineRule="auto" w:before="102"/>
              <w:ind w:left="155" w:right="102"/>
              <w:jc w:val="both"/>
              <w:rPr>
                <w:sz w:val="21"/>
              </w:rPr>
            </w:pPr>
            <w:r>
              <w:rPr>
                <w:spacing w:val="-6"/>
                <w:sz w:val="21"/>
              </w:rPr>
              <w:t>自您签收本附加合同的次日起，有 </w:t>
            </w:r>
            <w:r>
              <w:rPr>
                <w:rFonts w:ascii="Times New Roman" w:eastAsia="Times New Roman"/>
                <w:sz w:val="21"/>
              </w:rPr>
              <w:t>10 </w:t>
            </w:r>
            <w:r>
              <w:rPr>
                <w:spacing w:val="-5"/>
                <w:sz w:val="21"/>
              </w:rPr>
              <w:t>日的犹豫期。在此期间，您可以合并主合同提出解除本附加合同。解除合同时，您需要填写申请书，并提供您的保险合同及法定</w:t>
            </w:r>
            <w:r>
              <w:rPr>
                <w:spacing w:val="-4"/>
                <w:sz w:val="21"/>
              </w:rPr>
              <w:t>有效身份证明。</w:t>
            </w:r>
          </w:p>
          <w:p>
            <w:pPr>
              <w:pStyle w:val="TableParagraph"/>
              <w:spacing w:before="15"/>
              <w:ind w:left="155"/>
              <w:jc w:val="both"/>
              <w:rPr>
                <w:sz w:val="21"/>
              </w:rPr>
            </w:pPr>
            <w:r>
              <w:rPr>
                <w:sz w:val="21"/>
              </w:rPr>
              <w:t>自您书面申请解除合同之日起，本附加合同即被解除，我们自始不承担保险责任。</w:t>
            </w:r>
          </w:p>
        </w:tc>
      </w:tr>
      <w:tr>
        <w:trPr>
          <w:trHeight w:val="790" w:hRule="atLeast"/>
        </w:trPr>
        <w:tc>
          <w:tcPr>
            <w:tcW w:w="795"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291" w:type="dxa"/>
            <w:gridSpan w:val="2"/>
            <w:tcBorders>
              <w:bottom w:val="double" w:sz="1" w:space="0" w:color="000000"/>
            </w:tcBorders>
          </w:tcPr>
          <w:p>
            <w:pPr>
              <w:pStyle w:val="TableParagraph"/>
              <w:spacing w:before="4"/>
              <w:rPr>
                <w:sz w:val="19"/>
              </w:rPr>
            </w:pPr>
          </w:p>
          <w:p>
            <w:pPr>
              <w:pStyle w:val="TableParagraph"/>
              <w:ind w:left="369"/>
              <w:rPr>
                <w:b/>
                <w:sz w:val="28"/>
              </w:rPr>
            </w:pPr>
            <w:r>
              <w:rPr>
                <w:b/>
                <w:w w:val="95"/>
                <w:sz w:val="28"/>
              </w:rPr>
              <w:t>我们提供的保障</w:t>
            </w:r>
          </w:p>
        </w:tc>
      </w:tr>
      <w:tr>
        <w:trPr>
          <w:trHeight w:val="571" w:hRule="atLeast"/>
        </w:trPr>
        <w:tc>
          <w:tcPr>
            <w:tcW w:w="795" w:type="dxa"/>
            <w:tcBorders>
              <w:top w:val="double" w:sz="1" w:space="0" w:color="000000"/>
            </w:tcBorders>
          </w:tcPr>
          <w:p>
            <w:pPr>
              <w:pStyle w:val="TableParagraph"/>
              <w:spacing w:before="133"/>
              <w:ind w:left="107"/>
              <w:rPr>
                <w:b/>
                <w:sz w:val="21"/>
              </w:rPr>
            </w:pPr>
            <w:r>
              <w:rPr>
                <w:b/>
                <w:sz w:val="21"/>
              </w:rPr>
              <w:t>2.1</w:t>
            </w:r>
          </w:p>
        </w:tc>
        <w:tc>
          <w:tcPr>
            <w:tcW w:w="1371" w:type="dxa"/>
            <w:tcBorders>
              <w:top w:val="double" w:sz="1" w:space="0" w:color="000000"/>
            </w:tcBorders>
          </w:tcPr>
          <w:p>
            <w:pPr>
              <w:pStyle w:val="TableParagraph"/>
              <w:spacing w:before="133"/>
              <w:ind w:left="369"/>
              <w:rPr>
                <w:b/>
                <w:sz w:val="21"/>
              </w:rPr>
            </w:pPr>
            <w:r>
              <w:rPr>
                <w:b/>
                <w:sz w:val="21"/>
              </w:rPr>
              <w:t>保险期间</w:t>
            </w:r>
          </w:p>
        </w:tc>
        <w:tc>
          <w:tcPr>
            <w:tcW w:w="7920" w:type="dxa"/>
            <w:tcBorders>
              <w:top w:val="double" w:sz="1" w:space="0" w:color="000000"/>
            </w:tcBorders>
          </w:tcPr>
          <w:p>
            <w:pPr>
              <w:pStyle w:val="TableParagraph"/>
              <w:spacing w:before="133"/>
              <w:ind w:left="155"/>
              <w:rPr>
                <w:sz w:val="21"/>
              </w:rPr>
            </w:pPr>
            <w:r>
              <w:rPr>
                <w:sz w:val="21"/>
              </w:rPr>
              <w:t>本附加合同的保险期间为终身，自本附加合同生效日起至被保险人身故时止。</w:t>
            </w:r>
          </w:p>
        </w:tc>
      </w:tr>
      <w:tr>
        <w:trPr>
          <w:trHeight w:val="1985" w:hRule="atLeast"/>
        </w:trPr>
        <w:tc>
          <w:tcPr>
            <w:tcW w:w="795" w:type="dxa"/>
          </w:tcPr>
          <w:p>
            <w:pPr>
              <w:pStyle w:val="TableParagraph"/>
              <w:spacing w:before="99"/>
              <w:ind w:left="107"/>
              <w:rPr>
                <w:b/>
                <w:sz w:val="21"/>
              </w:rPr>
            </w:pPr>
            <w:r>
              <w:rPr>
                <w:b/>
                <w:sz w:val="21"/>
              </w:rPr>
              <w:t>2.2</w:t>
            </w:r>
          </w:p>
        </w:tc>
        <w:tc>
          <w:tcPr>
            <w:tcW w:w="1371" w:type="dxa"/>
          </w:tcPr>
          <w:p>
            <w:pPr>
              <w:pStyle w:val="TableParagraph"/>
              <w:spacing w:before="99"/>
              <w:ind w:left="369"/>
              <w:rPr>
                <w:b/>
                <w:sz w:val="21"/>
              </w:rPr>
            </w:pPr>
            <w:r>
              <w:rPr>
                <w:b/>
                <w:sz w:val="21"/>
              </w:rPr>
              <w:t>保险金额</w:t>
            </w:r>
          </w:p>
        </w:tc>
        <w:tc>
          <w:tcPr>
            <w:tcW w:w="7920" w:type="dxa"/>
          </w:tcPr>
          <w:p>
            <w:pPr>
              <w:pStyle w:val="TableParagraph"/>
              <w:spacing w:before="99"/>
              <w:ind w:left="155"/>
              <w:rPr>
                <w:sz w:val="21"/>
              </w:rPr>
            </w:pPr>
            <w:r>
              <w:rPr>
                <w:sz w:val="21"/>
              </w:rPr>
              <w:t>（1）基本保险金额</w:t>
            </w:r>
          </w:p>
          <w:p>
            <w:pPr>
              <w:pStyle w:val="TableParagraph"/>
              <w:spacing w:line="273" w:lineRule="auto" w:before="36"/>
              <w:ind w:left="155" w:right="-15"/>
              <w:rPr>
                <w:sz w:val="21"/>
              </w:rPr>
            </w:pPr>
            <w:r>
              <w:rPr>
                <w:spacing w:val="-4"/>
                <w:sz w:val="21"/>
              </w:rPr>
              <w:t>本附加合同的基本保险金额由您在投保时与我们约定，并在保险单或批注单上载明。</w:t>
            </w:r>
            <w:r>
              <w:rPr>
                <w:spacing w:val="-3"/>
                <w:sz w:val="21"/>
              </w:rPr>
              <w:t>若该金额发生变更，则以变更后的金额为基本保险金额。</w:t>
            </w:r>
          </w:p>
          <w:p>
            <w:pPr>
              <w:pStyle w:val="TableParagraph"/>
              <w:spacing w:before="7"/>
              <w:ind w:left="155"/>
              <w:rPr>
                <w:sz w:val="21"/>
              </w:rPr>
            </w:pPr>
            <w:r>
              <w:rPr>
                <w:sz w:val="21"/>
              </w:rPr>
              <w:t>（2）轻症重疾保险金额</w:t>
            </w:r>
          </w:p>
          <w:p>
            <w:pPr>
              <w:pStyle w:val="TableParagraph"/>
              <w:spacing w:before="37"/>
              <w:ind w:left="155"/>
              <w:rPr>
                <w:sz w:val="21"/>
              </w:rPr>
            </w:pPr>
            <w:r>
              <w:rPr>
                <w:sz w:val="21"/>
              </w:rPr>
              <w:t>本附加合同的轻症重疾保险金额等于本附加合同的基本保险金额的 20%。</w:t>
            </w:r>
          </w:p>
          <w:p>
            <w:pPr>
              <w:pStyle w:val="TableParagraph"/>
              <w:spacing w:before="37"/>
              <w:ind w:left="155"/>
              <w:rPr>
                <w:sz w:val="21"/>
              </w:rPr>
            </w:pPr>
            <w:r>
              <w:rPr>
                <w:sz w:val="21"/>
              </w:rPr>
              <w:t>（3）重大疾病保险金额</w:t>
            </w:r>
          </w:p>
        </w:tc>
      </w:tr>
      <w:tr>
        <w:trPr>
          <w:trHeight w:val="650" w:hRule="atLeast"/>
        </w:trPr>
        <w:tc>
          <w:tcPr>
            <w:tcW w:w="795" w:type="dxa"/>
          </w:tcPr>
          <w:p>
            <w:pPr>
              <w:pStyle w:val="TableParagraph"/>
              <w:rPr>
                <w:rFonts w:ascii="Times New Roman"/>
                <w:sz w:val="20"/>
              </w:rPr>
            </w:pPr>
          </w:p>
        </w:tc>
        <w:tc>
          <w:tcPr>
            <w:tcW w:w="1371" w:type="dxa"/>
          </w:tcPr>
          <w:p>
            <w:pPr>
              <w:pStyle w:val="TableParagraph"/>
              <w:rPr>
                <w:rFonts w:ascii="Times New Roman"/>
                <w:sz w:val="20"/>
              </w:rPr>
            </w:pPr>
          </w:p>
        </w:tc>
        <w:tc>
          <w:tcPr>
            <w:tcW w:w="7920" w:type="dxa"/>
          </w:tcPr>
          <w:p>
            <w:pPr>
              <w:pStyle w:val="TableParagraph"/>
              <w:spacing w:line="261" w:lineRule="exact"/>
              <w:ind w:left="155"/>
              <w:rPr>
                <w:sz w:val="21"/>
              </w:rPr>
            </w:pPr>
            <w:r>
              <w:rPr>
                <w:sz w:val="21"/>
              </w:rPr>
              <w:t>本附加合同的重大疾病保险金额等于本附加合同的基本保险金额和主合同个人账户</w:t>
            </w:r>
          </w:p>
          <w:p>
            <w:pPr>
              <w:pStyle w:val="TableParagraph"/>
              <w:spacing w:before="37"/>
              <w:ind w:left="155"/>
              <w:rPr>
                <w:sz w:val="21"/>
              </w:rPr>
            </w:pPr>
            <w:r>
              <w:rPr>
                <w:sz w:val="21"/>
              </w:rPr>
              <w:t>价值的 105%两者的较大者。</w:t>
            </w:r>
          </w:p>
        </w:tc>
      </w:tr>
      <w:tr>
        <w:trPr>
          <w:trHeight w:val="3178" w:hRule="atLeast"/>
        </w:trPr>
        <w:tc>
          <w:tcPr>
            <w:tcW w:w="795" w:type="dxa"/>
          </w:tcPr>
          <w:p>
            <w:pPr>
              <w:pStyle w:val="TableParagraph"/>
              <w:spacing w:before="13"/>
              <w:ind w:left="107"/>
              <w:rPr>
                <w:b/>
                <w:sz w:val="21"/>
              </w:rPr>
            </w:pPr>
            <w:r>
              <w:rPr>
                <w:b/>
                <w:sz w:val="21"/>
              </w:rPr>
              <w:t>2.3</w:t>
            </w:r>
          </w:p>
        </w:tc>
        <w:tc>
          <w:tcPr>
            <w:tcW w:w="1371" w:type="dxa"/>
          </w:tcPr>
          <w:p>
            <w:pPr>
              <w:pStyle w:val="TableParagraph"/>
              <w:spacing w:before="13"/>
              <w:ind w:left="369"/>
              <w:rPr>
                <w:b/>
                <w:sz w:val="21"/>
              </w:rPr>
            </w:pPr>
            <w:r>
              <w:rPr>
                <w:b/>
                <w:sz w:val="21"/>
              </w:rPr>
              <w:t>保险责任</w:t>
            </w:r>
          </w:p>
        </w:tc>
        <w:tc>
          <w:tcPr>
            <w:tcW w:w="7920" w:type="dxa"/>
          </w:tcPr>
          <w:p>
            <w:pPr>
              <w:pStyle w:val="TableParagraph"/>
              <w:spacing w:before="39"/>
              <w:ind w:left="155"/>
              <w:rPr>
                <w:sz w:val="21"/>
              </w:rPr>
            </w:pPr>
            <w:r>
              <w:rPr>
                <w:sz w:val="21"/>
              </w:rPr>
              <w:t>在本附加合同有效期内，我们承担如下保险责任：</w:t>
            </w:r>
          </w:p>
          <w:p>
            <w:pPr>
              <w:pStyle w:val="TableParagraph"/>
              <w:spacing w:before="44"/>
              <w:ind w:left="155" w:right="-15"/>
              <w:rPr>
                <w:sz w:val="21"/>
              </w:rPr>
            </w:pPr>
            <w:r>
              <w:rPr>
                <w:spacing w:val="-3"/>
                <w:sz w:val="21"/>
              </w:rPr>
              <w:t>自本附加合同生效（或最后复效</w:t>
            </w:r>
            <w:r>
              <w:rPr>
                <w:sz w:val="21"/>
              </w:rPr>
              <w:t>）</w:t>
            </w:r>
            <w:r>
              <w:rPr>
                <w:spacing w:val="0"/>
                <w:sz w:val="21"/>
              </w:rPr>
              <w:t>之日起 </w:t>
            </w:r>
            <w:r>
              <w:rPr>
                <w:sz w:val="21"/>
              </w:rPr>
              <w:t>90</w:t>
            </w:r>
            <w:r>
              <w:rPr>
                <w:spacing w:val="-3"/>
                <w:sz w:val="21"/>
              </w:rPr>
              <w:t> 天内，被保险人发生下列情形之一的：</w:t>
            </w:r>
          </w:p>
          <w:p>
            <w:pPr>
              <w:pStyle w:val="TableParagraph"/>
              <w:spacing w:line="280" w:lineRule="auto" w:before="44"/>
              <w:ind w:left="155" w:right="102"/>
              <w:jc w:val="both"/>
              <w:rPr>
                <w:sz w:val="21"/>
              </w:rPr>
            </w:pPr>
            <w:r>
              <w:rPr>
                <w:spacing w:val="1"/>
                <w:w w:val="100"/>
                <w:sz w:val="21"/>
              </w:rPr>
              <w:t>（一</w:t>
            </w:r>
            <w:r>
              <w:rPr>
                <w:spacing w:val="-103"/>
                <w:w w:val="100"/>
                <w:sz w:val="21"/>
              </w:rPr>
              <w:t>）</w:t>
            </w:r>
            <w:r>
              <w:rPr>
                <w:spacing w:val="-9"/>
                <w:w w:val="100"/>
                <w:sz w:val="21"/>
              </w:rPr>
              <w:t>“轻症重疾”或“重大疾病”</w:t>
            </w:r>
            <w:r>
              <w:rPr>
                <w:spacing w:val="1"/>
                <w:w w:val="100"/>
                <w:sz w:val="21"/>
              </w:rPr>
              <w:t>（</w:t>
            </w:r>
            <w:r>
              <w:rPr>
                <w:w w:val="100"/>
                <w:sz w:val="21"/>
              </w:rPr>
              <w:t>二</w:t>
            </w:r>
            <w:r>
              <w:rPr>
                <w:spacing w:val="1"/>
                <w:w w:val="100"/>
                <w:sz w:val="21"/>
              </w:rPr>
              <w:t>）</w:t>
            </w:r>
            <w:r>
              <w:rPr>
                <w:w w:val="100"/>
                <w:sz w:val="21"/>
              </w:rPr>
              <w:t>因导致“轻症重疾”或“重大疾病”的相</w:t>
            </w:r>
            <w:r>
              <w:rPr>
                <w:sz w:val="21"/>
              </w:rPr>
              <w:t>关疾病就诊，我们不承担保险责任，本附加合同效力终止，我们将本附加合同所收取的保障成本无息退还至主合同的个人账户，主合同的个人账户价值按退还的金额</w:t>
            </w:r>
            <w:r>
              <w:rPr>
                <w:spacing w:val="-9"/>
                <w:sz w:val="21"/>
              </w:rPr>
              <w:t>等额增加。这 </w:t>
            </w:r>
            <w:r>
              <w:rPr>
                <w:sz w:val="21"/>
              </w:rPr>
              <w:t>90</w:t>
            </w:r>
            <w:r>
              <w:rPr>
                <w:spacing w:val="-9"/>
                <w:sz w:val="21"/>
              </w:rPr>
              <w:t> 天的时间称为等待期；被保险人因</w:t>
            </w:r>
            <w:r>
              <w:rPr>
                <w:b/>
                <w:sz w:val="21"/>
              </w:rPr>
              <w:t>意外伤害</w:t>
            </w:r>
            <w:r>
              <w:rPr>
                <w:spacing w:val="-3"/>
                <w:sz w:val="21"/>
              </w:rPr>
              <w:t>发生上述两项情形之一的，无等待期。</w:t>
            </w:r>
          </w:p>
          <w:p>
            <w:pPr>
              <w:pStyle w:val="TableParagraph"/>
              <w:spacing w:line="257" w:lineRule="exact"/>
              <w:ind w:left="155"/>
              <w:jc w:val="both"/>
              <w:rPr>
                <w:sz w:val="21"/>
              </w:rPr>
            </w:pPr>
            <w:r>
              <w:rPr>
                <w:sz w:val="21"/>
              </w:rPr>
              <w:t>若您申请增加本附加合同的基本保险金额，则对于每次增加的部分也适用上述等待</w:t>
            </w:r>
          </w:p>
          <w:p>
            <w:pPr>
              <w:pStyle w:val="TableParagraph"/>
              <w:spacing w:before="37"/>
              <w:ind w:left="155"/>
              <w:jc w:val="both"/>
              <w:rPr>
                <w:sz w:val="21"/>
              </w:rPr>
            </w:pPr>
            <w:r>
              <w:rPr>
                <w:sz w:val="21"/>
              </w:rPr>
              <w:t>期的约定。</w:t>
            </w:r>
          </w:p>
          <w:p>
            <w:pPr>
              <w:pStyle w:val="TableParagraph"/>
              <w:spacing w:line="255" w:lineRule="exact" w:before="63"/>
              <w:ind w:left="155"/>
              <w:jc w:val="both"/>
              <w:rPr>
                <w:sz w:val="21"/>
              </w:rPr>
            </w:pPr>
            <w:r>
              <w:rPr>
                <w:sz w:val="21"/>
              </w:rPr>
              <w:t>被保险人因</w:t>
            </w:r>
            <w:r>
              <w:rPr>
                <w:b/>
                <w:sz w:val="21"/>
              </w:rPr>
              <w:t>意外伤害</w:t>
            </w:r>
            <w:r>
              <w:rPr>
                <w:sz w:val="21"/>
              </w:rPr>
              <w:t>或于等待期后发生保险事故，我们按照下列方式给付保险金:</w:t>
            </w:r>
          </w:p>
        </w:tc>
      </w:tr>
    </w:tbl>
    <w:p>
      <w:pPr>
        <w:spacing w:after="0" w:line="255" w:lineRule="exact"/>
        <w:jc w:val="both"/>
        <w:rPr>
          <w:sz w:val="21"/>
        </w:rPr>
        <w:sectPr>
          <w:headerReference w:type="default" r:id="rId6"/>
          <w:pgSz w:w="11910" w:h="16840"/>
          <w:pgMar w:header="568" w:footer="0" w:top="800" w:bottom="280" w:left="800" w:right="80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
        <w:gridCol w:w="1314"/>
        <w:gridCol w:w="8071"/>
      </w:tblGrid>
      <w:tr>
        <w:trPr>
          <w:trHeight w:val="990" w:hRule="atLeast"/>
        </w:trPr>
        <w:tc>
          <w:tcPr>
            <w:tcW w:w="992" w:type="dxa"/>
          </w:tcPr>
          <w:p>
            <w:pPr>
              <w:pStyle w:val="TableParagraph"/>
              <w:spacing w:line="222" w:lineRule="exact"/>
              <w:ind w:left="200"/>
              <w:rPr>
                <w:i/>
                <w:sz w:val="22"/>
              </w:rPr>
            </w:pPr>
            <w:r>
              <w:rPr>
                <w:i/>
                <w:sz w:val="22"/>
              </w:rPr>
              <w:t>2.3.1</w:t>
            </w:r>
          </w:p>
        </w:tc>
        <w:tc>
          <w:tcPr>
            <w:tcW w:w="1314" w:type="dxa"/>
          </w:tcPr>
          <w:p>
            <w:pPr>
              <w:pStyle w:val="TableParagraph"/>
              <w:spacing w:line="222" w:lineRule="exact"/>
              <w:ind w:left="264"/>
              <w:rPr>
                <w:i/>
                <w:sz w:val="22"/>
              </w:rPr>
            </w:pPr>
            <w:r>
              <w:rPr>
                <w:i/>
                <w:w w:val="95"/>
                <w:sz w:val="22"/>
              </w:rPr>
              <w:t>轻症重疾</w:t>
            </w:r>
          </w:p>
          <w:p>
            <w:pPr>
              <w:pStyle w:val="TableParagraph"/>
              <w:spacing w:before="24"/>
              <w:ind w:left="264"/>
              <w:rPr>
                <w:i/>
                <w:sz w:val="22"/>
              </w:rPr>
            </w:pPr>
            <w:r>
              <w:rPr>
                <w:i/>
                <w:w w:val="95"/>
                <w:sz w:val="22"/>
              </w:rPr>
              <w:t>保险金</w:t>
            </w:r>
          </w:p>
        </w:tc>
        <w:tc>
          <w:tcPr>
            <w:tcW w:w="8071" w:type="dxa"/>
          </w:tcPr>
          <w:p>
            <w:pPr>
              <w:pStyle w:val="TableParagraph"/>
              <w:spacing w:line="221" w:lineRule="exact"/>
              <w:ind w:left="107"/>
              <w:rPr>
                <w:b/>
                <w:sz w:val="21"/>
              </w:rPr>
            </w:pPr>
            <w:r>
              <w:rPr>
                <w:sz w:val="21"/>
              </w:rPr>
              <w:t>若被保险人在确诊首次患本附加合同约定的重大疾病（无论一种或多种）前，经</w:t>
            </w:r>
            <w:r>
              <w:rPr>
                <w:b/>
                <w:sz w:val="21"/>
              </w:rPr>
              <w:t>我</w:t>
            </w:r>
          </w:p>
          <w:p>
            <w:pPr>
              <w:pStyle w:val="TableParagraph"/>
              <w:spacing w:line="273" w:lineRule="auto" w:before="37"/>
              <w:ind w:left="107" w:right="282"/>
              <w:rPr>
                <w:sz w:val="21"/>
              </w:rPr>
            </w:pPr>
            <w:r>
              <w:rPr>
                <w:b/>
                <w:spacing w:val="-1"/>
                <w:w w:val="100"/>
                <w:sz w:val="21"/>
              </w:rPr>
              <w:t>们认可的医院专科医生</w:t>
            </w:r>
            <w:r>
              <w:rPr>
                <w:spacing w:val="-3"/>
                <w:w w:val="100"/>
                <w:sz w:val="21"/>
              </w:rPr>
              <w:t>确诊首次患本附加合同约定的轻症重疾</w:t>
            </w:r>
            <w:r>
              <w:rPr>
                <w:w w:val="100"/>
                <w:sz w:val="21"/>
              </w:rPr>
              <w:t>（</w:t>
            </w:r>
            <w:r>
              <w:rPr>
                <w:spacing w:val="-3"/>
                <w:w w:val="100"/>
                <w:sz w:val="21"/>
              </w:rPr>
              <w:t>无论一种或多种</w:t>
            </w:r>
            <w:r>
              <w:rPr>
                <w:spacing w:val="-108"/>
                <w:w w:val="100"/>
                <w:sz w:val="21"/>
              </w:rPr>
              <w:t>）</w:t>
            </w:r>
            <w:r>
              <w:rPr>
                <w:w w:val="100"/>
                <w:sz w:val="21"/>
              </w:rPr>
              <w:t>，</w:t>
            </w:r>
            <w:r>
              <w:rPr>
                <w:spacing w:val="-3"/>
                <w:sz w:val="21"/>
              </w:rPr>
              <w:t>则我们按照轻症重疾保险金额给付轻症重疾保险金，本责任终止。</w:t>
            </w:r>
          </w:p>
        </w:tc>
      </w:tr>
      <w:tr>
        <w:trPr>
          <w:trHeight w:val="1135" w:hRule="atLeast"/>
        </w:trPr>
        <w:tc>
          <w:tcPr>
            <w:tcW w:w="992" w:type="dxa"/>
          </w:tcPr>
          <w:p>
            <w:pPr>
              <w:pStyle w:val="TableParagraph"/>
              <w:spacing w:before="79"/>
              <w:ind w:left="200"/>
              <w:rPr>
                <w:i/>
                <w:sz w:val="22"/>
              </w:rPr>
            </w:pPr>
            <w:r>
              <w:rPr>
                <w:i/>
                <w:sz w:val="22"/>
              </w:rPr>
              <w:t>2.3.2</w:t>
            </w:r>
          </w:p>
        </w:tc>
        <w:tc>
          <w:tcPr>
            <w:tcW w:w="1314" w:type="dxa"/>
          </w:tcPr>
          <w:p>
            <w:pPr>
              <w:pStyle w:val="TableParagraph"/>
              <w:spacing w:line="259" w:lineRule="auto" w:before="79"/>
              <w:ind w:left="264" w:right="105"/>
              <w:rPr>
                <w:i/>
                <w:sz w:val="22"/>
              </w:rPr>
            </w:pPr>
            <w:r>
              <w:rPr>
                <w:i/>
                <w:w w:val="95"/>
                <w:sz w:val="22"/>
              </w:rPr>
              <w:t>重大疾病保险金</w:t>
            </w:r>
          </w:p>
        </w:tc>
        <w:tc>
          <w:tcPr>
            <w:tcW w:w="8071" w:type="dxa"/>
          </w:tcPr>
          <w:p>
            <w:pPr>
              <w:pStyle w:val="TableParagraph"/>
              <w:spacing w:line="273" w:lineRule="auto" w:before="91"/>
              <w:ind w:left="107" w:right="301"/>
              <w:jc w:val="both"/>
              <w:rPr>
                <w:sz w:val="21"/>
              </w:rPr>
            </w:pPr>
            <w:r>
              <w:rPr>
                <w:sz w:val="21"/>
              </w:rPr>
              <w:t>若被保险人经</w:t>
            </w:r>
            <w:r>
              <w:rPr>
                <w:b/>
                <w:sz w:val="21"/>
              </w:rPr>
              <w:t>我们认可的医院专科医生</w:t>
            </w:r>
            <w:r>
              <w:rPr>
                <w:sz w:val="21"/>
              </w:rPr>
              <w:t>确诊首次患本附加合同约定的重大疾病（无</w:t>
            </w:r>
            <w:r>
              <w:rPr>
                <w:spacing w:val="-2"/>
                <w:w w:val="100"/>
                <w:sz w:val="21"/>
              </w:rPr>
              <w:t>论一种或多种</w:t>
            </w:r>
            <w:r>
              <w:rPr>
                <w:spacing w:val="-106"/>
                <w:w w:val="100"/>
                <w:sz w:val="21"/>
              </w:rPr>
              <w:t>）</w:t>
            </w:r>
            <w:r>
              <w:rPr>
                <w:spacing w:val="-5"/>
                <w:w w:val="100"/>
                <w:sz w:val="21"/>
              </w:rPr>
              <w:t>，则我们按照确诊当时的重大疾病保险金额给付重大疾病保险金，本</w:t>
            </w:r>
            <w:r>
              <w:rPr>
                <w:spacing w:val="-4"/>
                <w:sz w:val="21"/>
              </w:rPr>
              <w:t>附加合同终止。</w:t>
            </w:r>
          </w:p>
        </w:tc>
      </w:tr>
      <w:tr>
        <w:trPr>
          <w:trHeight w:val="1186" w:hRule="atLeast"/>
        </w:trPr>
        <w:tc>
          <w:tcPr>
            <w:tcW w:w="992" w:type="dxa"/>
          </w:tcPr>
          <w:p>
            <w:pPr>
              <w:pStyle w:val="TableParagraph"/>
              <w:spacing w:before="79"/>
              <w:ind w:left="200"/>
              <w:rPr>
                <w:i/>
                <w:sz w:val="22"/>
              </w:rPr>
            </w:pPr>
            <w:r>
              <w:rPr>
                <w:i/>
                <w:sz w:val="22"/>
              </w:rPr>
              <w:t>2.3.3</w:t>
            </w:r>
          </w:p>
        </w:tc>
        <w:tc>
          <w:tcPr>
            <w:tcW w:w="1314" w:type="dxa"/>
          </w:tcPr>
          <w:p>
            <w:pPr>
              <w:pStyle w:val="TableParagraph"/>
              <w:spacing w:line="259" w:lineRule="auto" w:before="79"/>
              <w:ind w:left="264" w:right="105"/>
              <w:jc w:val="both"/>
              <w:rPr>
                <w:i/>
                <w:sz w:val="22"/>
              </w:rPr>
            </w:pPr>
            <w:r>
              <w:rPr>
                <w:i/>
                <w:w w:val="95"/>
                <w:sz w:val="22"/>
              </w:rPr>
              <w:t>本附加合同与主合同关联</w:t>
            </w:r>
          </w:p>
        </w:tc>
        <w:tc>
          <w:tcPr>
            <w:tcW w:w="8071" w:type="dxa"/>
          </w:tcPr>
          <w:p>
            <w:pPr>
              <w:pStyle w:val="TableParagraph"/>
              <w:spacing w:line="280" w:lineRule="auto" w:before="115"/>
              <w:ind w:left="107" w:right="300"/>
              <w:jc w:val="both"/>
              <w:rPr>
                <w:sz w:val="21"/>
              </w:rPr>
            </w:pPr>
            <w:r>
              <w:rPr>
                <w:sz w:val="21"/>
              </w:rPr>
              <w:t>我们给付重大疾病保险金后，主合同基本保险金额、主合同个人账户价值均按给付的重大疾病保险金与主合同保险金额的比例相应减少，如果主合同基本保险金额减少至零，主合同终止。</w:t>
            </w:r>
          </w:p>
        </w:tc>
      </w:tr>
      <w:tr>
        <w:trPr>
          <w:trHeight w:val="7721" w:hRule="atLeast"/>
        </w:trPr>
        <w:tc>
          <w:tcPr>
            <w:tcW w:w="992" w:type="dxa"/>
          </w:tcPr>
          <w:p>
            <w:pPr>
              <w:pStyle w:val="TableParagraph"/>
              <w:spacing w:before="92"/>
              <w:ind w:left="200"/>
              <w:rPr>
                <w:b/>
                <w:sz w:val="21"/>
              </w:rPr>
            </w:pPr>
            <w:r>
              <w:rPr>
                <w:b/>
                <w:sz w:val="21"/>
              </w:rPr>
              <w:t>2.4</w:t>
            </w:r>
          </w:p>
        </w:tc>
        <w:tc>
          <w:tcPr>
            <w:tcW w:w="1314" w:type="dxa"/>
          </w:tcPr>
          <w:p>
            <w:pPr>
              <w:pStyle w:val="TableParagraph"/>
              <w:spacing w:line="271" w:lineRule="auto" w:before="92"/>
              <w:ind w:left="264" w:right="105"/>
              <w:jc w:val="both"/>
              <w:rPr>
                <w:b/>
                <w:sz w:val="21"/>
              </w:rPr>
            </w:pPr>
            <w:r>
              <w:rPr>
                <w:b/>
                <w:sz w:val="21"/>
              </w:rPr>
              <w:t>基本保险金额的变更</w:t>
            </w:r>
          </w:p>
        </w:tc>
        <w:tc>
          <w:tcPr>
            <w:tcW w:w="8071" w:type="dxa"/>
          </w:tcPr>
          <w:p>
            <w:pPr>
              <w:pStyle w:val="TableParagraph"/>
              <w:spacing w:before="92"/>
              <w:ind w:left="107"/>
              <w:rPr>
                <w:sz w:val="21"/>
              </w:rPr>
            </w:pPr>
            <w:r>
              <w:rPr>
                <w:sz w:val="21"/>
              </w:rPr>
              <w:t>下列情形会引起本附加合同基本保险金额变更：</w:t>
            </w:r>
          </w:p>
          <w:p>
            <w:pPr>
              <w:pStyle w:val="TableParagraph"/>
              <w:spacing w:before="34"/>
              <w:ind w:left="107"/>
              <w:rPr>
                <w:sz w:val="21"/>
              </w:rPr>
            </w:pPr>
            <w:r>
              <w:rPr>
                <w:sz w:val="21"/>
              </w:rPr>
              <w:t>（1）交纳主合同追加保险费</w:t>
            </w:r>
          </w:p>
          <w:p>
            <w:pPr>
              <w:pStyle w:val="TableParagraph"/>
              <w:spacing w:line="273" w:lineRule="auto" w:before="36"/>
              <w:ind w:left="611" w:right="311"/>
              <w:rPr>
                <w:sz w:val="21"/>
              </w:rPr>
            </w:pPr>
            <w:r>
              <w:rPr>
                <w:sz w:val="21"/>
              </w:rPr>
              <w:t>在我们收到您的主合同追加保险费后，本附加合同基本保险金额按主合同追加保险费等额增加。</w:t>
            </w:r>
          </w:p>
          <w:p>
            <w:pPr>
              <w:pStyle w:val="TableParagraph"/>
              <w:spacing w:before="7"/>
              <w:ind w:left="107"/>
              <w:rPr>
                <w:sz w:val="21"/>
              </w:rPr>
            </w:pPr>
            <w:r>
              <w:rPr>
                <w:sz w:val="21"/>
              </w:rPr>
              <w:t>（2）部分领取主合同个人账户价值</w:t>
            </w:r>
          </w:p>
          <w:p>
            <w:pPr>
              <w:pStyle w:val="TableParagraph"/>
              <w:spacing w:line="273" w:lineRule="auto" w:before="37"/>
              <w:ind w:left="611" w:right="311"/>
              <w:rPr>
                <w:sz w:val="21"/>
              </w:rPr>
            </w:pPr>
            <w:r>
              <w:rPr>
                <w:sz w:val="21"/>
              </w:rPr>
              <w:t>在我们收到您主合同的部分领取申请书后，本附加合同基本保险金额按领取的主合同个人账户价值等额减少。</w:t>
            </w:r>
          </w:p>
          <w:p>
            <w:pPr>
              <w:pStyle w:val="TableParagraph"/>
              <w:spacing w:before="7"/>
              <w:ind w:left="611"/>
              <w:rPr>
                <w:sz w:val="21"/>
              </w:rPr>
            </w:pPr>
            <w:r>
              <w:rPr>
                <w:sz w:val="21"/>
              </w:rPr>
              <w:t>减少后的本附加合同基本保险金额不得低于我们规定的最低金额。</w:t>
            </w:r>
          </w:p>
          <w:p>
            <w:pPr>
              <w:pStyle w:val="TableParagraph"/>
              <w:spacing w:before="36"/>
              <w:ind w:left="107"/>
              <w:rPr>
                <w:sz w:val="21"/>
              </w:rPr>
            </w:pPr>
            <w:r>
              <w:rPr>
                <w:sz w:val="21"/>
              </w:rPr>
              <w:t>（3）申请变更本附加合同基本保险金额</w:t>
            </w:r>
          </w:p>
          <w:p>
            <w:pPr>
              <w:pStyle w:val="TableParagraph"/>
              <w:spacing w:before="36"/>
              <w:ind w:left="611"/>
              <w:rPr>
                <w:sz w:val="21"/>
              </w:rPr>
            </w:pPr>
            <w:r>
              <w:rPr>
                <w:sz w:val="21"/>
              </w:rPr>
              <w:t>本附加合同有效期内，经我们同意，您可以变更本附加合同基本保险金额。</w:t>
            </w:r>
          </w:p>
          <w:p>
            <w:pPr>
              <w:pStyle w:val="TableParagraph"/>
              <w:spacing w:before="36"/>
              <w:ind w:left="318"/>
              <w:rPr>
                <w:sz w:val="21"/>
              </w:rPr>
            </w:pPr>
            <w:r>
              <w:rPr>
                <w:sz w:val="21"/>
              </w:rPr>
              <w:t>① 申请增加本附加合同基本保险金额</w:t>
            </w:r>
          </w:p>
          <w:p>
            <w:pPr>
              <w:pStyle w:val="TableParagraph"/>
              <w:spacing w:line="273" w:lineRule="auto" w:before="36"/>
              <w:ind w:left="611" w:right="313"/>
              <w:rPr>
                <w:sz w:val="21"/>
              </w:rPr>
            </w:pPr>
            <w:r>
              <w:rPr>
                <w:spacing w:val="-4"/>
                <w:sz w:val="21"/>
              </w:rPr>
              <w:t>您可以向我们申请增加基本保险金额，但每个保单年度最多只能申请 </w:t>
            </w:r>
            <w:r>
              <w:rPr>
                <w:sz w:val="21"/>
              </w:rPr>
              <w:t>1</w:t>
            </w:r>
            <w:r>
              <w:rPr>
                <w:spacing w:val="-12"/>
                <w:sz w:val="21"/>
              </w:rPr>
              <w:t> 次。在</w:t>
            </w:r>
            <w:r>
              <w:rPr>
                <w:spacing w:val="-3"/>
                <w:sz w:val="21"/>
              </w:rPr>
              <w:t>申请增加基本保险金额时，必须同时满足以下条件：</w:t>
            </w:r>
          </w:p>
          <w:p>
            <w:pPr>
              <w:pStyle w:val="TableParagraph"/>
              <w:numPr>
                <w:ilvl w:val="0"/>
                <w:numId w:val="1"/>
              </w:numPr>
              <w:tabs>
                <w:tab w:pos="785" w:val="left" w:leader="none"/>
              </w:tabs>
              <w:spacing w:line="240" w:lineRule="auto" w:before="7" w:after="0"/>
              <w:ind w:left="820" w:right="0" w:hanging="209"/>
              <w:jc w:val="left"/>
              <w:rPr>
                <w:sz w:val="21"/>
              </w:rPr>
            </w:pPr>
            <w:r>
              <w:rPr>
                <w:spacing w:val="-8"/>
                <w:sz w:val="21"/>
              </w:rPr>
              <w:t>本附加合同生效满 </w:t>
            </w:r>
            <w:r>
              <w:rPr>
                <w:sz w:val="21"/>
              </w:rPr>
              <w:t>1</w:t>
            </w:r>
            <w:r>
              <w:rPr>
                <w:spacing w:val="-18"/>
                <w:sz w:val="21"/>
              </w:rPr>
              <w:t> 年；</w:t>
            </w:r>
          </w:p>
          <w:p>
            <w:pPr>
              <w:pStyle w:val="TableParagraph"/>
              <w:numPr>
                <w:ilvl w:val="0"/>
                <w:numId w:val="1"/>
              </w:numPr>
              <w:tabs>
                <w:tab w:pos="785" w:val="left" w:leader="none"/>
              </w:tabs>
              <w:spacing w:line="240" w:lineRule="auto" w:before="22" w:after="0"/>
              <w:ind w:left="820" w:right="0" w:hanging="209"/>
              <w:jc w:val="left"/>
              <w:rPr>
                <w:sz w:val="21"/>
              </w:rPr>
            </w:pPr>
            <w:r>
              <w:rPr>
                <w:spacing w:val="-8"/>
                <w:sz w:val="21"/>
              </w:rPr>
              <w:t>在被保险人 </w:t>
            </w:r>
            <w:r>
              <w:rPr>
                <w:sz w:val="21"/>
              </w:rPr>
              <w:t>55</w:t>
            </w:r>
            <w:r>
              <w:rPr>
                <w:spacing w:val="-8"/>
                <w:sz w:val="21"/>
              </w:rPr>
              <w:t> 周岁的保单周年日之前申请；</w:t>
            </w:r>
          </w:p>
          <w:p>
            <w:pPr>
              <w:pStyle w:val="TableParagraph"/>
              <w:numPr>
                <w:ilvl w:val="0"/>
                <w:numId w:val="1"/>
              </w:numPr>
              <w:tabs>
                <w:tab w:pos="785" w:val="left" w:leader="none"/>
              </w:tabs>
              <w:spacing w:line="259" w:lineRule="auto" w:before="22" w:after="0"/>
              <w:ind w:left="820" w:right="452" w:hanging="209"/>
              <w:jc w:val="left"/>
              <w:rPr>
                <w:sz w:val="21"/>
              </w:rPr>
            </w:pPr>
            <w:r>
              <w:rPr>
                <w:spacing w:val="-5"/>
                <w:sz w:val="21"/>
              </w:rPr>
              <w:t>主合同以前各期和当期应交期交保险费均已交纳或主合同已交满 </w:t>
            </w:r>
            <w:r>
              <w:rPr>
                <w:sz w:val="21"/>
              </w:rPr>
              <w:t>20</w:t>
            </w:r>
            <w:r>
              <w:rPr>
                <w:spacing w:val="-12"/>
                <w:sz w:val="21"/>
              </w:rPr>
              <w:t> 年期交</w:t>
            </w:r>
            <w:r>
              <w:rPr>
                <w:spacing w:val="-7"/>
                <w:sz w:val="21"/>
              </w:rPr>
              <w:t>保险费。</w:t>
            </w:r>
          </w:p>
          <w:p>
            <w:pPr>
              <w:pStyle w:val="TableParagraph"/>
              <w:spacing w:line="273" w:lineRule="auto" w:before="20"/>
              <w:ind w:left="611" w:right="311"/>
              <w:rPr>
                <w:sz w:val="21"/>
              </w:rPr>
            </w:pPr>
            <w:r>
              <w:rPr>
                <w:sz w:val="21"/>
              </w:rPr>
              <w:t>在申请增加基本保险金额时，您必须按照我们的规定提供被保险人的健康声明书、体检报告书及其他相关证明文件。</w:t>
            </w:r>
          </w:p>
          <w:p>
            <w:pPr>
              <w:pStyle w:val="TableParagraph"/>
              <w:spacing w:before="8"/>
              <w:ind w:left="611"/>
              <w:rPr>
                <w:sz w:val="21"/>
              </w:rPr>
            </w:pPr>
            <w:r>
              <w:rPr>
                <w:sz w:val="21"/>
              </w:rPr>
              <w:t>经我们审核同意后，增加的基本保险金额从主合同下一个结算日的零时起生效。</w:t>
            </w:r>
          </w:p>
          <w:p>
            <w:pPr>
              <w:pStyle w:val="TableParagraph"/>
              <w:spacing w:before="37"/>
              <w:ind w:left="280" w:right="4285"/>
              <w:jc w:val="center"/>
              <w:rPr>
                <w:sz w:val="21"/>
              </w:rPr>
            </w:pPr>
            <w:r>
              <w:rPr>
                <w:sz w:val="21"/>
              </w:rPr>
              <w:t>② 申请减少本附加合同基本保险金额</w:t>
            </w:r>
          </w:p>
          <w:p>
            <w:pPr>
              <w:pStyle w:val="TableParagraph"/>
              <w:spacing w:before="37"/>
              <w:ind w:left="611"/>
              <w:rPr>
                <w:sz w:val="21"/>
              </w:rPr>
            </w:pPr>
            <w:r>
              <w:rPr>
                <w:sz w:val="21"/>
              </w:rPr>
              <w:t>在本附加合同生效 1 年后，您可随时向我们申请减少基本保险金额，但每个保</w:t>
            </w:r>
          </w:p>
          <w:p>
            <w:pPr>
              <w:pStyle w:val="TableParagraph"/>
              <w:spacing w:before="37"/>
              <w:ind w:left="611"/>
              <w:rPr>
                <w:sz w:val="21"/>
              </w:rPr>
            </w:pPr>
            <w:r>
              <w:rPr>
                <w:sz w:val="21"/>
              </w:rPr>
              <w:t>单年度最多只能申请 1 次。</w:t>
            </w:r>
          </w:p>
          <w:p>
            <w:pPr>
              <w:pStyle w:val="TableParagraph"/>
              <w:spacing w:before="61"/>
              <w:ind w:left="527"/>
              <w:rPr>
                <w:sz w:val="21"/>
              </w:rPr>
            </w:pPr>
            <w:r>
              <w:rPr>
                <w:sz w:val="21"/>
              </w:rPr>
              <w:t>经我们同意后，减少的基本保险金额从主合同下一个结算日的零时起效力终止。</w:t>
            </w:r>
          </w:p>
        </w:tc>
      </w:tr>
      <w:tr>
        <w:trPr>
          <w:trHeight w:val="3178" w:hRule="atLeast"/>
        </w:trPr>
        <w:tc>
          <w:tcPr>
            <w:tcW w:w="992" w:type="dxa"/>
          </w:tcPr>
          <w:p>
            <w:pPr>
              <w:pStyle w:val="TableParagraph"/>
              <w:spacing w:before="92"/>
              <w:ind w:left="200"/>
              <w:rPr>
                <w:b/>
                <w:sz w:val="21"/>
              </w:rPr>
            </w:pPr>
            <w:r>
              <w:rPr>
                <w:b/>
                <w:sz w:val="21"/>
              </w:rPr>
              <w:t>2.5</w:t>
            </w:r>
          </w:p>
        </w:tc>
        <w:tc>
          <w:tcPr>
            <w:tcW w:w="1314" w:type="dxa"/>
          </w:tcPr>
          <w:p>
            <w:pPr>
              <w:pStyle w:val="TableParagraph"/>
              <w:spacing w:before="92"/>
              <w:ind w:left="264"/>
              <w:rPr>
                <w:b/>
                <w:sz w:val="21"/>
              </w:rPr>
            </w:pPr>
            <w:r>
              <w:rPr>
                <w:b/>
                <w:sz w:val="21"/>
              </w:rPr>
              <w:t>责任免除</w:t>
            </w:r>
          </w:p>
        </w:tc>
        <w:tc>
          <w:tcPr>
            <w:tcW w:w="8071" w:type="dxa"/>
          </w:tcPr>
          <w:p>
            <w:pPr>
              <w:pStyle w:val="TableParagraph"/>
              <w:spacing w:line="280" w:lineRule="auto" w:before="116"/>
              <w:ind w:left="107" w:right="304"/>
              <w:rPr>
                <w:rFonts w:ascii="黑体" w:eastAsia="黑体" w:hint="eastAsia"/>
                <w:sz w:val="21"/>
              </w:rPr>
            </w:pPr>
            <w:r>
              <w:rPr>
                <w:rFonts w:ascii="黑体" w:eastAsia="黑体" w:hint="eastAsia"/>
                <w:sz w:val="21"/>
              </w:rPr>
              <w:t>因下列情形之一，导致被保险人发Th轻症重疾或重大疾病的，我们不承担给付保险金的责任：</w:t>
            </w:r>
          </w:p>
          <w:p>
            <w:pPr>
              <w:pStyle w:val="TableParagraph"/>
              <w:spacing w:before="9"/>
              <w:ind w:left="107"/>
              <w:rPr>
                <w:rFonts w:ascii="黑体" w:eastAsia="黑体" w:hint="eastAsia"/>
                <w:sz w:val="21"/>
              </w:rPr>
            </w:pPr>
            <w:r>
              <w:rPr>
                <w:rFonts w:ascii="黑体" w:eastAsia="黑体" w:hint="eastAsia"/>
                <w:sz w:val="21"/>
              </w:rPr>
              <w:t>1、投保人对被保险人的故意杀害、故意伤害；</w:t>
            </w:r>
          </w:p>
          <w:p>
            <w:pPr>
              <w:pStyle w:val="TableParagraph"/>
              <w:spacing w:before="44"/>
              <w:ind w:left="107"/>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3" w:lineRule="exact" w:before="1"/>
              <w:ind w:left="107"/>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3" w:lineRule="exact"/>
              <w:ind w:left="107"/>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spacing w:before="44"/>
              <w:ind w:left="107"/>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TableParagraph"/>
              <w:spacing w:before="44"/>
              <w:ind w:left="107"/>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p>
            <w:pPr>
              <w:pStyle w:val="TableParagraph"/>
              <w:spacing w:before="44"/>
              <w:ind w:left="107"/>
              <w:rPr>
                <w:rFonts w:ascii="黑体" w:eastAsia="黑体" w:hint="eastAsia"/>
                <w:sz w:val="21"/>
              </w:rPr>
            </w:pPr>
            <w:r>
              <w:rPr>
                <w:rFonts w:ascii="黑体" w:eastAsia="黑体" w:hint="eastAsia"/>
                <w:sz w:val="21"/>
              </w:rPr>
              <w:t>7、战争、军事冲突、暴乱或武装叛乱；</w:t>
            </w:r>
          </w:p>
          <w:p>
            <w:pPr>
              <w:pStyle w:val="TableParagraph"/>
              <w:spacing w:line="255" w:lineRule="exact" w:before="46"/>
              <w:ind w:left="107"/>
              <w:rPr>
                <w:rFonts w:ascii="黑体" w:eastAsia="黑体" w:hint="eastAsia"/>
                <w:sz w:val="21"/>
              </w:rPr>
            </w:pPr>
            <w:r>
              <w:rPr>
                <w:rFonts w:ascii="黑体" w:eastAsia="黑体" w:hint="eastAsia"/>
                <w:sz w:val="21"/>
              </w:rPr>
              <w:t>8、核爆炸、核辐射或核污染。</w:t>
            </w:r>
          </w:p>
        </w:tc>
      </w:tr>
    </w:tbl>
    <w:p>
      <w:pPr>
        <w:spacing w:after="0" w:line="255" w:lineRule="exact"/>
        <w:rPr>
          <w:rFonts w:ascii="黑体" w:eastAsia="黑体" w:hint="eastAsia"/>
          <w:sz w:val="21"/>
        </w:rPr>
        <w:sectPr>
          <w:pgSz w:w="11910" w:h="16840"/>
          <w:pgMar w:header="568" w:footer="0" w:top="800" w:bottom="280" w:left="720" w:right="600"/>
        </w:sectPr>
      </w:pPr>
    </w:p>
    <w:p>
      <w:pPr>
        <w:pStyle w:val="BodyText"/>
        <w:rPr>
          <w:rFonts w:ascii="Times New Roman"/>
          <w:sz w:val="20"/>
        </w:rPr>
      </w:pPr>
    </w:p>
    <w:p>
      <w:pPr>
        <w:pStyle w:val="BodyText"/>
        <w:spacing w:before="3" w:after="1"/>
        <w:rPr>
          <w:rFonts w:ascii="Times New Roman"/>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369"/>
        <w:gridCol w:w="7866"/>
      </w:tblGrid>
      <w:tr>
        <w:trPr>
          <w:trHeight w:val="954" w:hRule="atLeast"/>
        </w:trPr>
        <w:tc>
          <w:tcPr>
            <w:tcW w:w="846" w:type="dxa"/>
          </w:tcPr>
          <w:p>
            <w:pPr>
              <w:pStyle w:val="TableParagraph"/>
              <w:rPr>
                <w:rFonts w:ascii="Times New Roman"/>
                <w:sz w:val="20"/>
              </w:rPr>
            </w:pPr>
          </w:p>
        </w:tc>
        <w:tc>
          <w:tcPr>
            <w:tcW w:w="1369" w:type="dxa"/>
          </w:tcPr>
          <w:p>
            <w:pPr>
              <w:pStyle w:val="TableParagraph"/>
              <w:rPr>
                <w:rFonts w:ascii="Times New Roman"/>
                <w:sz w:val="20"/>
              </w:rPr>
            </w:pPr>
          </w:p>
        </w:tc>
        <w:tc>
          <w:tcPr>
            <w:tcW w:w="7866" w:type="dxa"/>
          </w:tcPr>
          <w:p>
            <w:pPr>
              <w:pStyle w:val="TableParagraph"/>
              <w:spacing w:line="211" w:lineRule="exact"/>
              <w:ind w:left="106"/>
              <w:rPr>
                <w:rFonts w:ascii="黑体" w:eastAsia="黑体" w:hint="eastAsia"/>
                <w:sz w:val="21"/>
              </w:rPr>
            </w:pPr>
            <w:r>
              <w:rPr>
                <w:rFonts w:ascii="黑体" w:eastAsia="黑体" w:hint="eastAsia"/>
                <w:sz w:val="21"/>
              </w:rPr>
              <w:t>发Th上述情形导致被保险人发Th轻症重疾或重大疾病的，本附加合同效力终止。我</w:t>
            </w:r>
          </w:p>
          <w:p>
            <w:pPr>
              <w:pStyle w:val="TableParagraph"/>
              <w:spacing w:line="278" w:lineRule="auto" w:before="46"/>
              <w:ind w:left="106" w:right="106"/>
              <w:rPr>
                <w:rFonts w:ascii="黑体" w:eastAsia="黑体" w:hint="eastAsia"/>
                <w:sz w:val="21"/>
              </w:rPr>
            </w:pPr>
            <w:r>
              <w:rPr>
                <w:rFonts w:ascii="黑体" w:eastAsia="黑体" w:hint="eastAsia"/>
                <w:sz w:val="21"/>
              </w:rPr>
              <w:t>们将已收取的本附加合同终止日之后的保障成本退还至主合同个人账户，主合同个人账户价值按退还的金额等额增加。</w:t>
            </w:r>
          </w:p>
        </w:tc>
      </w:tr>
      <w:tr>
        <w:trPr>
          <w:trHeight w:val="554" w:hRule="atLeast"/>
        </w:trPr>
        <w:tc>
          <w:tcPr>
            <w:tcW w:w="846" w:type="dxa"/>
            <w:tcBorders>
              <w:bottom w:val="double" w:sz="1" w:space="0" w:color="000000"/>
            </w:tcBorders>
          </w:tcPr>
          <w:p>
            <w:pPr>
              <w:pStyle w:val="TableParagraph"/>
              <w:spacing w:before="16"/>
              <w:ind w:left="107"/>
              <w:rPr>
                <w:b/>
                <w:sz w:val="28"/>
              </w:rPr>
            </w:pPr>
            <w:r>
              <w:rPr>
                <w:b/>
                <w:w w:val="99"/>
                <w:sz w:val="28"/>
              </w:rPr>
              <w:t>3</w:t>
            </w:r>
          </w:p>
        </w:tc>
        <w:tc>
          <w:tcPr>
            <w:tcW w:w="9235" w:type="dxa"/>
            <w:gridSpan w:val="2"/>
            <w:tcBorders>
              <w:bottom w:val="double" w:sz="1" w:space="0" w:color="000000"/>
            </w:tcBorders>
          </w:tcPr>
          <w:p>
            <w:pPr>
              <w:pStyle w:val="TableParagraph"/>
              <w:spacing w:before="16"/>
              <w:ind w:left="318"/>
              <w:rPr>
                <w:b/>
                <w:sz w:val="28"/>
              </w:rPr>
            </w:pPr>
            <w:r>
              <w:rPr>
                <w:b/>
                <w:sz w:val="28"/>
              </w:rPr>
              <w:t>重大疾病</w:t>
            </w:r>
          </w:p>
        </w:tc>
      </w:tr>
      <w:tr>
        <w:trPr>
          <w:trHeight w:val="3327" w:hRule="atLeast"/>
        </w:trPr>
        <w:tc>
          <w:tcPr>
            <w:tcW w:w="846" w:type="dxa"/>
            <w:tcBorders>
              <w:top w:val="double" w:sz="1" w:space="0" w:color="000000"/>
            </w:tcBorders>
          </w:tcPr>
          <w:p>
            <w:pPr>
              <w:pStyle w:val="TableParagraph"/>
              <w:spacing w:before="90"/>
              <w:ind w:left="107"/>
              <w:rPr>
                <w:b/>
                <w:sz w:val="21"/>
              </w:rPr>
            </w:pPr>
            <w:r>
              <w:rPr>
                <w:b/>
                <w:sz w:val="21"/>
              </w:rPr>
              <w:t>3.1</w:t>
            </w:r>
          </w:p>
        </w:tc>
        <w:tc>
          <w:tcPr>
            <w:tcW w:w="1369" w:type="dxa"/>
            <w:tcBorders>
              <w:top w:val="double" w:sz="1" w:space="0" w:color="000000"/>
            </w:tcBorders>
          </w:tcPr>
          <w:p>
            <w:pPr>
              <w:pStyle w:val="TableParagraph"/>
              <w:spacing w:line="273" w:lineRule="auto" w:before="90"/>
              <w:ind w:left="210" w:right="108"/>
              <w:rPr>
                <w:b/>
                <w:sz w:val="21"/>
              </w:rPr>
            </w:pPr>
            <w:r>
              <w:rPr>
                <w:b/>
                <w:spacing w:val="-18"/>
                <w:sz w:val="21"/>
              </w:rPr>
              <w:t>轻 症 重 疾的范围</w:t>
            </w:r>
          </w:p>
        </w:tc>
        <w:tc>
          <w:tcPr>
            <w:tcW w:w="7866" w:type="dxa"/>
            <w:tcBorders>
              <w:top w:val="double" w:sz="1" w:space="0" w:color="000000"/>
            </w:tcBorders>
          </w:tcPr>
          <w:p>
            <w:pPr>
              <w:pStyle w:val="TableParagraph"/>
              <w:spacing w:line="278" w:lineRule="auto" w:before="114"/>
              <w:ind w:left="106" w:right="106"/>
              <w:jc w:val="both"/>
              <w:rPr>
                <w:sz w:val="21"/>
              </w:rPr>
            </w:pPr>
            <w:r>
              <w:rPr>
                <w:sz w:val="21"/>
              </w:rPr>
              <w:t>本附加合同所指的轻症重疾在本附加合同中有确定的含义，我们将在本附加合同轻症重疾定义中详细列明，您投保本附加合同即表明认可并遵从本附加合同中对轻症重疾的定义。</w:t>
            </w:r>
          </w:p>
          <w:p>
            <w:pPr>
              <w:pStyle w:val="TableParagraph"/>
              <w:spacing w:before="2"/>
              <w:rPr>
                <w:rFonts w:ascii="Times New Roman"/>
                <w:sz w:val="29"/>
              </w:rPr>
            </w:pPr>
          </w:p>
          <w:p>
            <w:pPr>
              <w:pStyle w:val="TableParagraph"/>
              <w:numPr>
                <w:ilvl w:val="0"/>
                <w:numId w:val="2"/>
              </w:numPr>
              <w:tabs>
                <w:tab w:pos="510" w:val="left" w:leader="none"/>
              </w:tabs>
              <w:spacing w:line="240" w:lineRule="auto" w:before="0" w:after="0"/>
              <w:ind w:left="510" w:right="0" w:hanging="212"/>
              <w:jc w:val="left"/>
              <w:rPr>
                <w:sz w:val="18"/>
              </w:rPr>
            </w:pPr>
            <w:r>
              <w:rPr>
                <w:sz w:val="18"/>
              </w:rPr>
              <w:t>非危及生命的恶性病变</w:t>
            </w:r>
          </w:p>
          <w:p>
            <w:pPr>
              <w:pStyle w:val="TableParagraph"/>
              <w:numPr>
                <w:ilvl w:val="0"/>
                <w:numId w:val="2"/>
              </w:numPr>
              <w:tabs>
                <w:tab w:pos="510" w:val="left" w:leader="none"/>
              </w:tabs>
              <w:spacing w:line="333" w:lineRule="auto" w:before="90" w:after="0"/>
              <w:ind w:left="510" w:right="5015" w:hanging="212"/>
              <w:jc w:val="left"/>
              <w:rPr>
                <w:sz w:val="18"/>
              </w:rPr>
            </w:pPr>
            <w:r>
              <w:rPr>
                <w:sz w:val="18"/>
              </w:rPr>
              <w:t>脑垂体瘤、脑囊肿、脑动脉瘤及脑血管瘤</w:t>
            </w:r>
          </w:p>
          <w:p>
            <w:pPr>
              <w:pStyle w:val="TableParagraph"/>
              <w:numPr>
                <w:ilvl w:val="0"/>
                <w:numId w:val="2"/>
              </w:numPr>
              <w:tabs>
                <w:tab w:pos="510" w:val="left" w:leader="none"/>
              </w:tabs>
              <w:spacing w:line="240" w:lineRule="auto" w:before="23" w:after="0"/>
              <w:ind w:left="510" w:right="0" w:hanging="212"/>
              <w:jc w:val="left"/>
              <w:rPr>
                <w:sz w:val="18"/>
              </w:rPr>
            </w:pPr>
            <w:r>
              <w:rPr>
                <w:sz w:val="18"/>
              </w:rPr>
              <w:t>冠状动脉支架植入术</w:t>
            </w:r>
          </w:p>
          <w:p>
            <w:pPr>
              <w:pStyle w:val="TableParagraph"/>
              <w:numPr>
                <w:ilvl w:val="0"/>
                <w:numId w:val="2"/>
              </w:numPr>
              <w:tabs>
                <w:tab w:pos="510" w:val="left" w:leader="none"/>
              </w:tabs>
              <w:spacing w:line="240" w:lineRule="auto" w:before="91" w:after="0"/>
              <w:ind w:left="510" w:right="0" w:hanging="212"/>
              <w:jc w:val="left"/>
              <w:rPr>
                <w:sz w:val="18"/>
              </w:rPr>
            </w:pPr>
            <w:r>
              <w:rPr>
                <w:sz w:val="18"/>
              </w:rPr>
              <w:t>主动脉介入手术</w:t>
            </w:r>
          </w:p>
          <w:p>
            <w:pPr>
              <w:pStyle w:val="TableParagraph"/>
              <w:numPr>
                <w:ilvl w:val="0"/>
                <w:numId w:val="2"/>
              </w:numPr>
              <w:tabs>
                <w:tab w:pos="510" w:val="left" w:leader="none"/>
              </w:tabs>
              <w:spacing w:line="240" w:lineRule="auto" w:before="90" w:after="0"/>
              <w:ind w:left="510" w:right="0" w:hanging="212"/>
              <w:jc w:val="left"/>
              <w:rPr>
                <w:sz w:val="18"/>
              </w:rPr>
            </w:pPr>
            <w:r>
              <w:rPr>
                <w:sz w:val="18"/>
              </w:rPr>
              <w:t>轻度原发性肺动脉高压</w:t>
            </w:r>
          </w:p>
        </w:tc>
      </w:tr>
      <w:tr>
        <w:trPr>
          <w:trHeight w:val="628" w:hRule="atLeast"/>
        </w:trPr>
        <w:tc>
          <w:tcPr>
            <w:tcW w:w="846" w:type="dxa"/>
          </w:tcPr>
          <w:p>
            <w:pPr>
              <w:pStyle w:val="TableParagraph"/>
              <w:spacing w:line="271" w:lineRule="exact"/>
              <w:ind w:left="107"/>
              <w:rPr>
                <w:b/>
                <w:sz w:val="21"/>
              </w:rPr>
            </w:pPr>
            <w:r>
              <w:rPr>
                <w:b/>
                <w:sz w:val="21"/>
              </w:rPr>
              <w:t>3.2</w:t>
            </w:r>
          </w:p>
        </w:tc>
        <w:tc>
          <w:tcPr>
            <w:tcW w:w="1369" w:type="dxa"/>
          </w:tcPr>
          <w:p>
            <w:pPr>
              <w:pStyle w:val="TableParagraph"/>
              <w:spacing w:line="271" w:lineRule="exact"/>
              <w:ind w:left="210"/>
              <w:rPr>
                <w:b/>
                <w:sz w:val="21"/>
              </w:rPr>
            </w:pPr>
            <w:r>
              <w:rPr>
                <w:b/>
                <w:spacing w:val="-18"/>
                <w:sz w:val="21"/>
              </w:rPr>
              <w:t>轻 症 重 疾</w:t>
            </w:r>
          </w:p>
          <w:p>
            <w:pPr>
              <w:pStyle w:val="TableParagraph"/>
              <w:spacing w:before="37"/>
              <w:ind w:left="210"/>
              <w:rPr>
                <w:b/>
                <w:sz w:val="21"/>
              </w:rPr>
            </w:pPr>
            <w:r>
              <w:rPr>
                <w:b/>
                <w:sz w:val="21"/>
              </w:rPr>
              <w:t>的定义</w:t>
            </w:r>
          </w:p>
        </w:tc>
        <w:tc>
          <w:tcPr>
            <w:tcW w:w="7866" w:type="dxa"/>
          </w:tcPr>
          <w:p>
            <w:pPr>
              <w:pStyle w:val="TableParagraph"/>
              <w:spacing w:before="20"/>
              <w:ind w:left="106"/>
              <w:rPr>
                <w:sz w:val="21"/>
              </w:rPr>
            </w:pPr>
            <w:r>
              <w:rPr>
                <w:sz w:val="21"/>
              </w:rPr>
              <w:t>以上各种轻症重疾须</w:t>
            </w:r>
            <w:r>
              <w:rPr>
                <w:b/>
                <w:sz w:val="21"/>
              </w:rPr>
              <w:t>我们认可的医院专科医生</w:t>
            </w:r>
            <w:r>
              <w:rPr>
                <w:sz w:val="21"/>
              </w:rPr>
              <w:t>明确诊断，符合以下定义：</w:t>
            </w:r>
          </w:p>
        </w:tc>
      </w:tr>
      <w:tr>
        <w:trPr>
          <w:trHeight w:val="2031" w:hRule="atLeast"/>
        </w:trPr>
        <w:tc>
          <w:tcPr>
            <w:tcW w:w="846" w:type="dxa"/>
          </w:tcPr>
          <w:p>
            <w:pPr>
              <w:pStyle w:val="TableParagraph"/>
              <w:spacing w:line="268" w:lineRule="exact"/>
              <w:ind w:left="107"/>
              <w:rPr>
                <w:i/>
                <w:sz w:val="22"/>
              </w:rPr>
            </w:pPr>
            <w:r>
              <w:rPr>
                <w:i/>
                <w:sz w:val="22"/>
              </w:rPr>
              <w:t>3.2.1</w:t>
            </w:r>
          </w:p>
        </w:tc>
        <w:tc>
          <w:tcPr>
            <w:tcW w:w="1369" w:type="dxa"/>
          </w:tcPr>
          <w:p>
            <w:pPr>
              <w:pStyle w:val="TableParagraph"/>
              <w:spacing w:line="268" w:lineRule="exact"/>
              <w:ind w:left="210"/>
              <w:rPr>
                <w:i/>
                <w:sz w:val="22"/>
              </w:rPr>
            </w:pPr>
            <w:r>
              <w:rPr>
                <w:i/>
                <w:spacing w:val="-24"/>
                <w:sz w:val="22"/>
              </w:rPr>
              <w:t>非 危 及 生</w:t>
            </w:r>
          </w:p>
          <w:p>
            <w:pPr>
              <w:pStyle w:val="TableParagraph"/>
              <w:spacing w:line="259" w:lineRule="auto" w:before="24"/>
              <w:ind w:left="210" w:right="105"/>
              <w:rPr>
                <w:i/>
                <w:sz w:val="22"/>
              </w:rPr>
            </w:pPr>
            <w:r>
              <w:rPr>
                <w:i/>
                <w:spacing w:val="-24"/>
                <w:sz w:val="22"/>
              </w:rPr>
              <w:t>命 的 恶 性</w:t>
            </w:r>
            <w:r>
              <w:rPr>
                <w:i/>
                <w:spacing w:val="-24"/>
                <w:w w:val="95"/>
                <w:sz w:val="22"/>
              </w:rPr>
              <w:t>病变</w:t>
            </w:r>
          </w:p>
        </w:tc>
        <w:tc>
          <w:tcPr>
            <w:tcW w:w="7866" w:type="dxa"/>
          </w:tcPr>
          <w:p>
            <w:pPr>
              <w:pStyle w:val="TableParagraph"/>
              <w:spacing w:line="266" w:lineRule="exact"/>
              <w:ind w:left="106"/>
              <w:rPr>
                <w:sz w:val="21"/>
              </w:rPr>
            </w:pPr>
            <w:r>
              <w:rPr>
                <w:sz w:val="21"/>
              </w:rPr>
              <w:t>指经组织病理学检查被明确诊断为下列恶性病变，并且接受了相应的治疗。</w:t>
            </w:r>
          </w:p>
          <w:p>
            <w:pPr>
              <w:pStyle w:val="TableParagraph"/>
              <w:spacing w:before="37"/>
              <w:ind w:left="106"/>
              <w:rPr>
                <w:sz w:val="21"/>
              </w:rPr>
            </w:pPr>
            <w:r>
              <w:rPr>
                <w:sz w:val="21"/>
              </w:rPr>
              <w:t>（1）原位癌</w:t>
            </w:r>
          </w:p>
          <w:p>
            <w:pPr>
              <w:pStyle w:val="TableParagraph"/>
              <w:spacing w:before="37"/>
              <w:ind w:left="106"/>
              <w:rPr>
                <w:sz w:val="21"/>
              </w:rPr>
            </w:pPr>
            <w:r>
              <w:rPr>
                <w:sz w:val="21"/>
              </w:rPr>
              <w:t>（2）相当于Binet 分期方案A期程度的慢性淋巴细胞白血病；</w:t>
            </w:r>
          </w:p>
          <w:p>
            <w:pPr>
              <w:pStyle w:val="TableParagraph"/>
              <w:spacing w:before="37"/>
              <w:ind w:left="106"/>
              <w:rPr>
                <w:sz w:val="21"/>
              </w:rPr>
            </w:pPr>
            <w:r>
              <w:rPr>
                <w:sz w:val="21"/>
              </w:rPr>
              <w:t>（3）相当于 Ann Arbor 分期方案 I 期程度的何杰金氏病；</w:t>
            </w:r>
          </w:p>
          <w:p>
            <w:pPr>
              <w:pStyle w:val="TableParagraph"/>
              <w:spacing w:before="37"/>
              <w:ind w:left="10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106"/>
              <w:rPr>
                <w:sz w:val="21"/>
              </w:rPr>
            </w:pPr>
            <w:r>
              <w:rPr>
                <w:sz w:val="21"/>
              </w:rPr>
              <w:t>（5）TNM分期为T1N0M0期或更轻分期的前列腺癌。</w:t>
            </w:r>
          </w:p>
        </w:tc>
      </w:tr>
      <w:tr>
        <w:trPr>
          <w:trHeight w:val="1880" w:hRule="atLeast"/>
        </w:trPr>
        <w:tc>
          <w:tcPr>
            <w:tcW w:w="846" w:type="dxa"/>
          </w:tcPr>
          <w:p>
            <w:pPr>
              <w:pStyle w:val="TableParagraph"/>
              <w:spacing w:before="139"/>
              <w:ind w:left="107"/>
              <w:rPr>
                <w:i/>
                <w:sz w:val="22"/>
              </w:rPr>
            </w:pPr>
            <w:r>
              <w:rPr>
                <w:i/>
                <w:sz w:val="22"/>
              </w:rPr>
              <w:t>3.2.2</w:t>
            </w:r>
          </w:p>
        </w:tc>
        <w:tc>
          <w:tcPr>
            <w:tcW w:w="1369" w:type="dxa"/>
          </w:tcPr>
          <w:p>
            <w:pPr>
              <w:pStyle w:val="TableParagraph"/>
              <w:spacing w:line="259" w:lineRule="auto" w:before="139"/>
              <w:ind w:left="210" w:right="102"/>
              <w:jc w:val="both"/>
              <w:rPr>
                <w:i/>
                <w:sz w:val="22"/>
              </w:rPr>
            </w:pPr>
            <w:r>
              <w:rPr>
                <w:i/>
                <w:spacing w:val="-1"/>
                <w:w w:val="95"/>
                <w:sz w:val="22"/>
              </w:rPr>
              <w:t>脑垂体瘤、</w:t>
            </w:r>
            <w:r>
              <w:rPr>
                <w:i/>
                <w:spacing w:val="-3"/>
                <w:w w:val="95"/>
                <w:sz w:val="22"/>
              </w:rPr>
              <w:t>脑囊肿、脑</w:t>
            </w:r>
            <w:r>
              <w:rPr>
                <w:i/>
                <w:spacing w:val="-24"/>
                <w:sz w:val="22"/>
              </w:rPr>
              <w:t>动 脉 瘤 和</w:t>
            </w:r>
            <w:r>
              <w:rPr>
                <w:i/>
                <w:spacing w:val="-13"/>
                <w:w w:val="95"/>
                <w:sz w:val="22"/>
              </w:rPr>
              <w:t>脑血管瘤</w:t>
            </w:r>
          </w:p>
        </w:tc>
        <w:tc>
          <w:tcPr>
            <w:tcW w:w="7866" w:type="dxa"/>
          </w:tcPr>
          <w:p>
            <w:pPr>
              <w:pStyle w:val="TableParagraph"/>
              <w:spacing w:line="273" w:lineRule="auto" w:before="151"/>
              <w:ind w:left="106" w:right="96"/>
              <w:rPr>
                <w:sz w:val="21"/>
              </w:rPr>
            </w:pPr>
            <w:r>
              <w:rPr>
                <w:w w:val="100"/>
                <w:sz w:val="21"/>
              </w:rPr>
              <w:t>指经头颅断层扫描（C</w:t>
            </w:r>
            <w:r>
              <w:rPr>
                <w:spacing w:val="1"/>
                <w:w w:val="100"/>
                <w:sz w:val="21"/>
              </w:rPr>
              <w:t>T</w:t>
            </w:r>
            <w:r>
              <w:rPr>
                <w:spacing w:val="-104"/>
                <w:w w:val="100"/>
                <w:sz w:val="21"/>
              </w:rPr>
              <w:t>）</w:t>
            </w:r>
            <w:r>
              <w:rPr>
                <w:w w:val="100"/>
                <w:sz w:val="21"/>
              </w:rPr>
              <w:t>、核磁共振</w:t>
            </w:r>
            <w:r>
              <w:rPr>
                <w:spacing w:val="2"/>
                <w:w w:val="100"/>
                <w:sz w:val="21"/>
              </w:rPr>
              <w:t>（</w:t>
            </w:r>
            <w:r>
              <w:rPr>
                <w:w w:val="100"/>
                <w:sz w:val="21"/>
              </w:rPr>
              <w:t>M</w:t>
            </w:r>
            <w:r>
              <w:rPr>
                <w:spacing w:val="-3"/>
                <w:w w:val="100"/>
                <w:sz w:val="21"/>
              </w:rPr>
              <w:t>R</w:t>
            </w:r>
            <w:r>
              <w:rPr>
                <w:spacing w:val="1"/>
                <w:w w:val="100"/>
                <w:sz w:val="21"/>
              </w:rPr>
              <w:t>I）</w:t>
            </w:r>
            <w:r>
              <w:rPr>
                <w:w w:val="100"/>
                <w:sz w:val="21"/>
              </w:rPr>
              <w:t>或其他影像学检查被确诊为下列病变，</w:t>
            </w:r>
            <w:r>
              <w:rPr>
                <w:spacing w:val="-3"/>
                <w:sz w:val="21"/>
              </w:rPr>
              <w:t>并实际接受了手术或放射治疗。</w:t>
            </w:r>
          </w:p>
          <w:p>
            <w:pPr>
              <w:pStyle w:val="TableParagraph"/>
              <w:spacing w:before="7"/>
              <w:ind w:left="106"/>
              <w:rPr>
                <w:sz w:val="21"/>
              </w:rPr>
            </w:pPr>
            <w:r>
              <w:rPr>
                <w:sz w:val="21"/>
              </w:rPr>
              <w:t>（1）脑垂体瘤；</w:t>
            </w:r>
          </w:p>
          <w:p>
            <w:pPr>
              <w:pStyle w:val="TableParagraph"/>
              <w:spacing w:before="36"/>
              <w:ind w:left="106"/>
              <w:rPr>
                <w:sz w:val="21"/>
              </w:rPr>
            </w:pPr>
            <w:r>
              <w:rPr>
                <w:sz w:val="21"/>
              </w:rPr>
              <w:t>（2）脑囊肿；</w:t>
            </w:r>
          </w:p>
          <w:p>
            <w:pPr>
              <w:pStyle w:val="TableParagraph"/>
              <w:spacing w:before="36"/>
              <w:ind w:left="106"/>
              <w:rPr>
                <w:sz w:val="21"/>
              </w:rPr>
            </w:pPr>
            <w:r>
              <w:rPr>
                <w:sz w:val="21"/>
              </w:rPr>
              <w:t>（3）脑动脉瘤、脑血管瘤。</w:t>
            </w:r>
          </w:p>
        </w:tc>
      </w:tr>
      <w:tr>
        <w:trPr>
          <w:trHeight w:val="1097" w:hRule="atLeast"/>
        </w:trPr>
        <w:tc>
          <w:tcPr>
            <w:tcW w:w="846" w:type="dxa"/>
          </w:tcPr>
          <w:p>
            <w:pPr>
              <w:pStyle w:val="TableParagraph"/>
              <w:spacing w:before="140"/>
              <w:ind w:left="107"/>
              <w:rPr>
                <w:i/>
                <w:sz w:val="22"/>
              </w:rPr>
            </w:pPr>
            <w:r>
              <w:rPr>
                <w:i/>
                <w:sz w:val="22"/>
              </w:rPr>
              <w:t>3.2.3</w:t>
            </w:r>
          </w:p>
        </w:tc>
        <w:tc>
          <w:tcPr>
            <w:tcW w:w="1369" w:type="dxa"/>
          </w:tcPr>
          <w:p>
            <w:pPr>
              <w:pStyle w:val="TableParagraph"/>
              <w:spacing w:line="259" w:lineRule="auto" w:before="140"/>
              <w:ind w:left="210" w:right="105"/>
              <w:jc w:val="both"/>
              <w:rPr>
                <w:i/>
                <w:sz w:val="22"/>
              </w:rPr>
            </w:pPr>
            <w:r>
              <w:rPr>
                <w:i/>
                <w:spacing w:val="-24"/>
                <w:sz w:val="22"/>
              </w:rPr>
              <w:t>冠 状 动 脉</w:t>
            </w:r>
            <w:r>
              <w:rPr>
                <w:i/>
                <w:spacing w:val="-29"/>
                <w:sz w:val="22"/>
              </w:rPr>
              <w:t>支 架 植 入术</w:t>
            </w:r>
          </w:p>
        </w:tc>
        <w:tc>
          <w:tcPr>
            <w:tcW w:w="7866" w:type="dxa"/>
          </w:tcPr>
          <w:p>
            <w:pPr>
              <w:pStyle w:val="TableParagraph"/>
              <w:spacing w:before="152"/>
              <w:ind w:left="106"/>
              <w:rPr>
                <w:sz w:val="21"/>
              </w:rPr>
            </w:pPr>
            <w:r>
              <w:rPr>
                <w:sz w:val="21"/>
              </w:rPr>
              <w:t>为了治疗明显的冠状动脉狭窄性疾病，首次实际实施了冠状动脉支架植入术。</w:t>
            </w:r>
          </w:p>
        </w:tc>
      </w:tr>
      <w:tr>
        <w:trPr>
          <w:trHeight w:val="783" w:hRule="atLeast"/>
        </w:trPr>
        <w:tc>
          <w:tcPr>
            <w:tcW w:w="846" w:type="dxa"/>
          </w:tcPr>
          <w:p>
            <w:pPr>
              <w:pStyle w:val="TableParagraph"/>
              <w:spacing w:line="267" w:lineRule="exact"/>
              <w:ind w:left="107"/>
              <w:rPr>
                <w:i/>
                <w:sz w:val="22"/>
              </w:rPr>
            </w:pPr>
            <w:r>
              <w:rPr>
                <w:i/>
                <w:sz w:val="22"/>
              </w:rPr>
              <w:t>3.2.4</w:t>
            </w:r>
          </w:p>
        </w:tc>
        <w:tc>
          <w:tcPr>
            <w:tcW w:w="1369" w:type="dxa"/>
          </w:tcPr>
          <w:p>
            <w:pPr>
              <w:pStyle w:val="TableParagraph"/>
              <w:spacing w:line="267" w:lineRule="exact"/>
              <w:ind w:left="210"/>
              <w:rPr>
                <w:i/>
                <w:sz w:val="22"/>
              </w:rPr>
            </w:pPr>
            <w:r>
              <w:rPr>
                <w:i/>
                <w:spacing w:val="-24"/>
                <w:sz w:val="22"/>
              </w:rPr>
              <w:t>主 动 脉 介</w:t>
            </w:r>
          </w:p>
          <w:p>
            <w:pPr>
              <w:pStyle w:val="TableParagraph"/>
              <w:spacing w:before="24"/>
              <w:ind w:left="210"/>
              <w:rPr>
                <w:i/>
                <w:sz w:val="22"/>
              </w:rPr>
            </w:pPr>
            <w:r>
              <w:rPr>
                <w:i/>
                <w:w w:val="95"/>
                <w:sz w:val="22"/>
              </w:rPr>
              <w:t>入手术</w:t>
            </w:r>
          </w:p>
        </w:tc>
        <w:tc>
          <w:tcPr>
            <w:tcW w:w="7866" w:type="dxa"/>
          </w:tcPr>
          <w:p>
            <w:pPr>
              <w:pStyle w:val="TableParagraph"/>
              <w:spacing w:line="273" w:lineRule="auto"/>
              <w:ind w:left="106" w:right="106"/>
              <w:rPr>
                <w:sz w:val="21"/>
              </w:rPr>
            </w:pPr>
            <w:r>
              <w:rPr>
                <w:sz w:val="21"/>
              </w:rPr>
              <w:t>为了治疗主动脉疾病实际实施了经皮经导管进行的动脉内手术。主动脉指胸主动脉和腹主动脉，不包括胸主动脉和腹主动脉的分支血管。</w:t>
            </w:r>
          </w:p>
        </w:tc>
      </w:tr>
      <w:tr>
        <w:trPr>
          <w:trHeight w:val="1300" w:hRule="atLeast"/>
        </w:trPr>
        <w:tc>
          <w:tcPr>
            <w:tcW w:w="846" w:type="dxa"/>
          </w:tcPr>
          <w:p>
            <w:pPr>
              <w:pStyle w:val="TableParagraph"/>
              <w:spacing w:before="138"/>
              <w:ind w:left="107"/>
              <w:rPr>
                <w:i/>
                <w:sz w:val="22"/>
              </w:rPr>
            </w:pPr>
            <w:r>
              <w:rPr>
                <w:i/>
                <w:sz w:val="22"/>
              </w:rPr>
              <w:t>3.2.5</w:t>
            </w:r>
          </w:p>
        </w:tc>
        <w:tc>
          <w:tcPr>
            <w:tcW w:w="1369" w:type="dxa"/>
          </w:tcPr>
          <w:p>
            <w:pPr>
              <w:pStyle w:val="TableParagraph"/>
              <w:spacing w:line="259" w:lineRule="auto" w:before="138"/>
              <w:ind w:left="210" w:right="105"/>
              <w:jc w:val="both"/>
              <w:rPr>
                <w:i/>
                <w:sz w:val="22"/>
              </w:rPr>
            </w:pPr>
            <w:r>
              <w:rPr>
                <w:i/>
                <w:spacing w:val="-24"/>
                <w:sz w:val="22"/>
              </w:rPr>
              <w:t>轻 度 原 发</w:t>
            </w:r>
            <w:r>
              <w:rPr>
                <w:i/>
                <w:spacing w:val="-29"/>
                <w:sz w:val="22"/>
              </w:rPr>
              <w:t>性 肺 动 脉</w:t>
            </w:r>
            <w:r>
              <w:rPr>
                <w:i/>
                <w:spacing w:val="-29"/>
                <w:w w:val="95"/>
                <w:sz w:val="22"/>
              </w:rPr>
              <w:t>高压</w:t>
            </w:r>
          </w:p>
        </w:tc>
        <w:tc>
          <w:tcPr>
            <w:tcW w:w="7866" w:type="dxa"/>
          </w:tcPr>
          <w:p>
            <w:pPr>
              <w:pStyle w:val="TableParagraph"/>
              <w:spacing w:line="271" w:lineRule="auto" w:before="174"/>
              <w:ind w:left="106" w:right="97"/>
              <w:jc w:val="both"/>
              <w:rPr>
                <w:sz w:val="21"/>
              </w:rPr>
            </w:pPr>
            <w:r>
              <w:rPr>
                <w:sz w:val="21"/>
              </w:rPr>
              <w:t>指由于原发性肺动脉高压进行性发展而导致右心室肥厚，已经造成永久不可逆性的</w:t>
            </w:r>
            <w:r>
              <w:rPr>
                <w:spacing w:val="-6"/>
                <w:sz w:val="21"/>
              </w:rPr>
              <w:t>体力活动能力受限，达到美国纽约心脏病学会心功能状态分级 </w:t>
            </w:r>
            <w:r>
              <w:rPr>
                <w:rFonts w:ascii="Times New Roman" w:eastAsia="Times New Roman"/>
                <w:sz w:val="21"/>
              </w:rPr>
              <w:t>III </w:t>
            </w:r>
            <w:r>
              <w:rPr>
                <w:spacing w:val="-3"/>
                <w:sz w:val="21"/>
              </w:rPr>
              <w:t>级，且静息状态下</w:t>
            </w:r>
            <w:r>
              <w:rPr>
                <w:spacing w:val="-8"/>
                <w:sz w:val="21"/>
              </w:rPr>
              <w:t>肺动脉平均压超过 </w:t>
            </w:r>
            <w:r>
              <w:rPr>
                <w:rFonts w:ascii="Times New Roman" w:eastAsia="Times New Roman"/>
                <w:sz w:val="21"/>
              </w:rPr>
              <w:t>25mmHg</w:t>
            </w:r>
            <w:r>
              <w:rPr>
                <w:sz w:val="21"/>
              </w:rPr>
              <w:t>。</w:t>
            </w:r>
          </w:p>
        </w:tc>
      </w:tr>
      <w:tr>
        <w:trPr>
          <w:trHeight w:val="1388" w:hRule="atLeast"/>
        </w:trPr>
        <w:tc>
          <w:tcPr>
            <w:tcW w:w="846" w:type="dxa"/>
          </w:tcPr>
          <w:p>
            <w:pPr>
              <w:pStyle w:val="TableParagraph"/>
              <w:spacing w:before="130"/>
              <w:ind w:left="107"/>
              <w:rPr>
                <w:b/>
                <w:sz w:val="21"/>
              </w:rPr>
            </w:pPr>
            <w:r>
              <w:rPr>
                <w:b/>
                <w:sz w:val="21"/>
              </w:rPr>
              <w:t>3.3</w:t>
            </w:r>
          </w:p>
        </w:tc>
        <w:tc>
          <w:tcPr>
            <w:tcW w:w="1369" w:type="dxa"/>
          </w:tcPr>
          <w:p>
            <w:pPr>
              <w:pStyle w:val="TableParagraph"/>
              <w:spacing w:line="273" w:lineRule="auto" w:before="130"/>
              <w:ind w:left="210" w:right="108"/>
              <w:rPr>
                <w:b/>
                <w:sz w:val="21"/>
              </w:rPr>
            </w:pPr>
            <w:r>
              <w:rPr>
                <w:b/>
                <w:spacing w:val="-18"/>
                <w:sz w:val="21"/>
              </w:rPr>
              <w:t>重 大 疾 病的范围</w:t>
            </w:r>
          </w:p>
        </w:tc>
        <w:tc>
          <w:tcPr>
            <w:tcW w:w="7866" w:type="dxa"/>
          </w:tcPr>
          <w:p>
            <w:pPr>
              <w:pStyle w:val="TableParagraph"/>
              <w:spacing w:line="280" w:lineRule="auto" w:before="154"/>
              <w:ind w:left="106" w:right="106"/>
              <w:jc w:val="both"/>
              <w:rPr>
                <w:sz w:val="21"/>
              </w:rPr>
            </w:pPr>
            <w:r>
              <w:rPr>
                <w:sz w:val="21"/>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w:t>
            </w:r>
          </w:p>
          <w:p>
            <w:pPr>
              <w:pStyle w:val="TableParagraph"/>
              <w:spacing w:line="255" w:lineRule="exact" w:before="8"/>
              <w:ind w:left="106"/>
              <w:jc w:val="both"/>
              <w:rPr>
                <w:sz w:val="21"/>
              </w:rPr>
            </w:pPr>
            <w:r>
              <w:rPr>
                <w:sz w:val="21"/>
              </w:rPr>
              <w:t>细列明，您投保本附加合同即表明认可并遵从本附加合同中对重大疾病的定义。</w:t>
            </w:r>
          </w:p>
        </w:tc>
      </w:tr>
    </w:tbl>
    <w:p>
      <w:pPr>
        <w:spacing w:after="0" w:line="255" w:lineRule="exact"/>
        <w:jc w:val="both"/>
        <w:rPr>
          <w:sz w:val="21"/>
        </w:rPr>
        <w:sectPr>
          <w:pgSz w:w="11910" w:h="16840"/>
          <w:pgMar w:header="568" w:footer="0" w:top="800" w:bottom="280" w:left="800" w:right="800"/>
        </w:sectPr>
      </w:pPr>
    </w:p>
    <w:p>
      <w:pPr>
        <w:pStyle w:val="BodyText"/>
        <w:rPr>
          <w:rFonts w:ascii="Times New Roman"/>
          <w:sz w:val="20"/>
        </w:rPr>
      </w:pPr>
    </w:p>
    <w:p>
      <w:pPr>
        <w:pStyle w:val="BodyText"/>
        <w:spacing w:before="9"/>
        <w:rPr>
          <w:rFonts w:ascii="Times New Roman"/>
          <w:sz w:val="15"/>
        </w:rPr>
      </w:pPr>
    </w:p>
    <w:tbl>
      <w:tblPr>
        <w:tblW w:w="0" w:type="auto"/>
        <w:jc w:val="left"/>
        <w:tblInd w:w="2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199"/>
        <w:gridCol w:w="501"/>
        <w:gridCol w:w="3138"/>
      </w:tblGrid>
      <w:tr>
        <w:trPr>
          <w:trHeight w:val="253" w:hRule="atLeast"/>
        </w:trPr>
        <w:tc>
          <w:tcPr>
            <w:tcW w:w="441" w:type="dxa"/>
          </w:tcPr>
          <w:p>
            <w:pPr>
              <w:pStyle w:val="TableParagraph"/>
              <w:spacing w:line="180" w:lineRule="exact"/>
              <w:ind w:right="60"/>
              <w:jc w:val="right"/>
              <w:rPr>
                <w:sz w:val="18"/>
              </w:rPr>
            </w:pPr>
            <w:r>
              <w:rPr>
                <w:sz w:val="18"/>
              </w:rPr>
              <w:t>1</w:t>
            </w:r>
          </w:p>
        </w:tc>
        <w:tc>
          <w:tcPr>
            <w:tcW w:w="3199" w:type="dxa"/>
          </w:tcPr>
          <w:p>
            <w:pPr>
              <w:pStyle w:val="TableParagraph"/>
              <w:spacing w:line="180" w:lineRule="exact"/>
              <w:ind w:left="58"/>
              <w:rPr>
                <w:sz w:val="18"/>
              </w:rPr>
            </w:pPr>
            <w:r>
              <w:rPr>
                <w:sz w:val="18"/>
              </w:rPr>
              <w:t>恶性肿瘤</w:t>
            </w:r>
          </w:p>
        </w:tc>
        <w:tc>
          <w:tcPr>
            <w:tcW w:w="501" w:type="dxa"/>
          </w:tcPr>
          <w:p>
            <w:pPr>
              <w:pStyle w:val="TableParagraph"/>
              <w:spacing w:line="180" w:lineRule="exact"/>
              <w:ind w:right="55"/>
              <w:jc w:val="right"/>
              <w:rPr>
                <w:sz w:val="18"/>
              </w:rPr>
            </w:pPr>
            <w:r>
              <w:rPr>
                <w:sz w:val="18"/>
              </w:rPr>
              <w:t>15</w:t>
            </w:r>
          </w:p>
        </w:tc>
        <w:tc>
          <w:tcPr>
            <w:tcW w:w="3138" w:type="dxa"/>
          </w:tcPr>
          <w:p>
            <w:pPr>
              <w:pStyle w:val="TableParagraph"/>
              <w:spacing w:line="180" w:lineRule="exact"/>
              <w:ind w:left="60"/>
              <w:rPr>
                <w:sz w:val="18"/>
              </w:rPr>
            </w:pPr>
            <w:r>
              <w:rPr>
                <w:sz w:val="18"/>
              </w:rPr>
              <w:t>瘫痪</w:t>
            </w:r>
          </w:p>
        </w:tc>
      </w:tr>
      <w:tr>
        <w:trPr>
          <w:trHeight w:val="326" w:hRule="atLeast"/>
        </w:trPr>
        <w:tc>
          <w:tcPr>
            <w:tcW w:w="441" w:type="dxa"/>
          </w:tcPr>
          <w:p>
            <w:pPr>
              <w:pStyle w:val="TableParagraph"/>
              <w:spacing w:before="17"/>
              <w:ind w:right="60"/>
              <w:jc w:val="right"/>
              <w:rPr>
                <w:sz w:val="18"/>
              </w:rPr>
            </w:pPr>
            <w:r>
              <w:rPr>
                <w:sz w:val="18"/>
              </w:rPr>
              <w:t>2</w:t>
            </w:r>
          </w:p>
        </w:tc>
        <w:tc>
          <w:tcPr>
            <w:tcW w:w="3199" w:type="dxa"/>
          </w:tcPr>
          <w:p>
            <w:pPr>
              <w:pStyle w:val="TableParagraph"/>
              <w:spacing w:before="17"/>
              <w:ind w:left="58"/>
              <w:rPr>
                <w:sz w:val="18"/>
              </w:rPr>
            </w:pPr>
            <w:r>
              <w:rPr>
                <w:sz w:val="18"/>
              </w:rPr>
              <w:t>急性心肌梗塞</w:t>
            </w:r>
          </w:p>
        </w:tc>
        <w:tc>
          <w:tcPr>
            <w:tcW w:w="501" w:type="dxa"/>
          </w:tcPr>
          <w:p>
            <w:pPr>
              <w:pStyle w:val="TableParagraph"/>
              <w:spacing w:before="17"/>
              <w:ind w:right="55"/>
              <w:jc w:val="right"/>
              <w:rPr>
                <w:sz w:val="18"/>
              </w:rPr>
            </w:pPr>
            <w:r>
              <w:rPr>
                <w:sz w:val="18"/>
              </w:rPr>
              <w:t>16</w:t>
            </w:r>
          </w:p>
        </w:tc>
        <w:tc>
          <w:tcPr>
            <w:tcW w:w="3138" w:type="dxa"/>
          </w:tcPr>
          <w:p>
            <w:pPr>
              <w:pStyle w:val="TableParagraph"/>
              <w:spacing w:before="17"/>
              <w:ind w:left="60"/>
              <w:rPr>
                <w:sz w:val="18"/>
              </w:rPr>
            </w:pPr>
            <w:r>
              <w:rPr>
                <w:sz w:val="18"/>
              </w:rPr>
              <w:t>心脏瓣膜手术</w:t>
            </w:r>
          </w:p>
        </w:tc>
      </w:tr>
      <w:tr>
        <w:trPr>
          <w:trHeight w:val="326" w:hRule="atLeast"/>
        </w:trPr>
        <w:tc>
          <w:tcPr>
            <w:tcW w:w="441" w:type="dxa"/>
          </w:tcPr>
          <w:p>
            <w:pPr>
              <w:pStyle w:val="TableParagraph"/>
              <w:spacing w:before="18"/>
              <w:ind w:right="60"/>
              <w:jc w:val="right"/>
              <w:rPr>
                <w:sz w:val="18"/>
              </w:rPr>
            </w:pPr>
            <w:r>
              <w:rPr>
                <w:sz w:val="18"/>
              </w:rPr>
              <w:t>3</w:t>
            </w:r>
          </w:p>
        </w:tc>
        <w:tc>
          <w:tcPr>
            <w:tcW w:w="3199" w:type="dxa"/>
          </w:tcPr>
          <w:p>
            <w:pPr>
              <w:pStyle w:val="TableParagraph"/>
              <w:spacing w:before="18"/>
              <w:ind w:left="58"/>
              <w:rPr>
                <w:sz w:val="18"/>
              </w:rPr>
            </w:pPr>
            <w:r>
              <w:rPr>
                <w:sz w:val="18"/>
              </w:rPr>
              <w:t>脑中风后遗症</w:t>
            </w:r>
          </w:p>
        </w:tc>
        <w:tc>
          <w:tcPr>
            <w:tcW w:w="501" w:type="dxa"/>
          </w:tcPr>
          <w:p>
            <w:pPr>
              <w:pStyle w:val="TableParagraph"/>
              <w:spacing w:before="18"/>
              <w:ind w:right="55"/>
              <w:jc w:val="right"/>
              <w:rPr>
                <w:sz w:val="18"/>
              </w:rPr>
            </w:pPr>
            <w:r>
              <w:rPr>
                <w:sz w:val="18"/>
              </w:rPr>
              <w:t>17</w:t>
            </w:r>
          </w:p>
        </w:tc>
        <w:tc>
          <w:tcPr>
            <w:tcW w:w="3138" w:type="dxa"/>
          </w:tcPr>
          <w:p>
            <w:pPr>
              <w:pStyle w:val="TableParagraph"/>
              <w:spacing w:before="18"/>
              <w:ind w:left="60"/>
              <w:rPr>
                <w:sz w:val="18"/>
              </w:rPr>
            </w:pPr>
            <w:r>
              <w:rPr>
                <w:sz w:val="18"/>
              </w:rPr>
              <w:t>严重阿尔茨海默病</w:t>
            </w:r>
          </w:p>
        </w:tc>
      </w:tr>
      <w:tr>
        <w:trPr>
          <w:trHeight w:val="327" w:hRule="atLeast"/>
        </w:trPr>
        <w:tc>
          <w:tcPr>
            <w:tcW w:w="441" w:type="dxa"/>
          </w:tcPr>
          <w:p>
            <w:pPr>
              <w:pStyle w:val="TableParagraph"/>
              <w:spacing w:before="17"/>
              <w:ind w:right="60"/>
              <w:jc w:val="right"/>
              <w:rPr>
                <w:sz w:val="18"/>
              </w:rPr>
            </w:pPr>
            <w:r>
              <w:rPr>
                <w:sz w:val="18"/>
              </w:rPr>
              <w:t>4</w:t>
            </w:r>
          </w:p>
        </w:tc>
        <w:tc>
          <w:tcPr>
            <w:tcW w:w="3199" w:type="dxa"/>
          </w:tcPr>
          <w:p>
            <w:pPr>
              <w:pStyle w:val="TableParagraph"/>
              <w:spacing w:before="17"/>
              <w:ind w:left="58"/>
              <w:rPr>
                <w:sz w:val="18"/>
              </w:rPr>
            </w:pPr>
            <w:r>
              <w:rPr>
                <w:sz w:val="18"/>
              </w:rPr>
              <w:t>重大器官移植术或造血干细胞移植术</w:t>
            </w:r>
          </w:p>
        </w:tc>
        <w:tc>
          <w:tcPr>
            <w:tcW w:w="501" w:type="dxa"/>
          </w:tcPr>
          <w:p>
            <w:pPr>
              <w:pStyle w:val="TableParagraph"/>
              <w:spacing w:before="17"/>
              <w:ind w:right="55"/>
              <w:jc w:val="right"/>
              <w:rPr>
                <w:sz w:val="18"/>
              </w:rPr>
            </w:pPr>
            <w:r>
              <w:rPr>
                <w:sz w:val="18"/>
              </w:rPr>
              <w:t>18</w:t>
            </w:r>
          </w:p>
        </w:tc>
        <w:tc>
          <w:tcPr>
            <w:tcW w:w="3138" w:type="dxa"/>
          </w:tcPr>
          <w:p>
            <w:pPr>
              <w:pStyle w:val="TableParagraph"/>
              <w:spacing w:before="17"/>
              <w:ind w:left="60"/>
              <w:rPr>
                <w:sz w:val="18"/>
              </w:rPr>
            </w:pPr>
            <w:r>
              <w:rPr>
                <w:sz w:val="18"/>
              </w:rPr>
              <w:t>严重脑损伤</w:t>
            </w:r>
          </w:p>
        </w:tc>
      </w:tr>
      <w:tr>
        <w:trPr>
          <w:trHeight w:val="327" w:hRule="atLeast"/>
        </w:trPr>
        <w:tc>
          <w:tcPr>
            <w:tcW w:w="441" w:type="dxa"/>
          </w:tcPr>
          <w:p>
            <w:pPr>
              <w:pStyle w:val="TableParagraph"/>
              <w:spacing w:before="19"/>
              <w:ind w:right="60"/>
              <w:jc w:val="right"/>
              <w:rPr>
                <w:sz w:val="18"/>
              </w:rPr>
            </w:pPr>
            <w:r>
              <w:rPr>
                <w:sz w:val="18"/>
              </w:rPr>
              <w:t>5</w:t>
            </w:r>
          </w:p>
        </w:tc>
        <w:tc>
          <w:tcPr>
            <w:tcW w:w="3199" w:type="dxa"/>
          </w:tcPr>
          <w:p>
            <w:pPr>
              <w:pStyle w:val="TableParagraph"/>
              <w:spacing w:before="19"/>
              <w:ind w:left="58"/>
              <w:rPr>
                <w:sz w:val="18"/>
              </w:rPr>
            </w:pPr>
            <w:r>
              <w:rPr>
                <w:sz w:val="18"/>
              </w:rPr>
              <w:t>冠状动脉搭桥术</w:t>
            </w:r>
          </w:p>
        </w:tc>
        <w:tc>
          <w:tcPr>
            <w:tcW w:w="501" w:type="dxa"/>
          </w:tcPr>
          <w:p>
            <w:pPr>
              <w:pStyle w:val="TableParagraph"/>
              <w:spacing w:before="19"/>
              <w:ind w:right="55"/>
              <w:jc w:val="right"/>
              <w:rPr>
                <w:sz w:val="18"/>
              </w:rPr>
            </w:pPr>
            <w:r>
              <w:rPr>
                <w:sz w:val="18"/>
              </w:rPr>
              <w:t>19</w:t>
            </w:r>
          </w:p>
        </w:tc>
        <w:tc>
          <w:tcPr>
            <w:tcW w:w="3138" w:type="dxa"/>
          </w:tcPr>
          <w:p>
            <w:pPr>
              <w:pStyle w:val="TableParagraph"/>
              <w:spacing w:before="19"/>
              <w:ind w:left="60"/>
              <w:rPr>
                <w:sz w:val="18"/>
              </w:rPr>
            </w:pPr>
            <w:r>
              <w:rPr>
                <w:sz w:val="18"/>
              </w:rPr>
              <w:t>严重帕金森病</w:t>
            </w:r>
          </w:p>
        </w:tc>
      </w:tr>
      <w:tr>
        <w:trPr>
          <w:trHeight w:val="326" w:hRule="atLeast"/>
        </w:trPr>
        <w:tc>
          <w:tcPr>
            <w:tcW w:w="441" w:type="dxa"/>
          </w:tcPr>
          <w:p>
            <w:pPr>
              <w:pStyle w:val="TableParagraph"/>
              <w:rPr>
                <w:rFonts w:ascii="Times New Roman"/>
                <w:sz w:val="20"/>
              </w:rPr>
            </w:pPr>
          </w:p>
        </w:tc>
        <w:tc>
          <w:tcPr>
            <w:tcW w:w="3199" w:type="dxa"/>
          </w:tcPr>
          <w:p>
            <w:pPr>
              <w:pStyle w:val="TableParagraph"/>
              <w:spacing w:before="17"/>
              <w:ind w:left="58"/>
              <w:rPr>
                <w:sz w:val="18"/>
              </w:rPr>
            </w:pPr>
            <w:r>
              <w:rPr>
                <w:sz w:val="18"/>
              </w:rPr>
              <w:t>（或称冠状动脉旁路移植术）</w:t>
            </w:r>
          </w:p>
        </w:tc>
        <w:tc>
          <w:tcPr>
            <w:tcW w:w="501" w:type="dxa"/>
          </w:tcPr>
          <w:p>
            <w:pPr>
              <w:pStyle w:val="TableParagraph"/>
              <w:spacing w:before="17"/>
              <w:ind w:right="55"/>
              <w:jc w:val="right"/>
              <w:rPr>
                <w:sz w:val="18"/>
              </w:rPr>
            </w:pPr>
            <w:r>
              <w:rPr>
                <w:sz w:val="18"/>
              </w:rPr>
              <w:t>20</w:t>
            </w:r>
          </w:p>
        </w:tc>
        <w:tc>
          <w:tcPr>
            <w:tcW w:w="3138" w:type="dxa"/>
          </w:tcPr>
          <w:p>
            <w:pPr>
              <w:pStyle w:val="TableParagraph"/>
              <w:spacing w:before="17"/>
              <w:ind w:left="60"/>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3199" w:type="dxa"/>
          </w:tcPr>
          <w:p>
            <w:pPr>
              <w:pStyle w:val="TableParagraph"/>
              <w:spacing w:before="17"/>
              <w:ind w:left="58"/>
              <w:rPr>
                <w:sz w:val="18"/>
              </w:rPr>
            </w:pPr>
            <w:r>
              <w:rPr>
                <w:sz w:val="18"/>
              </w:rPr>
              <w:t>终末期肾病</w:t>
            </w:r>
          </w:p>
        </w:tc>
        <w:tc>
          <w:tcPr>
            <w:tcW w:w="501" w:type="dxa"/>
          </w:tcPr>
          <w:p>
            <w:pPr>
              <w:pStyle w:val="TableParagraph"/>
              <w:spacing w:before="17"/>
              <w:ind w:right="55"/>
              <w:jc w:val="right"/>
              <w:rPr>
                <w:sz w:val="18"/>
              </w:rPr>
            </w:pPr>
            <w:r>
              <w:rPr>
                <w:sz w:val="18"/>
              </w:rPr>
              <w:t>21</w:t>
            </w:r>
          </w:p>
        </w:tc>
        <w:tc>
          <w:tcPr>
            <w:tcW w:w="3138" w:type="dxa"/>
          </w:tcPr>
          <w:p>
            <w:pPr>
              <w:pStyle w:val="TableParagraph"/>
              <w:spacing w:before="17"/>
              <w:ind w:left="60"/>
              <w:rPr>
                <w:sz w:val="18"/>
              </w:rPr>
            </w:pPr>
            <w:r>
              <w:rPr>
                <w:sz w:val="18"/>
              </w:rPr>
              <w:t>严重原发性肺动脉高压</w:t>
            </w:r>
          </w:p>
        </w:tc>
      </w:tr>
      <w:tr>
        <w:trPr>
          <w:trHeight w:val="327" w:hRule="atLeast"/>
        </w:trPr>
        <w:tc>
          <w:tcPr>
            <w:tcW w:w="441" w:type="dxa"/>
          </w:tcPr>
          <w:p>
            <w:pPr>
              <w:pStyle w:val="TableParagraph"/>
              <w:rPr>
                <w:rFonts w:ascii="Times New Roman"/>
                <w:sz w:val="20"/>
              </w:rPr>
            </w:pPr>
          </w:p>
        </w:tc>
        <w:tc>
          <w:tcPr>
            <w:tcW w:w="3199" w:type="dxa"/>
          </w:tcPr>
          <w:p>
            <w:pPr>
              <w:pStyle w:val="TableParagraph"/>
              <w:spacing w:before="17"/>
              <w:ind w:left="58"/>
              <w:rPr>
                <w:sz w:val="18"/>
              </w:rPr>
            </w:pPr>
            <w:r>
              <w:rPr>
                <w:sz w:val="18"/>
              </w:rPr>
              <w:t>（或称慢性肾功能衰竭尿毒症期）</w:t>
            </w:r>
          </w:p>
        </w:tc>
        <w:tc>
          <w:tcPr>
            <w:tcW w:w="501" w:type="dxa"/>
          </w:tcPr>
          <w:p>
            <w:pPr>
              <w:pStyle w:val="TableParagraph"/>
              <w:spacing w:before="17"/>
              <w:ind w:right="55"/>
              <w:jc w:val="right"/>
              <w:rPr>
                <w:sz w:val="18"/>
              </w:rPr>
            </w:pPr>
            <w:r>
              <w:rPr>
                <w:sz w:val="18"/>
              </w:rPr>
              <w:t>22</w:t>
            </w:r>
          </w:p>
        </w:tc>
        <w:tc>
          <w:tcPr>
            <w:tcW w:w="3138" w:type="dxa"/>
          </w:tcPr>
          <w:p>
            <w:pPr>
              <w:pStyle w:val="TableParagraph"/>
              <w:spacing w:before="17"/>
              <w:ind w:left="60"/>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7</w:t>
            </w:r>
          </w:p>
        </w:tc>
        <w:tc>
          <w:tcPr>
            <w:tcW w:w="3199" w:type="dxa"/>
          </w:tcPr>
          <w:p>
            <w:pPr>
              <w:pStyle w:val="TableParagraph"/>
              <w:spacing w:before="19"/>
              <w:ind w:left="58"/>
              <w:rPr>
                <w:sz w:val="18"/>
              </w:rPr>
            </w:pPr>
            <w:r>
              <w:rPr>
                <w:sz w:val="18"/>
              </w:rPr>
              <w:t>多个肢体缺失</w:t>
            </w:r>
          </w:p>
        </w:tc>
        <w:tc>
          <w:tcPr>
            <w:tcW w:w="501" w:type="dxa"/>
          </w:tcPr>
          <w:p>
            <w:pPr>
              <w:pStyle w:val="TableParagraph"/>
              <w:spacing w:before="19"/>
              <w:ind w:right="55"/>
              <w:jc w:val="right"/>
              <w:rPr>
                <w:sz w:val="18"/>
              </w:rPr>
            </w:pPr>
            <w:r>
              <w:rPr>
                <w:sz w:val="18"/>
              </w:rPr>
              <w:t>23</w:t>
            </w:r>
          </w:p>
        </w:tc>
        <w:tc>
          <w:tcPr>
            <w:tcW w:w="3138" w:type="dxa"/>
          </w:tcPr>
          <w:p>
            <w:pPr>
              <w:pStyle w:val="TableParagraph"/>
              <w:spacing w:before="19"/>
              <w:ind w:left="60"/>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3199" w:type="dxa"/>
          </w:tcPr>
          <w:p>
            <w:pPr>
              <w:pStyle w:val="TableParagraph"/>
              <w:spacing w:before="17"/>
              <w:ind w:left="58"/>
              <w:rPr>
                <w:sz w:val="18"/>
              </w:rPr>
            </w:pPr>
            <w:r>
              <w:rPr>
                <w:sz w:val="18"/>
              </w:rPr>
              <w:t>急性或亚急性重症肝炎</w:t>
            </w:r>
          </w:p>
        </w:tc>
        <w:tc>
          <w:tcPr>
            <w:tcW w:w="501" w:type="dxa"/>
          </w:tcPr>
          <w:p>
            <w:pPr>
              <w:pStyle w:val="TableParagraph"/>
              <w:spacing w:before="17"/>
              <w:ind w:right="55"/>
              <w:jc w:val="right"/>
              <w:rPr>
                <w:sz w:val="18"/>
              </w:rPr>
            </w:pPr>
            <w:r>
              <w:rPr>
                <w:sz w:val="18"/>
              </w:rPr>
              <w:t>24</w:t>
            </w:r>
          </w:p>
        </w:tc>
        <w:tc>
          <w:tcPr>
            <w:tcW w:w="3138" w:type="dxa"/>
          </w:tcPr>
          <w:p>
            <w:pPr>
              <w:pStyle w:val="TableParagraph"/>
              <w:spacing w:before="17"/>
              <w:ind w:left="60"/>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3199" w:type="dxa"/>
          </w:tcPr>
          <w:p>
            <w:pPr>
              <w:pStyle w:val="TableParagraph"/>
              <w:spacing w:before="17"/>
              <w:ind w:left="58"/>
              <w:rPr>
                <w:sz w:val="18"/>
              </w:rPr>
            </w:pPr>
            <w:r>
              <w:rPr>
                <w:sz w:val="18"/>
              </w:rPr>
              <w:t>良性脑肿瘤</w:t>
            </w:r>
          </w:p>
        </w:tc>
        <w:tc>
          <w:tcPr>
            <w:tcW w:w="501" w:type="dxa"/>
          </w:tcPr>
          <w:p>
            <w:pPr>
              <w:pStyle w:val="TableParagraph"/>
              <w:spacing w:before="17"/>
              <w:ind w:right="55"/>
              <w:jc w:val="right"/>
              <w:rPr>
                <w:sz w:val="18"/>
              </w:rPr>
            </w:pPr>
            <w:r>
              <w:rPr>
                <w:sz w:val="18"/>
              </w:rPr>
              <w:t>25</w:t>
            </w:r>
          </w:p>
        </w:tc>
        <w:tc>
          <w:tcPr>
            <w:tcW w:w="3138" w:type="dxa"/>
          </w:tcPr>
          <w:p>
            <w:pPr>
              <w:pStyle w:val="TableParagraph"/>
              <w:spacing w:before="17"/>
              <w:ind w:left="60"/>
              <w:rPr>
                <w:sz w:val="18"/>
              </w:rPr>
            </w:pPr>
            <w:r>
              <w:rPr>
                <w:sz w:val="18"/>
              </w:rPr>
              <w:t>主动脉手术</w:t>
            </w:r>
          </w:p>
        </w:tc>
      </w:tr>
      <w:tr>
        <w:trPr>
          <w:trHeight w:val="327" w:hRule="atLeast"/>
        </w:trPr>
        <w:tc>
          <w:tcPr>
            <w:tcW w:w="441" w:type="dxa"/>
          </w:tcPr>
          <w:p>
            <w:pPr>
              <w:pStyle w:val="TableParagraph"/>
              <w:spacing w:before="17"/>
              <w:ind w:right="56"/>
              <w:jc w:val="right"/>
              <w:rPr>
                <w:sz w:val="18"/>
              </w:rPr>
            </w:pPr>
            <w:r>
              <w:rPr>
                <w:sz w:val="18"/>
              </w:rPr>
              <w:t>10</w:t>
            </w:r>
          </w:p>
        </w:tc>
        <w:tc>
          <w:tcPr>
            <w:tcW w:w="3199" w:type="dxa"/>
          </w:tcPr>
          <w:p>
            <w:pPr>
              <w:pStyle w:val="TableParagraph"/>
              <w:spacing w:before="17"/>
              <w:ind w:left="58"/>
              <w:rPr>
                <w:sz w:val="18"/>
              </w:rPr>
            </w:pPr>
            <w:r>
              <w:rPr>
                <w:sz w:val="18"/>
              </w:rPr>
              <w:t>慢性肝功能衰竭失代偿期</w:t>
            </w:r>
          </w:p>
        </w:tc>
        <w:tc>
          <w:tcPr>
            <w:tcW w:w="501" w:type="dxa"/>
          </w:tcPr>
          <w:p>
            <w:pPr>
              <w:pStyle w:val="TableParagraph"/>
              <w:spacing w:before="17"/>
              <w:ind w:right="55"/>
              <w:jc w:val="right"/>
              <w:rPr>
                <w:sz w:val="18"/>
              </w:rPr>
            </w:pPr>
            <w:r>
              <w:rPr>
                <w:sz w:val="18"/>
              </w:rPr>
              <w:t>26</w:t>
            </w:r>
          </w:p>
        </w:tc>
        <w:tc>
          <w:tcPr>
            <w:tcW w:w="3138" w:type="dxa"/>
          </w:tcPr>
          <w:p>
            <w:pPr>
              <w:pStyle w:val="TableParagraph"/>
              <w:spacing w:before="17"/>
              <w:ind w:left="60"/>
              <w:rPr>
                <w:sz w:val="18"/>
              </w:rPr>
            </w:pPr>
            <w:r>
              <w:rPr>
                <w:sz w:val="18"/>
              </w:rPr>
              <w:t>多发性硬化</w:t>
            </w:r>
          </w:p>
        </w:tc>
      </w:tr>
      <w:tr>
        <w:trPr>
          <w:trHeight w:val="327" w:hRule="atLeast"/>
        </w:trPr>
        <w:tc>
          <w:tcPr>
            <w:tcW w:w="441" w:type="dxa"/>
          </w:tcPr>
          <w:p>
            <w:pPr>
              <w:pStyle w:val="TableParagraph"/>
              <w:spacing w:before="19"/>
              <w:ind w:right="56"/>
              <w:jc w:val="right"/>
              <w:rPr>
                <w:sz w:val="18"/>
              </w:rPr>
            </w:pPr>
            <w:r>
              <w:rPr>
                <w:sz w:val="18"/>
              </w:rPr>
              <w:t>11</w:t>
            </w:r>
          </w:p>
        </w:tc>
        <w:tc>
          <w:tcPr>
            <w:tcW w:w="3199" w:type="dxa"/>
          </w:tcPr>
          <w:p>
            <w:pPr>
              <w:pStyle w:val="TableParagraph"/>
              <w:spacing w:before="19"/>
              <w:ind w:left="58"/>
              <w:rPr>
                <w:sz w:val="18"/>
              </w:rPr>
            </w:pPr>
            <w:r>
              <w:rPr>
                <w:sz w:val="18"/>
              </w:rPr>
              <w:t>脑炎后遗症或脑膜炎后遗症</w:t>
            </w:r>
          </w:p>
        </w:tc>
        <w:tc>
          <w:tcPr>
            <w:tcW w:w="501" w:type="dxa"/>
          </w:tcPr>
          <w:p>
            <w:pPr>
              <w:pStyle w:val="TableParagraph"/>
              <w:spacing w:before="19"/>
              <w:ind w:right="55"/>
              <w:jc w:val="right"/>
              <w:rPr>
                <w:sz w:val="18"/>
              </w:rPr>
            </w:pPr>
            <w:r>
              <w:rPr>
                <w:sz w:val="18"/>
              </w:rPr>
              <w:t>27</w:t>
            </w:r>
          </w:p>
        </w:tc>
        <w:tc>
          <w:tcPr>
            <w:tcW w:w="3138" w:type="dxa"/>
          </w:tcPr>
          <w:p>
            <w:pPr>
              <w:pStyle w:val="TableParagraph"/>
              <w:spacing w:before="19"/>
              <w:ind w:left="60"/>
              <w:rPr>
                <w:sz w:val="18"/>
              </w:rPr>
            </w:pPr>
            <w:r>
              <w:rPr>
                <w:sz w:val="18"/>
              </w:rPr>
              <w:t>经输血导致的人类免疫缺陷病毒感染</w:t>
            </w:r>
          </w:p>
        </w:tc>
      </w:tr>
      <w:tr>
        <w:trPr>
          <w:trHeight w:val="326" w:hRule="atLeast"/>
        </w:trPr>
        <w:tc>
          <w:tcPr>
            <w:tcW w:w="441" w:type="dxa"/>
          </w:tcPr>
          <w:p>
            <w:pPr>
              <w:pStyle w:val="TableParagraph"/>
              <w:spacing w:before="18"/>
              <w:ind w:right="56"/>
              <w:jc w:val="right"/>
              <w:rPr>
                <w:sz w:val="18"/>
              </w:rPr>
            </w:pPr>
            <w:r>
              <w:rPr>
                <w:sz w:val="18"/>
              </w:rPr>
              <w:t>12</w:t>
            </w:r>
          </w:p>
        </w:tc>
        <w:tc>
          <w:tcPr>
            <w:tcW w:w="3199" w:type="dxa"/>
          </w:tcPr>
          <w:p>
            <w:pPr>
              <w:pStyle w:val="TableParagraph"/>
              <w:spacing w:before="18"/>
              <w:ind w:left="58"/>
              <w:rPr>
                <w:sz w:val="18"/>
              </w:rPr>
            </w:pPr>
            <w:r>
              <w:rPr>
                <w:sz w:val="18"/>
              </w:rPr>
              <w:t>深度昏迷</w:t>
            </w:r>
          </w:p>
        </w:tc>
        <w:tc>
          <w:tcPr>
            <w:tcW w:w="501" w:type="dxa"/>
          </w:tcPr>
          <w:p>
            <w:pPr>
              <w:pStyle w:val="TableParagraph"/>
              <w:spacing w:before="18"/>
              <w:ind w:right="55"/>
              <w:jc w:val="right"/>
              <w:rPr>
                <w:sz w:val="18"/>
              </w:rPr>
            </w:pPr>
            <w:r>
              <w:rPr>
                <w:sz w:val="18"/>
              </w:rPr>
              <w:t>28</w:t>
            </w:r>
          </w:p>
        </w:tc>
        <w:tc>
          <w:tcPr>
            <w:tcW w:w="3138" w:type="dxa"/>
          </w:tcPr>
          <w:p>
            <w:pPr>
              <w:pStyle w:val="TableParagraph"/>
              <w:spacing w:before="18"/>
              <w:ind w:left="60"/>
              <w:rPr>
                <w:sz w:val="18"/>
              </w:rPr>
            </w:pPr>
            <w:r>
              <w:rPr>
                <w:sz w:val="18"/>
              </w:rPr>
              <w:t>终末期肺病</w:t>
            </w:r>
          </w:p>
        </w:tc>
      </w:tr>
      <w:tr>
        <w:trPr>
          <w:trHeight w:val="326" w:hRule="atLeast"/>
        </w:trPr>
        <w:tc>
          <w:tcPr>
            <w:tcW w:w="441" w:type="dxa"/>
          </w:tcPr>
          <w:p>
            <w:pPr>
              <w:pStyle w:val="TableParagraph"/>
              <w:spacing w:before="17"/>
              <w:ind w:right="56"/>
              <w:jc w:val="right"/>
              <w:rPr>
                <w:sz w:val="18"/>
              </w:rPr>
            </w:pPr>
            <w:r>
              <w:rPr>
                <w:sz w:val="18"/>
              </w:rPr>
              <w:t>13</w:t>
            </w:r>
          </w:p>
        </w:tc>
        <w:tc>
          <w:tcPr>
            <w:tcW w:w="3199" w:type="dxa"/>
          </w:tcPr>
          <w:p>
            <w:pPr>
              <w:pStyle w:val="TableParagraph"/>
              <w:spacing w:before="17"/>
              <w:ind w:left="58"/>
              <w:rPr>
                <w:sz w:val="18"/>
              </w:rPr>
            </w:pPr>
            <w:r>
              <w:rPr>
                <w:sz w:val="18"/>
              </w:rPr>
              <w:t>双耳失聪</w:t>
            </w:r>
          </w:p>
        </w:tc>
        <w:tc>
          <w:tcPr>
            <w:tcW w:w="501" w:type="dxa"/>
          </w:tcPr>
          <w:p>
            <w:pPr>
              <w:pStyle w:val="TableParagraph"/>
              <w:spacing w:before="17"/>
              <w:ind w:right="55"/>
              <w:jc w:val="right"/>
              <w:rPr>
                <w:sz w:val="18"/>
              </w:rPr>
            </w:pPr>
            <w:r>
              <w:rPr>
                <w:sz w:val="18"/>
              </w:rPr>
              <w:t>29</w:t>
            </w:r>
          </w:p>
        </w:tc>
        <w:tc>
          <w:tcPr>
            <w:tcW w:w="3138" w:type="dxa"/>
          </w:tcPr>
          <w:p>
            <w:pPr>
              <w:pStyle w:val="TableParagraph"/>
              <w:spacing w:before="17"/>
              <w:ind w:left="60"/>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3199" w:type="dxa"/>
          </w:tcPr>
          <w:p>
            <w:pPr>
              <w:pStyle w:val="TableParagraph"/>
              <w:spacing w:line="216" w:lineRule="exact" w:before="17"/>
              <w:ind w:left="58"/>
              <w:rPr>
                <w:sz w:val="18"/>
              </w:rPr>
            </w:pPr>
            <w:r>
              <w:rPr>
                <w:sz w:val="18"/>
              </w:rPr>
              <w:t>双目失明</w:t>
            </w:r>
          </w:p>
        </w:tc>
        <w:tc>
          <w:tcPr>
            <w:tcW w:w="501" w:type="dxa"/>
          </w:tcPr>
          <w:p>
            <w:pPr>
              <w:pStyle w:val="TableParagraph"/>
              <w:spacing w:line="216" w:lineRule="exact" w:before="17"/>
              <w:ind w:right="55"/>
              <w:jc w:val="right"/>
              <w:rPr>
                <w:sz w:val="18"/>
              </w:rPr>
            </w:pPr>
            <w:r>
              <w:rPr>
                <w:sz w:val="18"/>
              </w:rPr>
              <w:t>30</w:t>
            </w:r>
          </w:p>
        </w:tc>
        <w:tc>
          <w:tcPr>
            <w:tcW w:w="3138" w:type="dxa"/>
          </w:tcPr>
          <w:p>
            <w:pPr>
              <w:pStyle w:val="TableParagraph"/>
              <w:spacing w:line="216" w:lineRule="exact" w:before="17"/>
              <w:ind w:left="60"/>
              <w:rPr>
                <w:sz w:val="18"/>
              </w:rPr>
            </w:pPr>
            <w:r>
              <w:rPr>
                <w:sz w:val="18"/>
              </w:rPr>
              <w:t>系统性红斑狼疮</w:t>
            </w:r>
          </w:p>
        </w:tc>
      </w:tr>
    </w:tbl>
    <w:p>
      <w:pPr>
        <w:pStyle w:val="BodyText"/>
        <w:rPr>
          <w:rFonts w:ascii="Times New Roman"/>
          <w:sz w:val="20"/>
        </w:rPr>
      </w:pPr>
    </w:p>
    <w:p>
      <w:pPr>
        <w:pStyle w:val="BodyText"/>
        <w:spacing w:before="2"/>
        <w:rPr>
          <w:rFonts w:ascii="Times New Roman"/>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366"/>
        <w:gridCol w:w="7920"/>
      </w:tblGrid>
      <w:tr>
        <w:trPr>
          <w:trHeight w:val="261" w:hRule="atLeast"/>
        </w:trPr>
        <w:tc>
          <w:tcPr>
            <w:tcW w:w="788" w:type="dxa"/>
          </w:tcPr>
          <w:p>
            <w:pPr>
              <w:pStyle w:val="TableParagraph"/>
              <w:spacing w:line="211" w:lineRule="exact"/>
              <w:ind w:left="50"/>
              <w:rPr>
                <w:b/>
                <w:sz w:val="21"/>
              </w:rPr>
            </w:pPr>
            <w:r>
              <w:rPr>
                <w:b/>
                <w:sz w:val="21"/>
              </w:rPr>
              <w:t>3.4</w:t>
            </w:r>
          </w:p>
        </w:tc>
        <w:tc>
          <w:tcPr>
            <w:tcW w:w="1366" w:type="dxa"/>
          </w:tcPr>
          <w:p>
            <w:pPr>
              <w:pStyle w:val="TableParagraph"/>
              <w:spacing w:line="211" w:lineRule="exact"/>
              <w:ind w:left="210"/>
              <w:rPr>
                <w:b/>
                <w:sz w:val="21"/>
              </w:rPr>
            </w:pPr>
            <w:r>
              <w:rPr>
                <w:b/>
                <w:spacing w:val="-18"/>
                <w:sz w:val="21"/>
              </w:rPr>
              <w:t>重 大 疾 病</w:t>
            </w:r>
          </w:p>
        </w:tc>
        <w:tc>
          <w:tcPr>
            <w:tcW w:w="7920" w:type="dxa"/>
          </w:tcPr>
          <w:p>
            <w:pPr>
              <w:pStyle w:val="TableParagraph"/>
              <w:spacing w:line="211" w:lineRule="exact"/>
              <w:ind w:left="109"/>
              <w:rPr>
                <w:sz w:val="21"/>
              </w:rPr>
            </w:pPr>
            <w:r>
              <w:rPr>
                <w:sz w:val="21"/>
              </w:rPr>
              <w:t>以上各种重大疾病须</w:t>
            </w:r>
            <w:r>
              <w:rPr>
                <w:b/>
                <w:sz w:val="21"/>
              </w:rPr>
              <w:t>我们认可的医院专科医生</w:t>
            </w:r>
            <w:r>
              <w:rPr>
                <w:sz w:val="21"/>
              </w:rPr>
              <w:t>明确诊断，符合以下定义（其中，前</w:t>
            </w:r>
          </w:p>
        </w:tc>
      </w:tr>
      <w:tr>
        <w:trPr>
          <w:trHeight w:val="311" w:hRule="atLeast"/>
        </w:trPr>
        <w:tc>
          <w:tcPr>
            <w:tcW w:w="788" w:type="dxa"/>
          </w:tcPr>
          <w:p>
            <w:pPr>
              <w:pStyle w:val="TableParagraph"/>
              <w:rPr>
                <w:rFonts w:ascii="Times New Roman"/>
                <w:sz w:val="20"/>
              </w:rPr>
            </w:pPr>
          </w:p>
        </w:tc>
        <w:tc>
          <w:tcPr>
            <w:tcW w:w="1366" w:type="dxa"/>
          </w:tcPr>
          <w:p>
            <w:pPr>
              <w:pStyle w:val="TableParagraph"/>
              <w:spacing w:line="261" w:lineRule="exact"/>
              <w:ind w:left="210"/>
              <w:rPr>
                <w:b/>
                <w:sz w:val="21"/>
              </w:rPr>
            </w:pPr>
            <w:r>
              <w:rPr>
                <w:b/>
                <w:sz w:val="21"/>
              </w:rPr>
              <w:t>的定义</w:t>
            </w:r>
          </w:p>
        </w:tc>
        <w:tc>
          <w:tcPr>
            <w:tcW w:w="7920" w:type="dxa"/>
          </w:tcPr>
          <w:p>
            <w:pPr>
              <w:pStyle w:val="TableParagraph"/>
              <w:spacing w:line="261" w:lineRule="exact"/>
              <w:ind w:left="109"/>
              <w:rPr>
                <w:sz w:val="21"/>
              </w:rPr>
            </w:pPr>
            <w:r>
              <w:rPr>
                <w:sz w:val="21"/>
              </w:rPr>
              <w:t>25 种重大疾病定义完全采用了中国保险行业协会发布的《重大疾病保险的疾病定义</w:t>
            </w:r>
          </w:p>
        </w:tc>
      </w:tr>
      <w:tr>
        <w:trPr>
          <w:trHeight w:val="42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pacing w:val="-3"/>
                <w:w w:val="100"/>
                <w:sz w:val="21"/>
              </w:rPr>
              <w:t>使用规范》中的疾病定义</w:t>
            </w:r>
            <w:r>
              <w:rPr>
                <w:spacing w:val="-108"/>
                <w:w w:val="100"/>
                <w:sz w:val="21"/>
              </w:rPr>
              <w:t>）</w:t>
            </w:r>
            <w:r>
              <w:rPr>
                <w:w w:val="100"/>
                <w:sz w:val="21"/>
              </w:rPr>
              <w:t>：</w:t>
            </w:r>
          </w:p>
        </w:tc>
      </w:tr>
      <w:tr>
        <w:trPr>
          <w:trHeight w:val="431" w:hRule="atLeast"/>
        </w:trPr>
        <w:tc>
          <w:tcPr>
            <w:tcW w:w="788" w:type="dxa"/>
          </w:tcPr>
          <w:p>
            <w:pPr>
              <w:pStyle w:val="TableParagraph"/>
              <w:spacing w:before="94"/>
              <w:ind w:left="50"/>
              <w:rPr>
                <w:i/>
                <w:sz w:val="22"/>
              </w:rPr>
            </w:pPr>
            <w:r>
              <w:rPr>
                <w:i/>
                <w:sz w:val="22"/>
              </w:rPr>
              <w:t>3.4.1</w:t>
            </w:r>
          </w:p>
        </w:tc>
        <w:tc>
          <w:tcPr>
            <w:tcW w:w="1366" w:type="dxa"/>
          </w:tcPr>
          <w:p>
            <w:pPr>
              <w:pStyle w:val="TableParagraph"/>
              <w:spacing w:before="94"/>
              <w:ind w:left="210"/>
              <w:rPr>
                <w:i/>
                <w:sz w:val="22"/>
              </w:rPr>
            </w:pPr>
            <w:r>
              <w:rPr>
                <w:i/>
                <w:w w:val="95"/>
                <w:sz w:val="22"/>
              </w:rPr>
              <w:t>恶性肿瘤</w:t>
            </w:r>
          </w:p>
        </w:tc>
        <w:tc>
          <w:tcPr>
            <w:tcW w:w="7920" w:type="dxa"/>
          </w:tcPr>
          <w:p>
            <w:pPr>
              <w:pStyle w:val="TableParagraph"/>
              <w:spacing w:before="105"/>
              <w:ind w:left="109"/>
              <w:rPr>
                <w:sz w:val="21"/>
              </w:rPr>
            </w:pPr>
            <w:r>
              <w:rPr>
                <w:sz w:val="21"/>
              </w:rPr>
              <w:t>指恶性细胞不受控制的进行性增长和扩散，浸润和破坏周围正常组织，可以经血管、</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淋巴管和体腔扩散转移到身体其它部位的疾病。经病理学检查结果明确诊断，临床</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诊断属于世界卫生组织《 疾病和有关健康问题的国际统计分类》（ICD-10）的恶性</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肿瘤范畴。</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下列疾病不在保障范围内：</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2" w:lineRule="exact"/>
              <w:ind w:left="109"/>
              <w:rPr>
                <w:sz w:val="21"/>
              </w:rPr>
            </w:pPr>
            <w:r>
              <w:rPr>
                <w:sz w:val="21"/>
              </w:rPr>
              <w:t>（1）原位癌；</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（2）相当于 Binet 分期方案 A 期程度的慢性淋巴细胞白血病；</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（3）相当于 Ann Arbor 分期方案 I 期程度的何杰金氏病；</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（6）感染艾滋病病毒或患艾滋病期间所患恶性肿瘤。</w:t>
            </w:r>
          </w:p>
        </w:tc>
      </w:tr>
      <w:tr>
        <w:trPr>
          <w:trHeight w:val="713" w:hRule="atLeast"/>
        </w:trPr>
        <w:tc>
          <w:tcPr>
            <w:tcW w:w="788" w:type="dxa"/>
          </w:tcPr>
          <w:p>
            <w:pPr>
              <w:pStyle w:val="TableParagraph"/>
              <w:spacing w:before="64"/>
              <w:ind w:left="50"/>
              <w:rPr>
                <w:i/>
                <w:sz w:val="22"/>
              </w:rPr>
            </w:pPr>
            <w:r>
              <w:rPr>
                <w:i/>
                <w:sz w:val="22"/>
              </w:rPr>
              <w:t>3.4.2</w:t>
            </w:r>
          </w:p>
        </w:tc>
        <w:tc>
          <w:tcPr>
            <w:tcW w:w="1366" w:type="dxa"/>
          </w:tcPr>
          <w:p>
            <w:pPr>
              <w:pStyle w:val="TableParagraph"/>
              <w:spacing w:line="259" w:lineRule="auto" w:before="64"/>
              <w:ind w:left="210" w:right="311"/>
              <w:rPr>
                <w:i/>
                <w:sz w:val="22"/>
              </w:rPr>
            </w:pPr>
            <w:r>
              <w:rPr>
                <w:i/>
                <w:w w:val="95"/>
                <w:sz w:val="22"/>
              </w:rPr>
              <w:t>急性心肌梗塞</w:t>
            </w:r>
          </w:p>
        </w:tc>
        <w:tc>
          <w:tcPr>
            <w:tcW w:w="7920" w:type="dxa"/>
          </w:tcPr>
          <w:p>
            <w:pPr>
              <w:pStyle w:val="TableParagraph"/>
              <w:spacing w:line="273" w:lineRule="auto" w:before="75"/>
              <w:ind w:left="109" w:right="157"/>
              <w:rPr>
                <w:sz w:val="21"/>
              </w:rPr>
            </w:pPr>
            <w:r>
              <w:rPr>
                <w:sz w:val="21"/>
              </w:rPr>
              <w:t>指因冠状动脉阻塞导致的相应区域供血不足造成部分心肌坏死。须满足下列至少三项条件：</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（1）典型临床表现，例如急性胸痛等；</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（2）新近的心电图改变提示急性心肌梗塞；</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（3）心肌酶或肌钙蛋白有诊断意义的升高，或呈符合急性心肌梗塞的动态性变化；</w:t>
            </w:r>
          </w:p>
        </w:tc>
      </w:tr>
      <w:tr>
        <w:trPr>
          <w:trHeight w:val="39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2" w:lineRule="exact"/>
              <w:ind w:left="109"/>
              <w:rPr>
                <w:sz w:val="21"/>
              </w:rPr>
            </w:pPr>
            <w:r>
              <w:rPr>
                <w:sz w:val="21"/>
              </w:rPr>
              <w:t>（4）发病 90 天后，经检查证实左心室功能降低，如左心室射血分数低于 50%。</w:t>
            </w:r>
          </w:p>
        </w:tc>
      </w:tr>
      <w:tr>
        <w:trPr>
          <w:trHeight w:val="714" w:hRule="atLeast"/>
        </w:trPr>
        <w:tc>
          <w:tcPr>
            <w:tcW w:w="788" w:type="dxa"/>
          </w:tcPr>
          <w:p>
            <w:pPr>
              <w:pStyle w:val="TableParagraph"/>
              <w:spacing w:before="65"/>
              <w:ind w:left="50"/>
              <w:rPr>
                <w:i/>
                <w:sz w:val="22"/>
              </w:rPr>
            </w:pPr>
            <w:r>
              <w:rPr>
                <w:i/>
                <w:sz w:val="22"/>
              </w:rPr>
              <w:t>3.4.3</w:t>
            </w:r>
          </w:p>
        </w:tc>
        <w:tc>
          <w:tcPr>
            <w:tcW w:w="1366" w:type="dxa"/>
          </w:tcPr>
          <w:p>
            <w:pPr>
              <w:pStyle w:val="TableParagraph"/>
              <w:spacing w:line="259" w:lineRule="auto" w:before="65"/>
              <w:ind w:left="210" w:right="311"/>
              <w:rPr>
                <w:i/>
                <w:sz w:val="22"/>
              </w:rPr>
            </w:pPr>
            <w:r>
              <w:rPr>
                <w:i/>
                <w:w w:val="95"/>
                <w:sz w:val="22"/>
              </w:rPr>
              <w:t>脑中风后遗症</w:t>
            </w:r>
          </w:p>
        </w:tc>
        <w:tc>
          <w:tcPr>
            <w:tcW w:w="7920" w:type="dxa"/>
          </w:tcPr>
          <w:p>
            <w:pPr>
              <w:pStyle w:val="TableParagraph"/>
              <w:spacing w:line="273" w:lineRule="auto" w:before="76"/>
              <w:ind w:left="109" w:right="106"/>
              <w:rPr>
                <w:sz w:val="21"/>
              </w:rPr>
            </w:pPr>
            <w:r>
              <w:rPr>
                <w:sz w:val="21"/>
              </w:rPr>
              <w:t>指因脑血管的突发病变引起脑血管出血、栓塞或梗塞，并导致神经系统永久性的功能障碍。神经系统永久性的功能障碍，指疾病确诊 180 天后，仍遗留下列一种或一</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种以上障碍：</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（1）一肢或一肢以上</w:t>
            </w:r>
            <w:r>
              <w:rPr>
                <w:b/>
                <w:sz w:val="21"/>
              </w:rPr>
              <w:t>肢体机能完全丧失</w:t>
            </w:r>
            <w:r>
              <w:rPr>
                <w:sz w:val="21"/>
              </w:rPr>
              <w:t>；</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（2）</w:t>
            </w:r>
            <w:r>
              <w:rPr>
                <w:b/>
                <w:sz w:val="21"/>
              </w:rPr>
              <w:t>语言能力或咀嚼吞咽能力完全丧失</w:t>
            </w:r>
            <w:r>
              <w:rPr>
                <w:sz w:val="21"/>
              </w:rPr>
              <w:t>；</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（3）自主生活能力完全丧失，无法独立完成</w:t>
            </w:r>
            <w:r>
              <w:rPr>
                <w:b/>
                <w:sz w:val="21"/>
              </w:rPr>
              <w:t>六项基本日常生活活动</w:t>
            </w:r>
            <w:r>
              <w:rPr>
                <w:sz w:val="21"/>
              </w:rPr>
              <w:t>中的三项或三项</w:t>
            </w:r>
          </w:p>
        </w:tc>
      </w:tr>
      <w:tr>
        <w:trPr>
          <w:trHeight w:val="261" w:hRule="atLeast"/>
        </w:trPr>
        <w:tc>
          <w:tcPr>
            <w:tcW w:w="788" w:type="dxa"/>
          </w:tcPr>
          <w:p>
            <w:pPr>
              <w:pStyle w:val="TableParagraph"/>
              <w:rPr>
                <w:rFonts w:ascii="Times New Roman"/>
                <w:sz w:val="18"/>
              </w:rPr>
            </w:pPr>
          </w:p>
        </w:tc>
        <w:tc>
          <w:tcPr>
            <w:tcW w:w="1366" w:type="dxa"/>
          </w:tcPr>
          <w:p>
            <w:pPr>
              <w:pStyle w:val="TableParagraph"/>
              <w:rPr>
                <w:rFonts w:ascii="Times New Roman"/>
                <w:sz w:val="18"/>
              </w:rPr>
            </w:pPr>
          </w:p>
        </w:tc>
        <w:tc>
          <w:tcPr>
            <w:tcW w:w="7920" w:type="dxa"/>
          </w:tcPr>
          <w:p>
            <w:pPr>
              <w:pStyle w:val="TableParagraph"/>
              <w:spacing w:line="242" w:lineRule="exact"/>
              <w:ind w:left="109"/>
              <w:rPr>
                <w:sz w:val="21"/>
              </w:rPr>
            </w:pPr>
            <w:r>
              <w:rPr>
                <w:sz w:val="21"/>
              </w:rPr>
              <w:t>以上。</w:t>
            </w:r>
          </w:p>
        </w:tc>
      </w:tr>
    </w:tbl>
    <w:p>
      <w:pPr>
        <w:spacing w:after="0" w:line="242" w:lineRule="exact"/>
        <w:rPr>
          <w:sz w:val="21"/>
        </w:rPr>
        <w:sectPr>
          <w:pgSz w:w="11910" w:h="16840"/>
          <w:pgMar w:header="568" w:footer="0" w:top="800" w:bottom="280" w:left="860" w:right="760"/>
        </w:sectPr>
      </w:pPr>
    </w:p>
    <w:p>
      <w:pPr>
        <w:pStyle w:val="BodyText"/>
        <w:rPr>
          <w:rFonts w:ascii="Times New Roman"/>
          <w:sz w:val="20"/>
        </w:rPr>
      </w:pPr>
    </w:p>
    <w:p>
      <w:pPr>
        <w:pStyle w:val="BodyText"/>
        <w:spacing w:before="3" w:after="1"/>
        <w:rPr>
          <w:rFonts w:ascii="Times New Roman"/>
          <w:sz w:val="2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15"/>
        <w:gridCol w:w="8072"/>
      </w:tblGrid>
      <w:tr>
        <w:trPr>
          <w:trHeight w:val="1309" w:hRule="atLeast"/>
        </w:trPr>
        <w:tc>
          <w:tcPr>
            <w:tcW w:w="991" w:type="dxa"/>
          </w:tcPr>
          <w:p>
            <w:pPr>
              <w:pStyle w:val="TableParagraph"/>
              <w:spacing w:line="244" w:lineRule="exact"/>
              <w:ind w:left="200"/>
              <w:rPr>
                <w:i/>
                <w:sz w:val="22"/>
              </w:rPr>
            </w:pPr>
            <w:r>
              <w:rPr>
                <w:i/>
                <w:sz w:val="22"/>
              </w:rPr>
              <w:t>3.4.4</w:t>
            </w:r>
          </w:p>
        </w:tc>
        <w:tc>
          <w:tcPr>
            <w:tcW w:w="1315" w:type="dxa"/>
          </w:tcPr>
          <w:p>
            <w:pPr>
              <w:pStyle w:val="TableParagraph"/>
              <w:spacing w:line="215" w:lineRule="exact"/>
              <w:ind w:left="157"/>
              <w:rPr>
                <w:i/>
                <w:sz w:val="22"/>
              </w:rPr>
            </w:pPr>
            <w:r>
              <w:rPr>
                <w:i/>
                <w:spacing w:val="-24"/>
                <w:sz w:val="22"/>
              </w:rPr>
              <w:t>重 大 器 官</w:t>
            </w:r>
          </w:p>
          <w:p>
            <w:pPr>
              <w:pStyle w:val="TableParagraph"/>
              <w:spacing w:line="228" w:lineRule="auto" w:before="7"/>
              <w:ind w:left="157" w:right="104"/>
              <w:jc w:val="both"/>
              <w:rPr>
                <w:i/>
                <w:sz w:val="22"/>
              </w:rPr>
            </w:pPr>
            <w:r>
              <w:rPr>
                <w:i/>
                <w:spacing w:val="-24"/>
                <w:sz w:val="22"/>
              </w:rPr>
              <w:t>移 植 术 或</w:t>
            </w:r>
            <w:r>
              <w:rPr>
                <w:i/>
                <w:spacing w:val="-29"/>
                <w:sz w:val="22"/>
              </w:rPr>
              <w:t>造 血 干 细</w:t>
            </w:r>
            <w:r>
              <w:rPr>
                <w:i/>
                <w:spacing w:val="-16"/>
                <w:w w:val="95"/>
                <w:sz w:val="22"/>
              </w:rPr>
              <w:t>胞移植术</w:t>
            </w:r>
          </w:p>
        </w:tc>
        <w:tc>
          <w:tcPr>
            <w:tcW w:w="8072" w:type="dxa"/>
          </w:tcPr>
          <w:p>
            <w:pPr>
              <w:pStyle w:val="TableParagraph"/>
              <w:spacing w:line="242" w:lineRule="exact"/>
              <w:ind w:left="107"/>
              <w:rPr>
                <w:sz w:val="21"/>
              </w:rPr>
            </w:pPr>
            <w:r>
              <w:rPr>
                <w:sz w:val="21"/>
              </w:rPr>
              <w:t>重大器官移植术，指因相应器官功能衰竭，已经实施了肾脏、肝脏、心脏或肺脏的</w:t>
            </w:r>
          </w:p>
          <w:p>
            <w:pPr>
              <w:pStyle w:val="TableParagraph"/>
              <w:spacing w:before="37"/>
              <w:ind w:left="107"/>
              <w:rPr>
                <w:sz w:val="21"/>
              </w:rPr>
            </w:pPr>
            <w:r>
              <w:rPr>
                <w:sz w:val="21"/>
              </w:rPr>
              <w:t>异体移植手术。</w:t>
            </w:r>
          </w:p>
          <w:p>
            <w:pPr>
              <w:pStyle w:val="TableParagraph"/>
              <w:spacing w:line="273" w:lineRule="auto" w:before="37"/>
              <w:ind w:left="107" w:right="199"/>
              <w:rPr>
                <w:sz w:val="21"/>
              </w:rPr>
            </w:pPr>
            <w:r>
              <w:rPr>
                <w:sz w:val="21"/>
              </w:rPr>
              <w:t>造血干细胞移植术，指因造血功能损害或造血系统恶性肿瘤，已经实施了造血干细 </w:t>
            </w:r>
            <w:r>
              <w:rPr>
                <w:spacing w:val="-5"/>
                <w:sz w:val="21"/>
              </w:rPr>
              <w:t>胞</w:t>
            </w:r>
            <w:r>
              <w:rPr>
                <w:spacing w:val="-1"/>
                <w:sz w:val="21"/>
              </w:rPr>
              <w:t>（</w:t>
            </w:r>
            <w:r>
              <w:rPr>
                <w:spacing w:val="-4"/>
                <w:sz w:val="21"/>
              </w:rPr>
              <w:t>包括骨髓造血干细胞、外周血造血干细胞和脐血造血干细胞</w:t>
            </w:r>
            <w:r>
              <w:rPr>
                <w:spacing w:val="-8"/>
                <w:sz w:val="21"/>
              </w:rPr>
              <w:t>）</w:t>
            </w:r>
            <w:r>
              <w:rPr>
                <w:spacing w:val="-3"/>
                <w:sz w:val="21"/>
              </w:rPr>
              <w:t>的异体移植手术。</w:t>
            </w:r>
          </w:p>
        </w:tc>
      </w:tr>
      <w:tr>
        <w:trPr>
          <w:trHeight w:val="1725" w:hRule="atLeast"/>
        </w:trPr>
        <w:tc>
          <w:tcPr>
            <w:tcW w:w="991" w:type="dxa"/>
          </w:tcPr>
          <w:p>
            <w:pPr>
              <w:pStyle w:val="TableParagraph"/>
              <w:spacing w:before="65"/>
              <w:ind w:left="200"/>
              <w:rPr>
                <w:i/>
                <w:sz w:val="22"/>
              </w:rPr>
            </w:pPr>
            <w:r>
              <w:rPr>
                <w:i/>
                <w:sz w:val="22"/>
              </w:rPr>
              <w:t>3.4.5</w:t>
            </w:r>
          </w:p>
        </w:tc>
        <w:tc>
          <w:tcPr>
            <w:tcW w:w="1315" w:type="dxa"/>
          </w:tcPr>
          <w:p>
            <w:pPr>
              <w:pStyle w:val="TableParagraph"/>
              <w:spacing w:line="259" w:lineRule="auto" w:before="65"/>
              <w:ind w:left="157" w:right="104"/>
              <w:jc w:val="both"/>
              <w:rPr>
                <w:i/>
                <w:sz w:val="22"/>
              </w:rPr>
            </w:pPr>
            <w:r>
              <w:rPr>
                <w:i/>
                <w:spacing w:val="-24"/>
                <w:sz w:val="22"/>
              </w:rPr>
              <w:t>冠 状 动 脉</w:t>
            </w:r>
            <w:r>
              <w:rPr>
                <w:i/>
                <w:spacing w:val="-18"/>
                <w:w w:val="95"/>
                <w:sz w:val="22"/>
              </w:rPr>
              <w:t>搭桥术</w:t>
            </w:r>
            <w:r>
              <w:rPr>
                <w:i/>
                <w:w w:val="95"/>
                <w:sz w:val="22"/>
              </w:rPr>
              <w:t>（或</w:t>
            </w:r>
            <w:r>
              <w:rPr>
                <w:i/>
                <w:spacing w:val="-24"/>
                <w:sz w:val="22"/>
              </w:rPr>
              <w:t>称 冠 状 动</w:t>
            </w:r>
            <w:r>
              <w:rPr>
                <w:i/>
                <w:spacing w:val="-29"/>
                <w:sz w:val="22"/>
              </w:rPr>
              <w:t>脉 旁 路 移</w:t>
            </w:r>
            <w:r>
              <w:rPr>
                <w:i/>
                <w:spacing w:val="-29"/>
                <w:w w:val="95"/>
                <w:sz w:val="22"/>
              </w:rPr>
              <w:t>植术）</w:t>
            </w:r>
          </w:p>
        </w:tc>
        <w:tc>
          <w:tcPr>
            <w:tcW w:w="8072" w:type="dxa"/>
          </w:tcPr>
          <w:p>
            <w:pPr>
              <w:pStyle w:val="TableParagraph"/>
              <w:spacing w:before="76"/>
              <w:ind w:left="107"/>
              <w:rPr>
                <w:sz w:val="21"/>
              </w:rPr>
            </w:pPr>
            <w:r>
              <w:rPr>
                <w:sz w:val="21"/>
              </w:rPr>
              <w:t>指为治疗严重的冠心病，实际实施了开胸进行的冠状动脉血管旁路移植的手术。</w:t>
            </w:r>
          </w:p>
          <w:p>
            <w:pPr>
              <w:pStyle w:val="TableParagraph"/>
              <w:spacing w:line="273" w:lineRule="auto" w:before="36"/>
              <w:ind w:left="107" w:right="184"/>
              <w:rPr>
                <w:sz w:val="21"/>
              </w:rPr>
            </w:pPr>
            <w:r>
              <w:rPr>
                <w:sz w:val="21"/>
              </w:rPr>
              <w:t>冠状动脉支架植入术、心导管球囊扩张术、激光射频技术及其它非开胸的介入手术、腔镜手术不在保障范围内。</w:t>
            </w:r>
          </w:p>
        </w:tc>
      </w:tr>
      <w:tr>
        <w:trPr>
          <w:trHeight w:val="1736" w:hRule="atLeast"/>
        </w:trPr>
        <w:tc>
          <w:tcPr>
            <w:tcW w:w="991" w:type="dxa"/>
          </w:tcPr>
          <w:p>
            <w:pPr>
              <w:pStyle w:val="TableParagraph"/>
              <w:spacing w:before="70"/>
              <w:ind w:left="200"/>
              <w:rPr>
                <w:i/>
                <w:sz w:val="22"/>
              </w:rPr>
            </w:pPr>
            <w:r>
              <w:rPr>
                <w:i/>
                <w:sz w:val="22"/>
              </w:rPr>
              <w:t>3.4.6</w:t>
            </w:r>
          </w:p>
        </w:tc>
        <w:tc>
          <w:tcPr>
            <w:tcW w:w="1315" w:type="dxa"/>
          </w:tcPr>
          <w:p>
            <w:pPr>
              <w:pStyle w:val="TableParagraph"/>
              <w:spacing w:line="259" w:lineRule="auto" w:before="70"/>
              <w:ind w:left="157" w:right="104"/>
              <w:rPr>
                <w:i/>
                <w:sz w:val="22"/>
              </w:rPr>
            </w:pPr>
            <w:r>
              <w:rPr>
                <w:i/>
                <w:sz w:val="22"/>
              </w:rPr>
              <w:t>终末期肾</w:t>
            </w:r>
            <w:r>
              <w:rPr>
                <w:i/>
                <w:w w:val="95"/>
                <w:sz w:val="22"/>
              </w:rPr>
              <w:t>病（或称慢</w:t>
            </w:r>
            <w:r>
              <w:rPr>
                <w:i/>
                <w:sz w:val="22"/>
              </w:rPr>
              <w:t>性肾功能衰竭尿毒</w:t>
            </w:r>
            <w:r>
              <w:rPr>
                <w:i/>
                <w:w w:val="95"/>
                <w:sz w:val="22"/>
              </w:rPr>
              <w:t>症期）</w:t>
            </w:r>
          </w:p>
        </w:tc>
        <w:tc>
          <w:tcPr>
            <w:tcW w:w="8072" w:type="dxa"/>
          </w:tcPr>
          <w:p>
            <w:pPr>
              <w:pStyle w:val="TableParagraph"/>
              <w:spacing w:line="237" w:lineRule="auto" w:before="63"/>
              <w:ind w:left="107" w:right="302"/>
              <w:rPr>
                <w:sz w:val="21"/>
              </w:rPr>
            </w:pPr>
            <w:r>
              <w:rPr>
                <w:spacing w:val="-6"/>
                <w:sz w:val="21"/>
              </w:rPr>
              <w:t>指双肾功能慢性不可逆性衰竭，达到尿毒症期，经诊断后已经进行了至少 </w:t>
            </w:r>
            <w:r>
              <w:rPr>
                <w:sz w:val="21"/>
              </w:rPr>
              <w:t>90</w:t>
            </w:r>
            <w:r>
              <w:rPr>
                <w:spacing w:val="-10"/>
                <w:sz w:val="21"/>
              </w:rPr>
              <w:t> 天的规</w:t>
            </w:r>
            <w:r>
              <w:rPr>
                <w:spacing w:val="-5"/>
                <w:sz w:val="21"/>
              </w:rPr>
              <w:t>律性透析治疗或实施了肾脏移植手术。</w:t>
            </w:r>
          </w:p>
        </w:tc>
      </w:tr>
      <w:tr>
        <w:trPr>
          <w:trHeight w:val="794" w:hRule="atLeast"/>
        </w:trPr>
        <w:tc>
          <w:tcPr>
            <w:tcW w:w="991" w:type="dxa"/>
          </w:tcPr>
          <w:p>
            <w:pPr>
              <w:pStyle w:val="TableParagraph"/>
              <w:spacing w:before="64"/>
              <w:ind w:left="200"/>
              <w:rPr>
                <w:i/>
                <w:sz w:val="22"/>
              </w:rPr>
            </w:pPr>
            <w:r>
              <w:rPr>
                <w:i/>
                <w:sz w:val="22"/>
              </w:rPr>
              <w:t>3.4.7</w:t>
            </w:r>
          </w:p>
        </w:tc>
        <w:tc>
          <w:tcPr>
            <w:tcW w:w="1315" w:type="dxa"/>
          </w:tcPr>
          <w:p>
            <w:pPr>
              <w:pStyle w:val="TableParagraph"/>
              <w:spacing w:line="259" w:lineRule="auto" w:before="64"/>
              <w:ind w:left="157" w:right="104"/>
              <w:rPr>
                <w:i/>
                <w:sz w:val="22"/>
              </w:rPr>
            </w:pPr>
            <w:r>
              <w:rPr>
                <w:i/>
                <w:spacing w:val="-24"/>
                <w:sz w:val="22"/>
              </w:rPr>
              <w:t>多 个 肢 体</w:t>
            </w:r>
            <w:r>
              <w:rPr>
                <w:i/>
                <w:spacing w:val="-24"/>
                <w:w w:val="95"/>
                <w:sz w:val="22"/>
              </w:rPr>
              <w:t>缺失</w:t>
            </w:r>
          </w:p>
        </w:tc>
        <w:tc>
          <w:tcPr>
            <w:tcW w:w="8072" w:type="dxa"/>
          </w:tcPr>
          <w:p>
            <w:pPr>
              <w:pStyle w:val="TableParagraph"/>
              <w:spacing w:line="273" w:lineRule="auto" w:before="76"/>
              <w:ind w:left="107" w:right="159"/>
              <w:rPr>
                <w:sz w:val="21"/>
              </w:rPr>
            </w:pPr>
            <w:r>
              <w:rPr>
                <w:sz w:val="21"/>
              </w:rPr>
              <w:t>指因疾病或意外伤害导致两个或两个以上肢体自腕关节或踝关节近端（靠近躯干端） 以上完全性断离。</w:t>
            </w:r>
          </w:p>
        </w:tc>
      </w:tr>
      <w:tr>
        <w:trPr>
          <w:trHeight w:val="2040" w:hRule="atLeast"/>
        </w:trPr>
        <w:tc>
          <w:tcPr>
            <w:tcW w:w="991" w:type="dxa"/>
          </w:tcPr>
          <w:p>
            <w:pPr>
              <w:pStyle w:val="TableParagraph"/>
              <w:spacing w:before="64"/>
              <w:ind w:left="200"/>
              <w:rPr>
                <w:i/>
                <w:sz w:val="22"/>
              </w:rPr>
            </w:pPr>
            <w:r>
              <w:rPr>
                <w:i/>
                <w:sz w:val="22"/>
              </w:rPr>
              <w:t>3.4.8</w:t>
            </w:r>
          </w:p>
        </w:tc>
        <w:tc>
          <w:tcPr>
            <w:tcW w:w="1315" w:type="dxa"/>
          </w:tcPr>
          <w:p>
            <w:pPr>
              <w:pStyle w:val="TableParagraph"/>
              <w:spacing w:line="259" w:lineRule="auto" w:before="64"/>
              <w:ind w:left="157" w:right="104"/>
              <w:jc w:val="both"/>
              <w:rPr>
                <w:i/>
                <w:sz w:val="22"/>
              </w:rPr>
            </w:pPr>
            <w:r>
              <w:rPr>
                <w:i/>
                <w:spacing w:val="-24"/>
                <w:sz w:val="22"/>
              </w:rPr>
              <w:t>急 性 或 亚</w:t>
            </w:r>
            <w:r>
              <w:rPr>
                <w:i/>
                <w:spacing w:val="-29"/>
                <w:sz w:val="22"/>
              </w:rPr>
              <w:t>急 性 重 症</w:t>
            </w:r>
            <w:r>
              <w:rPr>
                <w:i/>
                <w:spacing w:val="-29"/>
                <w:w w:val="95"/>
                <w:sz w:val="22"/>
              </w:rPr>
              <w:t>肝炎</w:t>
            </w:r>
          </w:p>
        </w:tc>
        <w:tc>
          <w:tcPr>
            <w:tcW w:w="8072" w:type="dxa"/>
          </w:tcPr>
          <w:p>
            <w:pPr>
              <w:pStyle w:val="TableParagraph"/>
              <w:spacing w:line="273" w:lineRule="auto" w:before="76"/>
              <w:ind w:left="107" w:right="311"/>
              <w:rPr>
                <w:sz w:val="21"/>
              </w:rPr>
            </w:pPr>
            <w:r>
              <w:rPr>
                <w:sz w:val="21"/>
              </w:rPr>
              <w:t>指因肝炎病毒感染引起肝脏组织弥漫性坏死，导致急性肝功能衰竭，且经血清学或病毒学检查证实，并须满足下列全部条件：</w:t>
            </w:r>
          </w:p>
          <w:p>
            <w:pPr>
              <w:pStyle w:val="TableParagraph"/>
              <w:spacing w:before="8"/>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 超或其它影像学检查显示肝脏体积急速萎缩；</w:t>
            </w:r>
          </w:p>
          <w:p>
            <w:pPr>
              <w:pStyle w:val="TableParagraph"/>
              <w:spacing w:before="37"/>
              <w:ind w:left="107"/>
              <w:rPr>
                <w:sz w:val="21"/>
              </w:rPr>
            </w:pPr>
            <w:r>
              <w:rPr>
                <w:sz w:val="21"/>
              </w:rPr>
              <w:t>（4）肝功能指标进行性恶化。</w:t>
            </w:r>
          </w:p>
        </w:tc>
      </w:tr>
      <w:tr>
        <w:trPr>
          <w:trHeight w:val="2041" w:hRule="atLeast"/>
        </w:trPr>
        <w:tc>
          <w:tcPr>
            <w:tcW w:w="991" w:type="dxa"/>
          </w:tcPr>
          <w:p>
            <w:pPr>
              <w:pStyle w:val="TableParagraph"/>
              <w:spacing w:before="64"/>
              <w:ind w:left="200"/>
              <w:rPr>
                <w:i/>
                <w:sz w:val="22"/>
              </w:rPr>
            </w:pPr>
            <w:r>
              <w:rPr>
                <w:i/>
                <w:sz w:val="22"/>
              </w:rPr>
              <w:t>3.4.9</w:t>
            </w:r>
          </w:p>
        </w:tc>
        <w:tc>
          <w:tcPr>
            <w:tcW w:w="1315" w:type="dxa"/>
          </w:tcPr>
          <w:p>
            <w:pPr>
              <w:pStyle w:val="TableParagraph"/>
              <w:spacing w:line="261" w:lineRule="auto" w:before="64"/>
              <w:ind w:left="157" w:right="104"/>
              <w:rPr>
                <w:i/>
                <w:sz w:val="22"/>
              </w:rPr>
            </w:pPr>
            <w:r>
              <w:rPr>
                <w:i/>
                <w:spacing w:val="-24"/>
                <w:sz w:val="22"/>
              </w:rPr>
              <w:t>良 性 脑 肿瘤</w:t>
            </w:r>
          </w:p>
        </w:tc>
        <w:tc>
          <w:tcPr>
            <w:tcW w:w="8072" w:type="dxa"/>
          </w:tcPr>
          <w:p>
            <w:pPr>
              <w:pStyle w:val="TableParagraph"/>
              <w:spacing w:line="273" w:lineRule="auto" w:before="75"/>
              <w:ind w:left="107" w:right="199"/>
              <w:rPr>
                <w:sz w:val="21"/>
              </w:rPr>
            </w:pPr>
            <w:r>
              <w:rPr>
                <w:sz w:val="21"/>
              </w:rPr>
              <w:t>指脑的良性肿瘤，已经引起颅内压增高，临床表现为视神经乳头水肿、精神症状、</w:t>
            </w:r>
            <w:r>
              <w:rPr>
                <w:spacing w:val="-13"/>
                <w:w w:val="100"/>
                <w:sz w:val="21"/>
              </w:rPr>
              <w:t>癫痫及运动感觉障碍等，并危及生命。须由头颅断层扫描</w:t>
            </w:r>
            <w:r>
              <w:rPr>
                <w:spacing w:val="-2"/>
                <w:w w:val="100"/>
                <w:sz w:val="21"/>
              </w:rPr>
              <w:t>（</w:t>
            </w:r>
            <w:r>
              <w:rPr>
                <w:w w:val="100"/>
                <w:sz w:val="21"/>
              </w:rPr>
              <w:t>CT</w:t>
            </w:r>
            <w:r>
              <w:rPr>
                <w:spacing w:val="-106"/>
                <w:w w:val="100"/>
                <w:sz w:val="21"/>
              </w:rPr>
              <w:t>）</w:t>
            </w:r>
            <w:r>
              <w:rPr>
                <w:spacing w:val="-16"/>
                <w:w w:val="100"/>
                <w:sz w:val="21"/>
              </w:rPr>
              <w:t>、核磁共振检查</w:t>
            </w:r>
            <w:r>
              <w:rPr>
                <w:w w:val="100"/>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107"/>
              <w:rPr>
                <w:sz w:val="21"/>
              </w:rPr>
            </w:pPr>
            <w:r>
              <w:rPr>
                <w:sz w:val="21"/>
              </w:rPr>
              <w:t>（1）实际实施了开颅进行的脑肿瘤完全切除或部分切除的手术；</w:t>
            </w:r>
          </w:p>
          <w:p>
            <w:pPr>
              <w:pStyle w:val="TableParagraph"/>
              <w:spacing w:before="37"/>
              <w:ind w:left="107"/>
              <w:rPr>
                <w:sz w:val="21"/>
              </w:rPr>
            </w:pPr>
            <w:r>
              <w:rPr>
                <w:sz w:val="21"/>
              </w:rPr>
              <w:t>（2）实际实施了对脑肿瘤进行的放射治疗。</w:t>
            </w:r>
          </w:p>
          <w:p>
            <w:pPr>
              <w:pStyle w:val="TableParagraph"/>
              <w:spacing w:before="37"/>
              <w:ind w:left="107"/>
              <w:rPr>
                <w:sz w:val="21"/>
              </w:rPr>
            </w:pPr>
            <w:r>
              <w:rPr>
                <w:sz w:val="21"/>
              </w:rPr>
              <w:t>脑垂体瘤、脑囊肿、脑血管性疾病不在保障范围内。</w:t>
            </w:r>
          </w:p>
        </w:tc>
      </w:tr>
      <w:tr>
        <w:trPr>
          <w:trHeight w:val="2042" w:hRule="atLeast"/>
        </w:trPr>
        <w:tc>
          <w:tcPr>
            <w:tcW w:w="991" w:type="dxa"/>
          </w:tcPr>
          <w:p>
            <w:pPr>
              <w:pStyle w:val="TableParagraph"/>
              <w:spacing w:before="65"/>
              <w:ind w:left="200"/>
              <w:rPr>
                <w:i/>
                <w:sz w:val="22"/>
              </w:rPr>
            </w:pPr>
            <w:r>
              <w:rPr>
                <w:i/>
                <w:sz w:val="22"/>
              </w:rPr>
              <w:t>3.4.10</w:t>
            </w:r>
          </w:p>
        </w:tc>
        <w:tc>
          <w:tcPr>
            <w:tcW w:w="1315" w:type="dxa"/>
          </w:tcPr>
          <w:p>
            <w:pPr>
              <w:pStyle w:val="TableParagraph"/>
              <w:spacing w:line="259" w:lineRule="auto" w:before="65"/>
              <w:ind w:left="157" w:right="104"/>
              <w:jc w:val="both"/>
              <w:rPr>
                <w:i/>
                <w:sz w:val="22"/>
              </w:rPr>
            </w:pPr>
            <w:r>
              <w:rPr>
                <w:i/>
                <w:spacing w:val="-24"/>
                <w:sz w:val="22"/>
              </w:rPr>
              <w:t>慢 性 肝 功</w:t>
            </w:r>
            <w:r>
              <w:rPr>
                <w:i/>
                <w:spacing w:val="-29"/>
                <w:sz w:val="22"/>
              </w:rPr>
              <w:t>能 衰 竭 失</w:t>
            </w:r>
            <w:r>
              <w:rPr>
                <w:i/>
                <w:spacing w:val="-29"/>
                <w:w w:val="95"/>
                <w:sz w:val="22"/>
              </w:rPr>
              <w:t>代偿期</w:t>
            </w:r>
          </w:p>
        </w:tc>
        <w:tc>
          <w:tcPr>
            <w:tcW w:w="8072" w:type="dxa"/>
          </w:tcPr>
          <w:p>
            <w:pPr>
              <w:pStyle w:val="TableParagraph"/>
              <w:spacing w:before="76"/>
              <w:ind w:left="107"/>
              <w:rPr>
                <w:sz w:val="21"/>
              </w:rPr>
            </w:pPr>
            <w:r>
              <w:rPr>
                <w:sz w:val="21"/>
              </w:rPr>
              <w:t>指因慢性肝脏疾病导致肝功能衰竭,须满足下列全部条件：</w:t>
            </w:r>
          </w:p>
          <w:p>
            <w:pPr>
              <w:pStyle w:val="TableParagraph"/>
              <w:spacing w:before="36"/>
              <w:ind w:left="107"/>
              <w:rPr>
                <w:sz w:val="21"/>
              </w:rPr>
            </w:pPr>
            <w:r>
              <w:rPr>
                <w:sz w:val="21"/>
              </w:rPr>
              <w:t>（1）持续性黄疸；</w:t>
            </w:r>
          </w:p>
          <w:p>
            <w:pPr>
              <w:pStyle w:val="TableParagraph"/>
              <w:spacing w:before="36"/>
              <w:ind w:left="107"/>
              <w:rPr>
                <w:sz w:val="21"/>
              </w:rPr>
            </w:pPr>
            <w:r>
              <w:rPr>
                <w:sz w:val="21"/>
              </w:rPr>
              <w:t>（2）腹水；</w:t>
            </w:r>
          </w:p>
          <w:p>
            <w:pPr>
              <w:pStyle w:val="TableParagraph"/>
              <w:spacing w:before="36"/>
              <w:ind w:left="107"/>
              <w:rPr>
                <w:sz w:val="21"/>
              </w:rPr>
            </w:pPr>
            <w:r>
              <w:rPr>
                <w:sz w:val="21"/>
              </w:rPr>
              <w:t>（3）肝性脑病；</w:t>
            </w:r>
          </w:p>
          <w:p>
            <w:pPr>
              <w:pStyle w:val="TableParagraph"/>
              <w:spacing w:line="273" w:lineRule="auto" w:before="36"/>
              <w:ind w:left="107" w:right="2813"/>
              <w:rPr>
                <w:sz w:val="21"/>
              </w:rPr>
            </w:pPr>
            <w:r>
              <w:rPr>
                <w:sz w:val="21"/>
              </w:rPr>
              <w:t>（4）充血性脾肿大伴脾功能亢进或食管胃底静脉曲张。因酗酒或药物滥用导致的肝功能衰竭不在保障范围内。</w:t>
            </w:r>
          </w:p>
        </w:tc>
      </w:tr>
      <w:tr>
        <w:trPr>
          <w:trHeight w:val="2042" w:hRule="atLeast"/>
        </w:trPr>
        <w:tc>
          <w:tcPr>
            <w:tcW w:w="991" w:type="dxa"/>
          </w:tcPr>
          <w:p>
            <w:pPr>
              <w:pStyle w:val="TableParagraph"/>
              <w:spacing w:before="65"/>
              <w:ind w:left="200"/>
              <w:rPr>
                <w:i/>
                <w:sz w:val="22"/>
              </w:rPr>
            </w:pPr>
            <w:r>
              <w:rPr>
                <w:i/>
                <w:sz w:val="22"/>
              </w:rPr>
              <w:t>3.4.11</w:t>
            </w:r>
          </w:p>
        </w:tc>
        <w:tc>
          <w:tcPr>
            <w:tcW w:w="1315" w:type="dxa"/>
          </w:tcPr>
          <w:p>
            <w:pPr>
              <w:pStyle w:val="TableParagraph"/>
              <w:spacing w:line="259" w:lineRule="auto" w:before="65"/>
              <w:ind w:left="157" w:right="104"/>
              <w:jc w:val="both"/>
              <w:rPr>
                <w:i/>
                <w:sz w:val="22"/>
              </w:rPr>
            </w:pPr>
            <w:r>
              <w:rPr>
                <w:i/>
                <w:spacing w:val="-24"/>
                <w:sz w:val="22"/>
              </w:rPr>
              <w:t>脑 炎 后 遗</w:t>
            </w:r>
            <w:r>
              <w:rPr>
                <w:i/>
                <w:spacing w:val="-29"/>
                <w:sz w:val="22"/>
              </w:rPr>
              <w:t>症 或 脑 膜</w:t>
            </w:r>
            <w:r>
              <w:rPr>
                <w:i/>
                <w:spacing w:val="-16"/>
                <w:w w:val="95"/>
                <w:sz w:val="22"/>
              </w:rPr>
              <w:t>炎后遗症</w:t>
            </w:r>
          </w:p>
        </w:tc>
        <w:tc>
          <w:tcPr>
            <w:tcW w:w="8072" w:type="dxa"/>
          </w:tcPr>
          <w:p>
            <w:pPr>
              <w:pStyle w:val="TableParagraph"/>
              <w:spacing w:line="273" w:lineRule="auto" w:before="77"/>
              <w:ind w:left="107" w:right="311"/>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6"/>
              <w:ind w:left="107"/>
              <w:rPr>
                <w:sz w:val="21"/>
              </w:rPr>
            </w:pPr>
            <w:r>
              <w:rPr>
                <w:sz w:val="21"/>
              </w:rPr>
              <w:t>（2）</w:t>
            </w:r>
            <w:r>
              <w:rPr>
                <w:b/>
                <w:sz w:val="21"/>
              </w:rPr>
              <w:t>语言能力或咀嚼吞咽能力完全丧失</w:t>
            </w:r>
            <w:r>
              <w:rPr>
                <w:sz w:val="21"/>
              </w:rPr>
              <w:t>；</w:t>
            </w:r>
          </w:p>
          <w:p>
            <w:pPr>
              <w:pStyle w:val="TableParagraph"/>
              <w:spacing w:line="273" w:lineRule="auto" w:before="36"/>
              <w:ind w:left="107" w:right="257"/>
              <w:rPr>
                <w:sz w:val="21"/>
              </w:rPr>
            </w:pPr>
            <w:r>
              <w:rPr>
                <w:sz w:val="21"/>
              </w:rPr>
              <w:t>（3）自主生活能力完全丧失，无法独立完成</w:t>
            </w:r>
            <w:r>
              <w:rPr>
                <w:b/>
                <w:sz w:val="21"/>
              </w:rPr>
              <w:t>六项基本日常生活活动</w:t>
            </w:r>
            <w:r>
              <w:rPr>
                <w:sz w:val="21"/>
              </w:rPr>
              <w:t>中的三项或三项以上。</w:t>
            </w:r>
          </w:p>
        </w:tc>
      </w:tr>
      <w:tr>
        <w:trPr>
          <w:trHeight w:val="353" w:hRule="atLeast"/>
        </w:trPr>
        <w:tc>
          <w:tcPr>
            <w:tcW w:w="991" w:type="dxa"/>
          </w:tcPr>
          <w:p>
            <w:pPr>
              <w:pStyle w:val="TableParagraph"/>
              <w:spacing w:line="268" w:lineRule="exact" w:before="65"/>
              <w:ind w:left="200"/>
              <w:rPr>
                <w:i/>
                <w:sz w:val="22"/>
              </w:rPr>
            </w:pPr>
            <w:r>
              <w:rPr>
                <w:i/>
                <w:sz w:val="22"/>
              </w:rPr>
              <w:t>3.4.12</w:t>
            </w:r>
          </w:p>
        </w:tc>
        <w:tc>
          <w:tcPr>
            <w:tcW w:w="1315" w:type="dxa"/>
          </w:tcPr>
          <w:p>
            <w:pPr>
              <w:pStyle w:val="TableParagraph"/>
              <w:spacing w:line="268" w:lineRule="exact" w:before="65"/>
              <w:ind w:left="157"/>
              <w:rPr>
                <w:i/>
                <w:sz w:val="22"/>
              </w:rPr>
            </w:pPr>
            <w:r>
              <w:rPr>
                <w:i/>
                <w:w w:val="95"/>
                <w:sz w:val="22"/>
              </w:rPr>
              <w:t>深度昏迷</w:t>
            </w:r>
          </w:p>
        </w:tc>
        <w:tc>
          <w:tcPr>
            <w:tcW w:w="8072" w:type="dxa"/>
          </w:tcPr>
          <w:p>
            <w:pPr>
              <w:pStyle w:val="TableParagraph"/>
              <w:spacing w:line="257" w:lineRule="exact" w:before="76"/>
              <w:ind w:left="107"/>
              <w:rPr>
                <w:sz w:val="21"/>
              </w:rPr>
            </w:pPr>
            <w:r>
              <w:rPr>
                <w:sz w:val="21"/>
              </w:rPr>
              <w:t>指因疾病或意外伤害导致意识丧失,对外界刺激和体内需求均无反应,昏迷程度按照</w:t>
            </w:r>
          </w:p>
        </w:tc>
      </w:tr>
    </w:tbl>
    <w:p>
      <w:pPr>
        <w:spacing w:after="0" w:line="257"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15"/>
        <w:gridCol w:w="8072"/>
      </w:tblGrid>
      <w:tr>
        <w:trPr>
          <w:trHeight w:val="966" w:hRule="atLeast"/>
        </w:trPr>
        <w:tc>
          <w:tcPr>
            <w:tcW w:w="991" w:type="dxa"/>
          </w:tcPr>
          <w:p>
            <w:pPr>
              <w:pStyle w:val="TableParagraph"/>
              <w:rPr>
                <w:rFonts w:ascii="Times New Roman"/>
                <w:sz w:val="20"/>
              </w:rPr>
            </w:pPr>
          </w:p>
        </w:tc>
        <w:tc>
          <w:tcPr>
            <w:tcW w:w="1315" w:type="dxa"/>
          </w:tcPr>
          <w:p>
            <w:pPr>
              <w:pStyle w:val="TableParagraph"/>
              <w:rPr>
                <w:rFonts w:ascii="Times New Roman"/>
                <w:sz w:val="20"/>
              </w:rPr>
            </w:pPr>
          </w:p>
        </w:tc>
        <w:tc>
          <w:tcPr>
            <w:tcW w:w="8072" w:type="dxa"/>
          </w:tcPr>
          <w:p>
            <w:pPr>
              <w:pStyle w:val="TableParagraph"/>
              <w:spacing w:line="211" w:lineRule="exact"/>
              <w:ind w:left="107"/>
              <w:rPr>
                <w:sz w:val="21"/>
              </w:rPr>
            </w:pPr>
            <w:r>
              <w:rPr>
                <w:sz w:val="21"/>
              </w:rPr>
              <w:t>格拉斯哥昏迷分级（Glasgow coma scale）结果为 5 分或 5 分以下，且已经持续使</w:t>
            </w:r>
          </w:p>
          <w:p>
            <w:pPr>
              <w:pStyle w:val="TableParagraph"/>
              <w:spacing w:before="37"/>
              <w:ind w:left="107"/>
              <w:rPr>
                <w:sz w:val="21"/>
              </w:rPr>
            </w:pPr>
            <w:r>
              <w:rPr>
                <w:sz w:val="21"/>
              </w:rPr>
              <w:t>用呼吸机及其它生命维持系统 96 小时以上。</w:t>
            </w:r>
          </w:p>
          <w:p>
            <w:pPr>
              <w:pStyle w:val="TableParagraph"/>
              <w:spacing w:before="37"/>
              <w:ind w:left="107"/>
              <w:rPr>
                <w:sz w:val="21"/>
              </w:rPr>
            </w:pPr>
            <w:r>
              <w:rPr>
                <w:sz w:val="21"/>
              </w:rPr>
              <w:t>因酗酒或药物滥用导致的深度昏迷不在保障范围内。</w:t>
            </w:r>
          </w:p>
        </w:tc>
      </w:tr>
      <w:tr>
        <w:trPr>
          <w:trHeight w:val="1730" w:hRule="atLeast"/>
        </w:trPr>
        <w:tc>
          <w:tcPr>
            <w:tcW w:w="991" w:type="dxa"/>
          </w:tcPr>
          <w:p>
            <w:pPr>
              <w:pStyle w:val="TableParagraph"/>
              <w:spacing w:before="65"/>
              <w:ind w:right="155"/>
              <w:jc w:val="right"/>
              <w:rPr>
                <w:i/>
                <w:sz w:val="22"/>
              </w:rPr>
            </w:pPr>
            <w:r>
              <w:rPr>
                <w:i/>
                <w:w w:val="95"/>
                <w:sz w:val="22"/>
              </w:rPr>
              <w:t>3.4.13</w:t>
            </w:r>
          </w:p>
        </w:tc>
        <w:tc>
          <w:tcPr>
            <w:tcW w:w="1315" w:type="dxa"/>
          </w:tcPr>
          <w:p>
            <w:pPr>
              <w:pStyle w:val="TableParagraph"/>
              <w:spacing w:before="65"/>
              <w:ind w:left="157"/>
              <w:rPr>
                <w:i/>
                <w:sz w:val="22"/>
              </w:rPr>
            </w:pPr>
            <w:r>
              <w:rPr>
                <w:i/>
                <w:w w:val="95"/>
                <w:sz w:val="22"/>
              </w:rPr>
              <w:t>双耳失聪</w:t>
            </w:r>
          </w:p>
        </w:tc>
        <w:tc>
          <w:tcPr>
            <w:tcW w:w="8072" w:type="dxa"/>
          </w:tcPr>
          <w:p>
            <w:pPr>
              <w:pStyle w:val="TableParagraph"/>
              <w:spacing w:before="76"/>
              <w:ind w:left="107"/>
              <w:rPr>
                <w:sz w:val="21"/>
              </w:rPr>
            </w:pPr>
            <w:r>
              <w:rPr>
                <w:spacing w:val="-3"/>
                <w:sz w:val="21"/>
              </w:rPr>
              <w:t>指因疾病或意外伤害导致双耳听力</w:t>
            </w:r>
            <w:r>
              <w:rPr>
                <w:b/>
                <w:sz w:val="21"/>
              </w:rPr>
              <w:t>永久不可逆</w:t>
            </w:r>
            <w:r>
              <w:rPr>
                <w:spacing w:val="-28"/>
                <w:sz w:val="21"/>
              </w:rPr>
              <w:t>性丧失，在 </w:t>
            </w:r>
            <w:r>
              <w:rPr>
                <w:sz w:val="21"/>
              </w:rPr>
              <w:t>500</w:t>
            </w:r>
            <w:r>
              <w:rPr>
                <w:spacing w:val="-40"/>
                <w:sz w:val="21"/>
              </w:rPr>
              <w:t> 赫兹、</w:t>
            </w:r>
            <w:r>
              <w:rPr>
                <w:sz w:val="21"/>
              </w:rPr>
              <w:t>1000</w:t>
            </w:r>
            <w:r>
              <w:rPr>
                <w:spacing w:val="-22"/>
                <w:sz w:val="21"/>
              </w:rPr>
              <w:t> 赫兹和 </w:t>
            </w:r>
            <w:r>
              <w:rPr>
                <w:sz w:val="21"/>
              </w:rPr>
              <w:t>2000</w:t>
            </w:r>
          </w:p>
          <w:p>
            <w:pPr>
              <w:pStyle w:val="TableParagraph"/>
              <w:spacing w:line="273" w:lineRule="auto" w:before="36"/>
              <w:ind w:left="107" w:right="302"/>
              <w:rPr>
                <w:sz w:val="21"/>
              </w:rPr>
            </w:pPr>
            <w:r>
              <w:rPr>
                <w:spacing w:val="-7"/>
                <w:sz w:val="21"/>
              </w:rPr>
              <w:t>赫兹语音频率下，平均听阈大于 </w:t>
            </w:r>
            <w:r>
              <w:rPr>
                <w:sz w:val="21"/>
              </w:rPr>
              <w:t>90</w:t>
            </w:r>
            <w:r>
              <w:rPr>
                <w:spacing w:val="-8"/>
                <w:sz w:val="21"/>
              </w:rPr>
              <w:t> 分贝，且经纯音听力测试、声导抗检测或听觉诱</w:t>
            </w:r>
            <w:r>
              <w:rPr>
                <w:spacing w:val="-5"/>
                <w:sz w:val="21"/>
              </w:rPr>
              <w:t>发电位检测等证实。</w:t>
            </w:r>
          </w:p>
          <w:p>
            <w:pPr>
              <w:pStyle w:val="TableParagraph"/>
              <w:spacing w:line="273" w:lineRule="auto" w:before="7"/>
              <w:ind w:left="107" w:right="394"/>
              <w:rPr>
                <w:sz w:val="21"/>
              </w:rPr>
            </w:pPr>
            <w:r>
              <w:rPr>
                <w:sz w:val="21"/>
              </w:rPr>
              <w:t>被保险人申请理赔时年龄必须在三周岁以上，并且提供理赔当时的听力丧失诊断及检查证据。</w:t>
            </w:r>
          </w:p>
        </w:tc>
      </w:tr>
      <w:tr>
        <w:trPr>
          <w:trHeight w:val="2355" w:hRule="atLeast"/>
        </w:trPr>
        <w:tc>
          <w:tcPr>
            <w:tcW w:w="991" w:type="dxa"/>
          </w:tcPr>
          <w:p>
            <w:pPr>
              <w:pStyle w:val="TableParagraph"/>
              <w:spacing w:before="65"/>
              <w:ind w:right="154"/>
              <w:jc w:val="right"/>
              <w:rPr>
                <w:i/>
                <w:sz w:val="22"/>
              </w:rPr>
            </w:pPr>
            <w:r>
              <w:rPr>
                <w:i/>
                <w:w w:val="95"/>
                <w:sz w:val="22"/>
              </w:rPr>
              <w:t>3.4.14</w:t>
            </w:r>
          </w:p>
        </w:tc>
        <w:tc>
          <w:tcPr>
            <w:tcW w:w="1315" w:type="dxa"/>
          </w:tcPr>
          <w:p>
            <w:pPr>
              <w:pStyle w:val="TableParagraph"/>
              <w:spacing w:before="65"/>
              <w:ind w:left="157"/>
              <w:rPr>
                <w:i/>
                <w:sz w:val="22"/>
              </w:rPr>
            </w:pPr>
            <w:r>
              <w:rPr>
                <w:i/>
                <w:w w:val="95"/>
                <w:sz w:val="22"/>
              </w:rPr>
              <w:t>双目失明</w:t>
            </w:r>
          </w:p>
        </w:tc>
        <w:tc>
          <w:tcPr>
            <w:tcW w:w="8072" w:type="dxa"/>
          </w:tcPr>
          <w:p>
            <w:pPr>
              <w:pStyle w:val="TableParagraph"/>
              <w:spacing w:line="273" w:lineRule="auto" w:before="76"/>
              <w:ind w:left="107" w:right="391"/>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107"/>
              <w:rPr>
                <w:sz w:val="21"/>
              </w:rPr>
            </w:pPr>
            <w:r>
              <w:rPr>
                <w:sz w:val="21"/>
              </w:rPr>
              <w:t>（1）眼球缺失或摘除；</w:t>
            </w:r>
          </w:p>
          <w:p>
            <w:pPr>
              <w:pStyle w:val="TableParagraph"/>
              <w:spacing w:before="37"/>
              <w:ind w:left="107"/>
              <w:rPr>
                <w:sz w:val="21"/>
              </w:rPr>
            </w:pPr>
            <w:r>
              <w:rPr>
                <w:w w:val="100"/>
                <w:sz w:val="21"/>
              </w:rPr>
              <w:t>（2</w:t>
            </w:r>
            <w:r>
              <w:rPr>
                <w:spacing w:val="-25"/>
                <w:w w:val="100"/>
                <w:sz w:val="21"/>
              </w:rPr>
              <w:t>）</w:t>
            </w:r>
            <w:r>
              <w:rPr>
                <w:spacing w:val="-3"/>
                <w:w w:val="100"/>
                <w:sz w:val="21"/>
              </w:rPr>
              <w:t>矫正视力低于</w:t>
            </w:r>
            <w:r>
              <w:rPr>
                <w:spacing w:val="-55"/>
                <w:sz w:val="21"/>
              </w:rPr>
              <w:t> </w:t>
            </w:r>
            <w:r>
              <w:rPr>
                <w:w w:val="100"/>
                <w:sz w:val="21"/>
              </w:rPr>
              <w:t>0.0</w:t>
            </w:r>
            <w:r>
              <w:rPr>
                <w:spacing w:val="-24"/>
                <w:w w:val="100"/>
                <w:sz w:val="21"/>
              </w:rPr>
              <w:t>2</w:t>
            </w:r>
            <w:r>
              <w:rPr>
                <w:spacing w:val="-3"/>
                <w:w w:val="100"/>
                <w:sz w:val="21"/>
              </w:rPr>
              <w:t>（</w:t>
            </w:r>
            <w:r>
              <w:rPr>
                <w:spacing w:val="-5"/>
                <w:w w:val="100"/>
                <w:sz w:val="21"/>
              </w:rPr>
              <w:t>采用国际标准视力表，如果使用其它视力表应进行换算</w:t>
            </w:r>
            <w:r>
              <w:rPr>
                <w:spacing w:val="-108"/>
                <w:w w:val="100"/>
                <w:sz w:val="21"/>
              </w:rPr>
              <w:t>）</w:t>
            </w:r>
            <w:r>
              <w:rPr>
                <w:w w:val="100"/>
                <w:sz w:val="21"/>
              </w:rPr>
              <w:t>；</w:t>
            </w:r>
          </w:p>
          <w:p>
            <w:pPr>
              <w:pStyle w:val="TableParagraph"/>
              <w:spacing w:before="37"/>
              <w:ind w:left="107"/>
              <w:rPr>
                <w:sz w:val="21"/>
              </w:rPr>
            </w:pPr>
            <w:r>
              <w:rPr>
                <w:sz w:val="21"/>
              </w:rPr>
              <w:t>（3）视野半径小于 5 度。</w:t>
            </w:r>
          </w:p>
          <w:p>
            <w:pPr>
              <w:pStyle w:val="TableParagraph"/>
              <w:spacing w:line="273" w:lineRule="auto" w:before="37"/>
              <w:ind w:left="107" w:right="393"/>
              <w:rPr>
                <w:sz w:val="21"/>
              </w:rPr>
            </w:pPr>
            <w:r>
              <w:rPr>
                <w:sz w:val="21"/>
              </w:rPr>
              <w:t>被保险人申请理赔时年龄必须在三周岁以上，并且提供理赔当时的视力丧失诊断及检查证据。</w:t>
            </w:r>
          </w:p>
        </w:tc>
      </w:tr>
      <w:tr>
        <w:trPr>
          <w:trHeight w:val="1106" w:hRule="atLeast"/>
        </w:trPr>
        <w:tc>
          <w:tcPr>
            <w:tcW w:w="991" w:type="dxa"/>
          </w:tcPr>
          <w:p>
            <w:pPr>
              <w:pStyle w:val="TableParagraph"/>
              <w:spacing w:before="65"/>
              <w:ind w:right="154"/>
              <w:jc w:val="right"/>
              <w:rPr>
                <w:i/>
                <w:sz w:val="22"/>
              </w:rPr>
            </w:pPr>
            <w:r>
              <w:rPr>
                <w:i/>
                <w:w w:val="95"/>
                <w:sz w:val="22"/>
              </w:rPr>
              <w:t>3.4.15</w:t>
            </w:r>
          </w:p>
        </w:tc>
        <w:tc>
          <w:tcPr>
            <w:tcW w:w="1315" w:type="dxa"/>
          </w:tcPr>
          <w:p>
            <w:pPr>
              <w:pStyle w:val="TableParagraph"/>
              <w:spacing w:before="65"/>
              <w:ind w:left="157"/>
              <w:rPr>
                <w:i/>
                <w:sz w:val="22"/>
              </w:rPr>
            </w:pPr>
            <w:r>
              <w:rPr>
                <w:i/>
                <w:w w:val="95"/>
                <w:sz w:val="22"/>
              </w:rPr>
              <w:t>瘫痪</w:t>
            </w:r>
          </w:p>
        </w:tc>
        <w:tc>
          <w:tcPr>
            <w:tcW w:w="8072" w:type="dxa"/>
          </w:tcPr>
          <w:p>
            <w:pPr>
              <w:pStyle w:val="TableParagraph"/>
              <w:spacing w:line="273" w:lineRule="auto" w:before="76"/>
              <w:ind w:left="107" w:right="302"/>
              <w:jc w:val="both"/>
              <w:rPr>
                <w:sz w:val="21"/>
              </w:rPr>
            </w:pPr>
            <w:r>
              <w:rPr>
                <w:sz w:val="21"/>
              </w:rPr>
              <w:t>指因疾病或意外伤害导致两肢或两肢以上肢体机能永久完全丧失。肢体机能永久完</w:t>
            </w:r>
            <w:r>
              <w:rPr>
                <w:spacing w:val="-5"/>
                <w:sz w:val="21"/>
              </w:rPr>
              <w:t>全丧失，指疾病确诊 </w:t>
            </w:r>
            <w:r>
              <w:rPr>
                <w:sz w:val="21"/>
              </w:rPr>
              <w:t>180</w:t>
            </w:r>
            <w:r>
              <w:rPr>
                <w:spacing w:val="-8"/>
                <w:sz w:val="21"/>
              </w:rPr>
              <w:t> 天后或意外伤害发生 </w:t>
            </w:r>
            <w:r>
              <w:rPr>
                <w:sz w:val="21"/>
              </w:rPr>
              <w:t>180</w:t>
            </w:r>
            <w:r>
              <w:rPr>
                <w:spacing w:val="-6"/>
                <w:sz w:val="21"/>
              </w:rPr>
              <w:t> 天后，每肢三大关节中的两大关</w:t>
            </w:r>
            <w:r>
              <w:rPr>
                <w:spacing w:val="-4"/>
                <w:sz w:val="21"/>
              </w:rPr>
              <w:t>节仍然完全僵硬，或不能随意识活动。</w:t>
            </w:r>
          </w:p>
        </w:tc>
      </w:tr>
      <w:tr>
        <w:trPr>
          <w:trHeight w:val="795" w:hRule="atLeast"/>
        </w:trPr>
        <w:tc>
          <w:tcPr>
            <w:tcW w:w="991" w:type="dxa"/>
          </w:tcPr>
          <w:p>
            <w:pPr>
              <w:pStyle w:val="TableParagraph"/>
              <w:spacing w:before="65"/>
              <w:ind w:right="154"/>
              <w:jc w:val="right"/>
              <w:rPr>
                <w:i/>
                <w:sz w:val="22"/>
              </w:rPr>
            </w:pPr>
            <w:r>
              <w:rPr>
                <w:i/>
                <w:w w:val="95"/>
                <w:sz w:val="22"/>
              </w:rPr>
              <w:t>3.4.16</w:t>
            </w:r>
          </w:p>
        </w:tc>
        <w:tc>
          <w:tcPr>
            <w:tcW w:w="1315" w:type="dxa"/>
          </w:tcPr>
          <w:p>
            <w:pPr>
              <w:pStyle w:val="TableParagraph"/>
              <w:spacing w:line="259" w:lineRule="auto" w:before="65"/>
              <w:ind w:left="157" w:right="104"/>
              <w:rPr>
                <w:i/>
                <w:sz w:val="22"/>
              </w:rPr>
            </w:pPr>
            <w:r>
              <w:rPr>
                <w:i/>
                <w:spacing w:val="-24"/>
                <w:sz w:val="22"/>
              </w:rPr>
              <w:t>心 脏 瓣 膜</w:t>
            </w:r>
            <w:r>
              <w:rPr>
                <w:i/>
                <w:spacing w:val="-24"/>
                <w:w w:val="95"/>
                <w:sz w:val="22"/>
              </w:rPr>
              <w:t>手术</w:t>
            </w:r>
          </w:p>
        </w:tc>
        <w:tc>
          <w:tcPr>
            <w:tcW w:w="8072" w:type="dxa"/>
          </w:tcPr>
          <w:p>
            <w:pPr>
              <w:pStyle w:val="TableParagraph"/>
              <w:spacing w:before="76"/>
              <w:ind w:left="107"/>
              <w:rPr>
                <w:sz w:val="21"/>
              </w:rPr>
            </w:pPr>
            <w:r>
              <w:rPr>
                <w:sz w:val="21"/>
              </w:rPr>
              <w:t>指为治疗心脏瓣膜疾病，实际实施了开胸进行的心脏瓣膜置换或修复的手术。</w:t>
            </w:r>
          </w:p>
        </w:tc>
      </w:tr>
      <w:tr>
        <w:trPr>
          <w:trHeight w:val="2040" w:hRule="atLeast"/>
        </w:trPr>
        <w:tc>
          <w:tcPr>
            <w:tcW w:w="991" w:type="dxa"/>
          </w:tcPr>
          <w:p>
            <w:pPr>
              <w:pStyle w:val="TableParagraph"/>
              <w:spacing w:before="64"/>
              <w:ind w:right="154"/>
              <w:jc w:val="right"/>
              <w:rPr>
                <w:i/>
                <w:sz w:val="22"/>
              </w:rPr>
            </w:pPr>
            <w:r>
              <w:rPr>
                <w:i/>
                <w:w w:val="95"/>
                <w:sz w:val="22"/>
              </w:rPr>
              <w:t>3.4.17</w:t>
            </w:r>
          </w:p>
        </w:tc>
        <w:tc>
          <w:tcPr>
            <w:tcW w:w="1315" w:type="dxa"/>
          </w:tcPr>
          <w:p>
            <w:pPr>
              <w:pStyle w:val="TableParagraph"/>
              <w:spacing w:line="259" w:lineRule="auto" w:before="64"/>
              <w:ind w:left="157" w:right="313"/>
              <w:rPr>
                <w:i/>
                <w:sz w:val="22"/>
              </w:rPr>
            </w:pPr>
            <w:r>
              <w:rPr>
                <w:i/>
                <w:w w:val="95"/>
                <w:sz w:val="22"/>
              </w:rPr>
              <w:t>严重阿尔茨海默病</w:t>
            </w:r>
          </w:p>
        </w:tc>
        <w:tc>
          <w:tcPr>
            <w:tcW w:w="8072" w:type="dxa"/>
          </w:tcPr>
          <w:p>
            <w:pPr>
              <w:pStyle w:val="TableParagraph"/>
              <w:spacing w:line="273" w:lineRule="auto" w:before="76"/>
              <w:ind w:left="107" w:right="302"/>
              <w:jc w:val="both"/>
              <w:rPr>
                <w:sz w:val="21"/>
              </w:rPr>
            </w:pPr>
            <w:r>
              <w:rPr>
                <w:sz w:val="21"/>
              </w:rPr>
              <w:t>指因大脑进行性、不可逆性改变导致智能严重衰退或丧失，临床表现为明显的认知能力障碍、行为异常和社交能力减退，其日常生活必须持续受到他人监护。须由头</w:t>
            </w:r>
            <w:r>
              <w:rPr>
                <w:spacing w:val="-2"/>
                <w:w w:val="100"/>
                <w:sz w:val="21"/>
              </w:rPr>
              <w:t>颅断层扫描</w:t>
            </w:r>
            <w:r>
              <w:rPr>
                <w:w w:val="100"/>
                <w:sz w:val="21"/>
              </w:rPr>
              <w:t>（C</w:t>
            </w:r>
            <w:r>
              <w:rPr>
                <w:spacing w:val="-3"/>
                <w:w w:val="100"/>
                <w:sz w:val="21"/>
              </w:rPr>
              <w:t>T</w:t>
            </w:r>
            <w:r>
              <w:rPr>
                <w:spacing w:val="-106"/>
                <w:w w:val="100"/>
                <w:sz w:val="21"/>
              </w:rPr>
              <w:t>）</w:t>
            </w:r>
            <w:r>
              <w:rPr>
                <w:spacing w:val="-4"/>
                <w:w w:val="100"/>
                <w:sz w:val="21"/>
              </w:rPr>
              <w:t>、核磁共振检查</w:t>
            </w:r>
            <w:r>
              <w:rPr>
                <w:w w:val="100"/>
                <w:sz w:val="21"/>
              </w:rPr>
              <w:t>（M</w:t>
            </w:r>
            <w:r>
              <w:rPr>
                <w:spacing w:val="-3"/>
                <w:w w:val="100"/>
                <w:sz w:val="21"/>
              </w:rPr>
              <w:t>R</w:t>
            </w:r>
            <w:r>
              <w:rPr>
                <w:w w:val="100"/>
                <w:sz w:val="21"/>
              </w:rPr>
              <w:t>I)</w:t>
            </w:r>
            <w:r>
              <w:rPr>
                <w:sz w:val="21"/>
              </w:rPr>
              <w:t> </w:t>
            </w:r>
            <w:r>
              <w:rPr>
                <w:spacing w:val="-4"/>
                <w:w w:val="100"/>
                <w:sz w:val="21"/>
              </w:rPr>
              <w:t>或正电子发射断层扫描</w:t>
            </w:r>
            <w:r>
              <w:rPr>
                <w:w w:val="100"/>
                <w:sz w:val="21"/>
              </w:rPr>
              <w:t>（P</w:t>
            </w:r>
            <w:r>
              <w:rPr>
                <w:spacing w:val="-3"/>
                <w:w w:val="100"/>
                <w:sz w:val="21"/>
              </w:rPr>
              <w:t>E</w:t>
            </w:r>
            <w:r>
              <w:rPr>
                <w:spacing w:val="-1"/>
                <w:w w:val="100"/>
                <w:sz w:val="21"/>
              </w:rPr>
              <w:t>T</w:t>
            </w:r>
            <w:r>
              <w:rPr>
                <w:spacing w:val="-5"/>
                <w:w w:val="100"/>
                <w:sz w:val="21"/>
              </w:rPr>
              <w:t>）</w:t>
            </w:r>
            <w:r>
              <w:rPr>
                <w:spacing w:val="-3"/>
                <w:w w:val="100"/>
                <w:sz w:val="21"/>
              </w:rPr>
              <w:t>等影像学检</w:t>
            </w:r>
            <w:r>
              <w:rPr>
                <w:spacing w:val="-3"/>
                <w:sz w:val="21"/>
              </w:rPr>
              <w:t>查证实，且自主生活能力完全丧失，无法独立完成</w:t>
            </w:r>
            <w:r>
              <w:rPr>
                <w:b/>
                <w:sz w:val="21"/>
              </w:rPr>
              <w:t>六项基本日常生活活动</w:t>
            </w:r>
            <w:r>
              <w:rPr>
                <w:spacing w:val="-2"/>
                <w:sz w:val="21"/>
              </w:rPr>
              <w:t>中的三项</w:t>
            </w:r>
            <w:r>
              <w:rPr>
                <w:spacing w:val="-3"/>
                <w:sz w:val="21"/>
              </w:rPr>
              <w:t>或三项以上。</w:t>
            </w:r>
          </w:p>
          <w:p>
            <w:pPr>
              <w:pStyle w:val="TableParagraph"/>
              <w:spacing w:before="8"/>
              <w:ind w:left="107"/>
              <w:jc w:val="both"/>
              <w:rPr>
                <w:sz w:val="21"/>
              </w:rPr>
            </w:pPr>
            <w:r>
              <w:rPr>
                <w:sz w:val="21"/>
              </w:rPr>
              <w:t>神经官能症和精神疾病不在保障范围内。</w:t>
            </w:r>
          </w:p>
        </w:tc>
      </w:tr>
      <w:tr>
        <w:trPr>
          <w:trHeight w:val="2665" w:hRule="atLeast"/>
        </w:trPr>
        <w:tc>
          <w:tcPr>
            <w:tcW w:w="991" w:type="dxa"/>
          </w:tcPr>
          <w:p>
            <w:pPr>
              <w:pStyle w:val="TableParagraph"/>
              <w:spacing w:before="64"/>
              <w:ind w:right="154"/>
              <w:jc w:val="right"/>
              <w:rPr>
                <w:i/>
                <w:sz w:val="22"/>
              </w:rPr>
            </w:pPr>
            <w:r>
              <w:rPr>
                <w:i/>
                <w:w w:val="95"/>
                <w:sz w:val="22"/>
              </w:rPr>
              <w:t>3.4.18</w:t>
            </w:r>
          </w:p>
        </w:tc>
        <w:tc>
          <w:tcPr>
            <w:tcW w:w="1315" w:type="dxa"/>
          </w:tcPr>
          <w:p>
            <w:pPr>
              <w:pStyle w:val="TableParagraph"/>
              <w:spacing w:line="259" w:lineRule="auto" w:before="64"/>
              <w:ind w:left="157" w:right="313"/>
              <w:rPr>
                <w:i/>
                <w:sz w:val="22"/>
              </w:rPr>
            </w:pPr>
            <w:r>
              <w:rPr>
                <w:i/>
                <w:w w:val="95"/>
                <w:sz w:val="22"/>
              </w:rPr>
              <w:t>严重脑损</w:t>
            </w:r>
            <w:r>
              <w:rPr>
                <w:i/>
                <w:sz w:val="22"/>
              </w:rPr>
              <w:t>伤</w:t>
            </w:r>
          </w:p>
        </w:tc>
        <w:tc>
          <w:tcPr>
            <w:tcW w:w="8072" w:type="dxa"/>
          </w:tcPr>
          <w:p>
            <w:pPr>
              <w:pStyle w:val="TableParagraph"/>
              <w:spacing w:line="273" w:lineRule="auto" w:before="75"/>
              <w:ind w:left="107" w:right="197"/>
              <w:rPr>
                <w:sz w:val="21"/>
              </w:rPr>
            </w:pPr>
            <w:r>
              <w:rPr>
                <w:spacing w:val="-5"/>
                <w:sz w:val="21"/>
              </w:rPr>
              <w:t>指因头部遭受机械性外力，引起脑重要部位损伤，导致神经系统永久性的功能障碍。</w:t>
            </w:r>
            <w:r>
              <w:rPr>
                <w:spacing w:val="-4"/>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w w:val="100"/>
                <w:sz w:val="21"/>
              </w:rPr>
              <w:t>PE</w:t>
            </w:r>
            <w:r>
              <w:rPr>
                <w:spacing w:val="-3"/>
                <w:w w:val="100"/>
                <w:sz w:val="21"/>
              </w:rPr>
              <w:t>T</w:t>
            </w:r>
            <w:r>
              <w:rPr>
                <w:spacing w:val="-5"/>
                <w:w w:val="100"/>
                <w:sz w:val="21"/>
              </w:rPr>
              <w:t>）</w:t>
            </w:r>
            <w:r>
              <w:rPr>
                <w:w w:val="100"/>
                <w:sz w:val="21"/>
              </w:rPr>
              <w:t>等影</w:t>
            </w:r>
            <w:r>
              <w:rPr>
                <w:spacing w:val="-5"/>
                <w:sz w:val="21"/>
              </w:rPr>
              <w:t>像学检查证实。神经系统永久性的功能障碍，指脑损伤 </w:t>
            </w:r>
            <w:r>
              <w:rPr>
                <w:sz w:val="21"/>
              </w:rPr>
              <w:t>180</w:t>
            </w:r>
            <w:r>
              <w:rPr>
                <w:spacing w:val="-2"/>
                <w:sz w:val="21"/>
              </w:rPr>
              <w:t> 天后，仍遗留下列一种</w:t>
            </w:r>
            <w:r>
              <w:rPr>
                <w:spacing w:val="-3"/>
                <w:sz w:val="21"/>
              </w:rPr>
              <w:t>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273" w:lineRule="auto" w:before="37"/>
              <w:ind w:left="107" w:right="257"/>
              <w:rPr>
                <w:sz w:val="21"/>
              </w:rPr>
            </w:pPr>
            <w:r>
              <w:rPr>
                <w:sz w:val="21"/>
              </w:rPr>
              <w:t>（3）自主生活能力完全丧失，无法独立完成</w:t>
            </w:r>
            <w:r>
              <w:rPr>
                <w:b/>
                <w:sz w:val="21"/>
              </w:rPr>
              <w:t>六项基本日常生活活动</w:t>
            </w:r>
            <w:r>
              <w:rPr>
                <w:sz w:val="21"/>
              </w:rPr>
              <w:t>中的三项或三项以上。</w:t>
            </w:r>
          </w:p>
        </w:tc>
      </w:tr>
      <w:tr>
        <w:trPr>
          <w:trHeight w:val="2042" w:hRule="atLeast"/>
        </w:trPr>
        <w:tc>
          <w:tcPr>
            <w:tcW w:w="991" w:type="dxa"/>
          </w:tcPr>
          <w:p>
            <w:pPr>
              <w:pStyle w:val="TableParagraph"/>
              <w:spacing w:before="65"/>
              <w:ind w:right="154"/>
              <w:jc w:val="right"/>
              <w:rPr>
                <w:i/>
                <w:sz w:val="22"/>
              </w:rPr>
            </w:pPr>
            <w:r>
              <w:rPr>
                <w:i/>
                <w:w w:val="95"/>
                <w:sz w:val="22"/>
              </w:rPr>
              <w:t>3.4.19</w:t>
            </w:r>
          </w:p>
        </w:tc>
        <w:tc>
          <w:tcPr>
            <w:tcW w:w="1315" w:type="dxa"/>
          </w:tcPr>
          <w:p>
            <w:pPr>
              <w:pStyle w:val="TableParagraph"/>
              <w:spacing w:line="259" w:lineRule="auto" w:before="65"/>
              <w:ind w:left="157" w:right="104"/>
              <w:rPr>
                <w:i/>
                <w:sz w:val="22"/>
              </w:rPr>
            </w:pPr>
            <w:r>
              <w:rPr>
                <w:i/>
                <w:spacing w:val="-24"/>
                <w:sz w:val="22"/>
              </w:rPr>
              <w:t>严 重 帕 金</w:t>
            </w:r>
            <w:r>
              <w:rPr>
                <w:i/>
                <w:spacing w:val="-24"/>
                <w:w w:val="95"/>
                <w:sz w:val="22"/>
              </w:rPr>
              <w:t>森病</w:t>
            </w:r>
          </w:p>
        </w:tc>
        <w:tc>
          <w:tcPr>
            <w:tcW w:w="8072" w:type="dxa"/>
          </w:tcPr>
          <w:p>
            <w:pPr>
              <w:pStyle w:val="TableParagraph"/>
              <w:spacing w:line="273" w:lineRule="auto" w:before="77"/>
              <w:ind w:left="107" w:right="393"/>
              <w:rPr>
                <w:sz w:val="21"/>
              </w:rPr>
            </w:pPr>
            <w:r>
              <w:rPr>
                <w:sz w:val="21"/>
              </w:rPr>
              <w:t>是一种中枢神经系统的退行性疾病，临床表现为震颤麻痹、共济失调等。须满足下列全部条件：</w:t>
            </w:r>
          </w:p>
          <w:p>
            <w:pPr>
              <w:pStyle w:val="TableParagraph"/>
              <w:spacing w:before="7"/>
              <w:ind w:left="107"/>
              <w:rPr>
                <w:sz w:val="21"/>
              </w:rPr>
            </w:pPr>
            <w:r>
              <w:rPr>
                <w:sz w:val="21"/>
              </w:rPr>
              <w:t>（1）药物治疗无法控制病情；</w:t>
            </w:r>
          </w:p>
          <w:p>
            <w:pPr>
              <w:pStyle w:val="TableParagraph"/>
              <w:spacing w:line="273" w:lineRule="auto" w:before="36"/>
              <w:ind w:left="107" w:right="257"/>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ind w:left="107"/>
              <w:rPr>
                <w:sz w:val="21"/>
              </w:rPr>
            </w:pPr>
            <w:r>
              <w:rPr>
                <w:sz w:val="21"/>
              </w:rPr>
              <w:t>继发性帕金森综合征不在保障范围内。</w:t>
            </w:r>
          </w:p>
        </w:tc>
      </w:tr>
      <w:tr>
        <w:trPr>
          <w:trHeight w:val="665" w:hRule="atLeast"/>
        </w:trPr>
        <w:tc>
          <w:tcPr>
            <w:tcW w:w="991" w:type="dxa"/>
          </w:tcPr>
          <w:p>
            <w:pPr>
              <w:pStyle w:val="TableParagraph"/>
              <w:spacing w:before="65"/>
              <w:ind w:right="154"/>
              <w:jc w:val="right"/>
              <w:rPr>
                <w:i/>
                <w:sz w:val="22"/>
              </w:rPr>
            </w:pPr>
            <w:r>
              <w:rPr>
                <w:i/>
                <w:w w:val="95"/>
                <w:sz w:val="22"/>
              </w:rPr>
              <w:t>3.4.20</w:t>
            </w:r>
          </w:p>
        </w:tc>
        <w:tc>
          <w:tcPr>
            <w:tcW w:w="1315" w:type="dxa"/>
          </w:tcPr>
          <w:p>
            <w:pPr>
              <w:pStyle w:val="TableParagraph"/>
              <w:spacing w:line="310" w:lineRule="atLeast" w:before="43"/>
              <w:ind w:left="157" w:right="313"/>
              <w:rPr>
                <w:i/>
                <w:sz w:val="22"/>
              </w:rPr>
            </w:pPr>
            <w:r>
              <w:rPr>
                <w:i/>
                <w:w w:val="95"/>
                <w:sz w:val="22"/>
              </w:rPr>
              <w:t>严重Ⅲ度烧伤</w:t>
            </w:r>
          </w:p>
        </w:tc>
        <w:tc>
          <w:tcPr>
            <w:tcW w:w="8072" w:type="dxa"/>
          </w:tcPr>
          <w:p>
            <w:pPr>
              <w:pStyle w:val="TableParagraph"/>
              <w:spacing w:line="310" w:lineRule="atLeast" w:before="41"/>
              <w:ind w:left="107" w:right="302"/>
              <w:rPr>
                <w:sz w:val="21"/>
              </w:rPr>
            </w:pPr>
            <w:r>
              <w:rPr>
                <w:spacing w:val="-6"/>
                <w:sz w:val="21"/>
              </w:rPr>
              <w:t>指烧伤程度为Ⅲ度，且Ⅲ度烧伤面积达到全身体表面积的 </w:t>
            </w:r>
            <w:r>
              <w:rPr>
                <w:sz w:val="21"/>
              </w:rPr>
              <w:t>20</w:t>
            </w:r>
            <w:r>
              <w:rPr>
                <w:spacing w:val="-13"/>
                <w:sz w:val="21"/>
              </w:rPr>
              <w:t>％或 </w:t>
            </w:r>
            <w:r>
              <w:rPr>
                <w:sz w:val="21"/>
              </w:rPr>
              <w:t>20</w:t>
            </w:r>
            <w:r>
              <w:rPr>
                <w:spacing w:val="-3"/>
                <w:sz w:val="21"/>
              </w:rPr>
              <w:t>％以上。体表面积根据 《中国新九分法》计算。</w:t>
            </w:r>
          </w:p>
        </w:tc>
      </w:tr>
    </w:tbl>
    <w:p>
      <w:pPr>
        <w:spacing w:after="0" w:line="310" w:lineRule="atLeast"/>
        <w:rPr>
          <w:sz w:val="21"/>
        </w:rPr>
        <w:sectPr>
          <w:pgSz w:w="11910" w:h="16840"/>
          <w:pgMar w:header="568" w:footer="0" w:top="800" w:bottom="280" w:left="720" w:right="600"/>
        </w:sectPr>
      </w:pPr>
    </w:p>
    <w:p>
      <w:pPr>
        <w:pStyle w:val="BodyText"/>
        <w:rPr>
          <w:rFonts w:ascii="Times New Roman"/>
          <w:sz w:val="20"/>
        </w:rPr>
      </w:pPr>
    </w:p>
    <w:p>
      <w:pPr>
        <w:pStyle w:val="BodyText"/>
        <w:spacing w:before="2"/>
        <w:rPr>
          <w:rFonts w:ascii="Times New Roman"/>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15"/>
        <w:gridCol w:w="8029"/>
      </w:tblGrid>
      <w:tr>
        <w:trPr>
          <w:trHeight w:val="976" w:hRule="atLeast"/>
        </w:trPr>
        <w:tc>
          <w:tcPr>
            <w:tcW w:w="991" w:type="dxa"/>
          </w:tcPr>
          <w:p>
            <w:pPr>
              <w:pStyle w:val="TableParagraph"/>
              <w:spacing w:line="222" w:lineRule="exact"/>
              <w:ind w:right="154"/>
              <w:jc w:val="right"/>
              <w:rPr>
                <w:i/>
                <w:sz w:val="22"/>
              </w:rPr>
            </w:pPr>
            <w:r>
              <w:rPr>
                <w:i/>
                <w:w w:val="95"/>
                <w:sz w:val="22"/>
              </w:rPr>
              <w:t>3.4.21</w:t>
            </w:r>
          </w:p>
        </w:tc>
        <w:tc>
          <w:tcPr>
            <w:tcW w:w="1315" w:type="dxa"/>
          </w:tcPr>
          <w:p>
            <w:pPr>
              <w:pStyle w:val="TableParagraph"/>
              <w:spacing w:line="222" w:lineRule="exact"/>
              <w:ind w:left="157"/>
              <w:rPr>
                <w:i/>
                <w:sz w:val="22"/>
              </w:rPr>
            </w:pPr>
            <w:r>
              <w:rPr>
                <w:i/>
                <w:spacing w:val="-24"/>
                <w:sz w:val="22"/>
              </w:rPr>
              <w:t>严 重 原 发</w:t>
            </w:r>
          </w:p>
          <w:p>
            <w:pPr>
              <w:pStyle w:val="TableParagraph"/>
              <w:spacing w:line="261" w:lineRule="auto" w:before="24"/>
              <w:ind w:left="157" w:right="104"/>
              <w:rPr>
                <w:i/>
                <w:sz w:val="22"/>
              </w:rPr>
            </w:pPr>
            <w:r>
              <w:rPr>
                <w:i/>
                <w:spacing w:val="-24"/>
                <w:sz w:val="22"/>
              </w:rPr>
              <w:t>性 肺 动 脉</w:t>
            </w:r>
            <w:r>
              <w:rPr>
                <w:i/>
                <w:spacing w:val="-24"/>
                <w:w w:val="95"/>
                <w:sz w:val="22"/>
              </w:rPr>
              <w:t>高压</w:t>
            </w:r>
          </w:p>
        </w:tc>
        <w:tc>
          <w:tcPr>
            <w:tcW w:w="8029" w:type="dxa"/>
          </w:tcPr>
          <w:p>
            <w:pPr>
              <w:pStyle w:val="TableParagraph"/>
              <w:spacing w:line="221" w:lineRule="exact"/>
              <w:ind w:left="107"/>
              <w:rPr>
                <w:b/>
                <w:sz w:val="21"/>
              </w:rPr>
            </w:pPr>
            <w:r>
              <w:rPr>
                <w:sz w:val="21"/>
              </w:rPr>
              <w:t>指不明原因的肺动脉压力持续性增高，进行性发展而导致的慢性疾病，已经造成</w:t>
            </w:r>
            <w:r>
              <w:rPr>
                <w:b/>
                <w:sz w:val="21"/>
              </w:rPr>
              <w:t>永</w:t>
            </w:r>
          </w:p>
          <w:p>
            <w:pPr>
              <w:pStyle w:val="TableParagraph"/>
              <w:spacing w:line="273" w:lineRule="auto" w:before="37"/>
              <w:ind w:left="107" w:right="133"/>
              <w:rPr>
                <w:sz w:val="21"/>
              </w:rPr>
            </w:pPr>
            <w:r>
              <w:rPr>
                <w:b/>
                <w:sz w:val="21"/>
              </w:rPr>
              <w:t>久不可逆</w:t>
            </w:r>
            <w:r>
              <w:rPr>
                <w:sz w:val="21"/>
              </w:rPr>
              <w:t>性的体力活动能力受限，达到美国纽约心脏病学会心功能状态分级 IV 级， 且静息状态下肺动脉平均压超过 3OmmHg 。</w:t>
            </w:r>
          </w:p>
        </w:tc>
      </w:tr>
      <w:tr>
        <w:trPr>
          <w:trHeight w:val="1105" w:hRule="atLeast"/>
        </w:trPr>
        <w:tc>
          <w:tcPr>
            <w:tcW w:w="991" w:type="dxa"/>
          </w:tcPr>
          <w:p>
            <w:pPr>
              <w:pStyle w:val="TableParagraph"/>
              <w:spacing w:before="64"/>
              <w:ind w:right="154"/>
              <w:jc w:val="right"/>
              <w:rPr>
                <w:i/>
                <w:sz w:val="22"/>
              </w:rPr>
            </w:pPr>
            <w:r>
              <w:rPr>
                <w:i/>
                <w:w w:val="95"/>
                <w:sz w:val="22"/>
              </w:rPr>
              <w:t>3.4.22</w:t>
            </w:r>
          </w:p>
        </w:tc>
        <w:tc>
          <w:tcPr>
            <w:tcW w:w="1315" w:type="dxa"/>
          </w:tcPr>
          <w:p>
            <w:pPr>
              <w:pStyle w:val="TableParagraph"/>
              <w:spacing w:line="259" w:lineRule="auto" w:before="64"/>
              <w:ind w:left="157" w:right="104"/>
              <w:rPr>
                <w:i/>
                <w:sz w:val="22"/>
              </w:rPr>
            </w:pPr>
            <w:r>
              <w:rPr>
                <w:i/>
                <w:spacing w:val="-24"/>
                <w:sz w:val="22"/>
              </w:rPr>
              <w:t>严 重 运 动</w:t>
            </w:r>
            <w:r>
              <w:rPr>
                <w:i/>
                <w:spacing w:val="-13"/>
                <w:w w:val="95"/>
                <w:sz w:val="22"/>
              </w:rPr>
              <w:t>神经元病</w:t>
            </w:r>
          </w:p>
        </w:tc>
        <w:tc>
          <w:tcPr>
            <w:tcW w:w="8029" w:type="dxa"/>
          </w:tcPr>
          <w:p>
            <w:pPr>
              <w:pStyle w:val="TableParagraph"/>
              <w:spacing w:line="273" w:lineRule="auto" w:before="76"/>
              <w:ind w:left="107" w:right="26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30" w:hRule="atLeast"/>
        </w:trPr>
        <w:tc>
          <w:tcPr>
            <w:tcW w:w="991" w:type="dxa"/>
          </w:tcPr>
          <w:p>
            <w:pPr>
              <w:pStyle w:val="TableParagraph"/>
              <w:spacing w:before="65"/>
              <w:ind w:right="154"/>
              <w:jc w:val="right"/>
              <w:rPr>
                <w:i/>
                <w:sz w:val="22"/>
              </w:rPr>
            </w:pPr>
            <w:r>
              <w:rPr>
                <w:i/>
                <w:w w:val="95"/>
                <w:sz w:val="22"/>
              </w:rPr>
              <w:t>3.4.23</w:t>
            </w:r>
          </w:p>
        </w:tc>
        <w:tc>
          <w:tcPr>
            <w:tcW w:w="1315" w:type="dxa"/>
          </w:tcPr>
          <w:p>
            <w:pPr>
              <w:pStyle w:val="TableParagraph"/>
              <w:spacing w:line="259" w:lineRule="auto" w:before="65"/>
              <w:ind w:left="157" w:right="313"/>
              <w:rPr>
                <w:i/>
                <w:sz w:val="22"/>
              </w:rPr>
            </w:pPr>
            <w:r>
              <w:rPr>
                <w:i/>
                <w:w w:val="95"/>
                <w:sz w:val="22"/>
              </w:rPr>
              <w:t>语言能力丧失</w:t>
            </w:r>
          </w:p>
        </w:tc>
        <w:tc>
          <w:tcPr>
            <w:tcW w:w="8029" w:type="dxa"/>
          </w:tcPr>
          <w:p>
            <w:pPr>
              <w:pStyle w:val="TableParagraph"/>
              <w:spacing w:line="273" w:lineRule="auto" w:before="76"/>
              <w:ind w:left="107" w:right="259"/>
              <w:rPr>
                <w:sz w:val="21"/>
              </w:rPr>
            </w:pPr>
            <w:r>
              <w:rPr>
                <w:spacing w:val="-7"/>
                <w:sz w:val="21"/>
              </w:rPr>
              <w:t>指因疾病或意外伤害导致完全丧失语言能力，经过积极治疗至少 </w:t>
            </w:r>
            <w:r>
              <w:rPr>
                <w:sz w:val="21"/>
              </w:rPr>
              <w:t>12</w:t>
            </w:r>
            <w:r>
              <w:rPr>
                <w:spacing w:val="-5"/>
                <w:sz w:val="21"/>
              </w:rPr>
              <w:t> 个月</w:t>
            </w:r>
            <w:r>
              <w:rPr>
                <w:sz w:val="21"/>
              </w:rPr>
              <w:t>（</w:t>
            </w:r>
            <w:r>
              <w:rPr>
                <w:spacing w:val="-2"/>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before="7"/>
              <w:ind w:left="107"/>
              <w:rPr>
                <w:sz w:val="21"/>
              </w:rPr>
            </w:pPr>
            <w:r>
              <w:rPr>
                <w:sz w:val="21"/>
              </w:rPr>
              <w:t>精神心理因素所致的语言能力丧失不在保障范围内。</w:t>
            </w:r>
          </w:p>
          <w:p>
            <w:pPr>
              <w:pStyle w:val="TableParagraph"/>
              <w:spacing w:line="273" w:lineRule="auto" w:before="37"/>
              <w:ind w:left="107" w:right="350"/>
              <w:rPr>
                <w:sz w:val="21"/>
              </w:rPr>
            </w:pPr>
            <w:r>
              <w:rPr>
                <w:sz w:val="21"/>
              </w:rPr>
              <w:t>被保险人申请理赔时年龄必须在三周岁以上，并且提供理赔当时的语言能力丧失诊断及检查证据。</w:t>
            </w:r>
          </w:p>
        </w:tc>
      </w:tr>
      <w:tr>
        <w:trPr>
          <w:trHeight w:val="2355" w:hRule="atLeast"/>
        </w:trPr>
        <w:tc>
          <w:tcPr>
            <w:tcW w:w="991" w:type="dxa"/>
          </w:tcPr>
          <w:p>
            <w:pPr>
              <w:pStyle w:val="TableParagraph"/>
              <w:spacing w:before="65"/>
              <w:ind w:right="154"/>
              <w:jc w:val="right"/>
              <w:rPr>
                <w:i/>
                <w:sz w:val="22"/>
              </w:rPr>
            </w:pPr>
            <w:r>
              <w:rPr>
                <w:i/>
                <w:w w:val="95"/>
                <w:sz w:val="22"/>
              </w:rPr>
              <w:t>3.4.24</w:t>
            </w:r>
          </w:p>
        </w:tc>
        <w:tc>
          <w:tcPr>
            <w:tcW w:w="1315" w:type="dxa"/>
          </w:tcPr>
          <w:p>
            <w:pPr>
              <w:pStyle w:val="TableParagraph"/>
              <w:spacing w:line="259" w:lineRule="auto" w:before="65"/>
              <w:ind w:left="157" w:right="104"/>
              <w:jc w:val="both"/>
              <w:rPr>
                <w:i/>
                <w:sz w:val="22"/>
              </w:rPr>
            </w:pPr>
            <w:r>
              <w:rPr>
                <w:i/>
                <w:spacing w:val="-24"/>
                <w:sz w:val="22"/>
              </w:rPr>
              <w:t>重 型 再 生</w:t>
            </w:r>
            <w:r>
              <w:rPr>
                <w:i/>
                <w:spacing w:val="-29"/>
                <w:sz w:val="22"/>
              </w:rPr>
              <w:t>障 碍 性 贫血</w:t>
            </w:r>
          </w:p>
        </w:tc>
        <w:tc>
          <w:tcPr>
            <w:tcW w:w="8029" w:type="dxa"/>
          </w:tcPr>
          <w:p>
            <w:pPr>
              <w:pStyle w:val="TableParagraph"/>
              <w:spacing w:line="273" w:lineRule="auto" w:before="76"/>
              <w:ind w:left="107" w:right="268"/>
              <w:rPr>
                <w:sz w:val="21"/>
              </w:rPr>
            </w:pPr>
            <w:r>
              <w:rPr>
                <w:sz w:val="21"/>
              </w:rPr>
              <w:t>指因骨髓造血功能慢性持续性衰竭导致的贫血、中性粒细胞减少及血小板减少。须满足下列全部条件：</w:t>
            </w:r>
          </w:p>
          <w:p>
            <w:pPr>
              <w:pStyle w:val="TableParagraph"/>
              <w:spacing w:before="7"/>
              <w:ind w:left="107"/>
              <w:rPr>
                <w:sz w:val="21"/>
              </w:rPr>
            </w:pPr>
            <w:r>
              <w:rPr>
                <w:sz w:val="21"/>
              </w:rPr>
              <w:t>（1）骨髓穿刺检查或骨髓活检结果支持诊断；</w:t>
            </w:r>
          </w:p>
          <w:p>
            <w:pPr>
              <w:pStyle w:val="TableParagraph"/>
              <w:spacing w:before="37"/>
              <w:ind w:left="107"/>
              <w:rPr>
                <w:sz w:val="21"/>
              </w:rPr>
            </w:pPr>
            <w:r>
              <w:rPr>
                <w:sz w:val="21"/>
              </w:rPr>
              <w:t>（2）外周血象须具备所有三项条件：</w:t>
            </w:r>
          </w:p>
          <w:p>
            <w:pPr>
              <w:pStyle w:val="TableParagraph"/>
              <w:spacing w:before="37"/>
              <w:ind w:left="527"/>
              <w:rPr>
                <w:sz w:val="21"/>
              </w:rPr>
            </w:pPr>
            <w:r>
              <w:rPr>
                <w:sz w:val="21"/>
              </w:rPr>
              <w:t>① 中性粒细胞绝对值≤0.5×10</w:t>
            </w:r>
            <w:r>
              <w:rPr>
                <w:b/>
                <w:position w:val="11"/>
                <w:sz w:val="11"/>
              </w:rPr>
              <w:t>9</w:t>
            </w:r>
            <w:r>
              <w:rPr>
                <w:sz w:val="21"/>
              </w:rPr>
              <w:t>/L ；</w:t>
            </w:r>
          </w:p>
          <w:p>
            <w:pPr>
              <w:pStyle w:val="TableParagraph"/>
              <w:spacing w:before="37"/>
              <w:ind w:left="527"/>
              <w:rPr>
                <w:sz w:val="21"/>
              </w:rPr>
            </w:pPr>
            <w:r>
              <w:rPr>
                <w:sz w:val="21"/>
              </w:rPr>
              <w:t>② 网织红细胞＜1%；</w:t>
            </w:r>
          </w:p>
          <w:p>
            <w:pPr>
              <w:pStyle w:val="TableParagraph"/>
              <w:spacing w:before="37"/>
              <w:ind w:left="527"/>
              <w:rPr>
                <w:sz w:val="21"/>
              </w:rPr>
            </w:pPr>
            <w:r>
              <w:rPr>
                <w:sz w:val="21"/>
              </w:rPr>
              <w:t>③ 血小板绝对值≤20×10</w:t>
            </w:r>
            <w:r>
              <w:rPr>
                <w:b/>
                <w:position w:val="11"/>
                <w:sz w:val="11"/>
              </w:rPr>
              <w:t>9</w:t>
            </w:r>
            <w:r>
              <w:rPr>
                <w:sz w:val="21"/>
              </w:rPr>
              <w:t>/L。</w:t>
            </w:r>
          </w:p>
        </w:tc>
      </w:tr>
      <w:tr>
        <w:trPr>
          <w:trHeight w:val="1417" w:hRule="atLeast"/>
        </w:trPr>
        <w:tc>
          <w:tcPr>
            <w:tcW w:w="991" w:type="dxa"/>
          </w:tcPr>
          <w:p>
            <w:pPr>
              <w:pStyle w:val="TableParagraph"/>
              <w:spacing w:before="65"/>
              <w:ind w:right="154"/>
              <w:jc w:val="right"/>
              <w:rPr>
                <w:i/>
                <w:sz w:val="22"/>
              </w:rPr>
            </w:pPr>
            <w:r>
              <w:rPr>
                <w:i/>
                <w:w w:val="95"/>
                <w:sz w:val="22"/>
              </w:rPr>
              <w:t>3.4.25</w:t>
            </w:r>
          </w:p>
        </w:tc>
        <w:tc>
          <w:tcPr>
            <w:tcW w:w="1315" w:type="dxa"/>
          </w:tcPr>
          <w:p>
            <w:pPr>
              <w:pStyle w:val="TableParagraph"/>
              <w:spacing w:line="259" w:lineRule="auto" w:before="65"/>
              <w:ind w:left="157" w:right="104"/>
              <w:rPr>
                <w:i/>
                <w:sz w:val="22"/>
              </w:rPr>
            </w:pPr>
            <w:r>
              <w:rPr>
                <w:i/>
                <w:spacing w:val="-24"/>
                <w:sz w:val="22"/>
              </w:rPr>
              <w:t>主 动 脉 手术</w:t>
            </w:r>
          </w:p>
        </w:tc>
        <w:tc>
          <w:tcPr>
            <w:tcW w:w="8029" w:type="dxa"/>
          </w:tcPr>
          <w:p>
            <w:pPr>
              <w:pStyle w:val="TableParagraph"/>
              <w:spacing w:line="273" w:lineRule="auto" w:before="76"/>
              <w:ind w:left="107" w:right="26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7"/>
              <w:jc w:val="both"/>
              <w:rPr>
                <w:sz w:val="21"/>
              </w:rPr>
            </w:pPr>
            <w:r>
              <w:rPr>
                <w:sz w:val="21"/>
              </w:rPr>
              <w:t>动脉内血管成形术不在保障范围内。</w:t>
            </w:r>
          </w:p>
        </w:tc>
      </w:tr>
      <w:tr>
        <w:trPr>
          <w:trHeight w:val="2041" w:hRule="atLeast"/>
        </w:trPr>
        <w:tc>
          <w:tcPr>
            <w:tcW w:w="991" w:type="dxa"/>
          </w:tcPr>
          <w:p>
            <w:pPr>
              <w:pStyle w:val="TableParagraph"/>
              <w:spacing w:before="64"/>
              <w:ind w:right="154"/>
              <w:jc w:val="right"/>
              <w:rPr>
                <w:i/>
                <w:sz w:val="22"/>
              </w:rPr>
            </w:pPr>
            <w:r>
              <w:rPr>
                <w:i/>
                <w:w w:val="95"/>
                <w:sz w:val="22"/>
              </w:rPr>
              <w:t>3.4.26</w:t>
            </w:r>
          </w:p>
        </w:tc>
        <w:tc>
          <w:tcPr>
            <w:tcW w:w="1315" w:type="dxa"/>
          </w:tcPr>
          <w:p>
            <w:pPr>
              <w:pStyle w:val="TableParagraph"/>
              <w:spacing w:line="261" w:lineRule="auto" w:before="64"/>
              <w:ind w:left="157" w:right="104"/>
              <w:rPr>
                <w:i/>
                <w:sz w:val="22"/>
              </w:rPr>
            </w:pPr>
            <w:r>
              <w:rPr>
                <w:i/>
                <w:spacing w:val="-24"/>
                <w:sz w:val="22"/>
              </w:rPr>
              <w:t>多 发 性 硬化</w:t>
            </w:r>
          </w:p>
        </w:tc>
        <w:tc>
          <w:tcPr>
            <w:tcW w:w="8029" w:type="dxa"/>
          </w:tcPr>
          <w:p>
            <w:pPr>
              <w:pStyle w:val="TableParagraph"/>
              <w:spacing w:line="266" w:lineRule="auto" w:before="75"/>
              <w:ind w:left="107" w:right="259"/>
              <w:jc w:val="both"/>
              <w:rPr>
                <w:sz w:val="21"/>
              </w:rPr>
            </w:pPr>
            <w:r>
              <w:rPr>
                <w:sz w:val="21"/>
              </w:rPr>
              <w:t>多发性硬化是一种中枢神经系统脱髓鞘性疾病，表现为反复缓解、复发的脑、脊髓</w:t>
            </w:r>
            <w:r>
              <w:rPr>
                <w:spacing w:val="-11"/>
                <w:sz w:val="21"/>
              </w:rPr>
              <w:t>和视神经损害。该病必须经医院的神经科专科医生确诊，并有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 </w:t>
            </w:r>
            <w:r>
              <w:rPr>
                <w:spacing w:val="-13"/>
                <w:sz w:val="21"/>
              </w:rPr>
              <w:t>而出现累及视神经、脑干、脊髓永久性损害，出现有共济失调或感觉障碍并持续 </w:t>
            </w:r>
            <w:r>
              <w:rPr>
                <w:rFonts w:ascii="Arial" w:eastAsia="Arial"/>
                <w:sz w:val="21"/>
              </w:rPr>
              <w:t>180 </w:t>
            </w:r>
            <w:r>
              <w:rPr>
                <w:spacing w:val="-1"/>
                <w:sz w:val="21"/>
              </w:rPr>
              <w:t>天以上。</w:t>
            </w:r>
          </w:p>
        </w:tc>
      </w:tr>
      <w:tr>
        <w:trPr>
          <w:trHeight w:val="3951" w:hRule="atLeast"/>
        </w:trPr>
        <w:tc>
          <w:tcPr>
            <w:tcW w:w="991" w:type="dxa"/>
          </w:tcPr>
          <w:p>
            <w:pPr>
              <w:pStyle w:val="TableParagraph"/>
              <w:spacing w:before="65"/>
              <w:ind w:right="154"/>
              <w:jc w:val="right"/>
              <w:rPr>
                <w:i/>
                <w:sz w:val="22"/>
              </w:rPr>
            </w:pPr>
            <w:r>
              <w:rPr>
                <w:i/>
                <w:w w:val="95"/>
                <w:sz w:val="22"/>
              </w:rPr>
              <w:t>3.4.27</w:t>
            </w:r>
          </w:p>
        </w:tc>
        <w:tc>
          <w:tcPr>
            <w:tcW w:w="1315" w:type="dxa"/>
          </w:tcPr>
          <w:p>
            <w:pPr>
              <w:pStyle w:val="TableParagraph"/>
              <w:spacing w:line="259" w:lineRule="auto" w:before="65"/>
              <w:ind w:left="157" w:right="313"/>
              <w:jc w:val="both"/>
              <w:rPr>
                <w:i/>
                <w:sz w:val="22"/>
              </w:rPr>
            </w:pPr>
            <w:r>
              <w:rPr>
                <w:i/>
                <w:w w:val="95"/>
                <w:sz w:val="22"/>
              </w:rPr>
              <w:t>经输血导致的人类免疫缺陷病毒感染</w:t>
            </w:r>
          </w:p>
        </w:tc>
        <w:tc>
          <w:tcPr>
            <w:tcW w:w="8029" w:type="dxa"/>
          </w:tcPr>
          <w:p>
            <w:pPr>
              <w:pStyle w:val="TableParagraph"/>
              <w:spacing w:line="256" w:lineRule="auto" w:before="76"/>
              <w:ind w:left="107" w:right="262"/>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4"/>
              <w:ind w:left="107" w:right="264"/>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4"/>
              <w:ind w:left="107" w:right="217"/>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107"/>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07" w:right="258"/>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107" w:right="194"/>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107"/>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686" w:hRule="atLeast"/>
        </w:trPr>
        <w:tc>
          <w:tcPr>
            <w:tcW w:w="991" w:type="dxa"/>
          </w:tcPr>
          <w:p>
            <w:pPr>
              <w:pStyle w:val="TableParagraph"/>
              <w:spacing w:before="86"/>
              <w:ind w:right="154"/>
              <w:jc w:val="right"/>
              <w:rPr>
                <w:i/>
                <w:sz w:val="22"/>
              </w:rPr>
            </w:pPr>
            <w:r>
              <w:rPr>
                <w:i/>
                <w:w w:val="95"/>
                <w:sz w:val="22"/>
              </w:rPr>
              <w:t>3.4.28</w:t>
            </w:r>
          </w:p>
        </w:tc>
        <w:tc>
          <w:tcPr>
            <w:tcW w:w="1315" w:type="dxa"/>
          </w:tcPr>
          <w:p>
            <w:pPr>
              <w:pStyle w:val="TableParagraph"/>
              <w:spacing w:line="310" w:lineRule="atLeast" w:before="63"/>
              <w:ind w:left="157" w:right="104"/>
              <w:rPr>
                <w:i/>
                <w:sz w:val="22"/>
              </w:rPr>
            </w:pPr>
            <w:r>
              <w:rPr>
                <w:i/>
                <w:spacing w:val="-24"/>
                <w:sz w:val="22"/>
              </w:rPr>
              <w:t>终 末 期 肺病</w:t>
            </w:r>
          </w:p>
        </w:tc>
        <w:tc>
          <w:tcPr>
            <w:tcW w:w="8029" w:type="dxa"/>
          </w:tcPr>
          <w:p>
            <w:pPr>
              <w:pStyle w:val="TableParagraph"/>
              <w:spacing w:line="310" w:lineRule="atLeast" w:before="62"/>
              <w:ind w:left="107" w:right="268"/>
              <w:rPr>
                <w:sz w:val="21"/>
              </w:rPr>
            </w:pPr>
            <w:r>
              <w:rPr>
                <w:sz w:val="21"/>
              </w:rPr>
              <w:t>被保险人患有终末期肺病而出现的慢性呼吸衰竭。该病必须由医院的呼吸科专科医生确诊并符合以下各项：</w:t>
            </w:r>
          </w:p>
        </w:tc>
      </w:tr>
    </w:tbl>
    <w:p>
      <w:pPr>
        <w:spacing w:after="0" w:line="310" w:lineRule="atLeast"/>
        <w:rPr>
          <w:sz w:val="21"/>
        </w:rPr>
        <w:sectPr>
          <w:pgSz w:w="11910" w:h="16840"/>
          <w:pgMar w:header="568" w:footer="0" w:top="800" w:bottom="280" w:left="720" w:right="64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315"/>
        <w:gridCol w:w="7868"/>
      </w:tblGrid>
      <w:tr>
        <w:trPr>
          <w:trHeight w:val="1321" w:hRule="atLeast"/>
        </w:trPr>
        <w:tc>
          <w:tcPr>
            <w:tcW w:w="899" w:type="dxa"/>
          </w:tcPr>
          <w:p>
            <w:pPr>
              <w:pStyle w:val="TableParagraph"/>
              <w:rPr>
                <w:rFonts w:ascii="Times New Roman"/>
                <w:sz w:val="20"/>
              </w:rPr>
            </w:pPr>
          </w:p>
        </w:tc>
        <w:tc>
          <w:tcPr>
            <w:tcW w:w="1315" w:type="dxa"/>
          </w:tcPr>
          <w:p>
            <w:pPr>
              <w:pStyle w:val="TableParagraph"/>
              <w:rPr>
                <w:rFonts w:ascii="Times New Roman"/>
                <w:sz w:val="20"/>
              </w:rPr>
            </w:pPr>
          </w:p>
        </w:tc>
        <w:tc>
          <w:tcPr>
            <w:tcW w:w="7868" w:type="dxa"/>
          </w:tcPr>
          <w:p>
            <w:pPr>
              <w:pStyle w:val="TableParagraph"/>
              <w:spacing w:line="234" w:lineRule="exact"/>
              <w:ind w:left="10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07"/>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107"/>
              <w:rPr>
                <w:sz w:val="21"/>
              </w:rPr>
            </w:pPr>
            <w:r>
              <w:rPr>
                <w:sz w:val="21"/>
              </w:rPr>
              <w:t>（</w:t>
            </w:r>
            <w:r>
              <w:rPr>
                <w:rFonts w:ascii="Times New Roman" w:eastAsia="Times New Roman"/>
                <w:sz w:val="21"/>
              </w:rPr>
              <w:t>3</w:t>
            </w:r>
            <w:r>
              <w:rPr>
                <w:sz w:val="21"/>
              </w:rPr>
              <w:t>）休息时出现呼吸困难；</w:t>
            </w:r>
          </w:p>
          <w:p>
            <w:pPr>
              <w:pStyle w:val="TableParagraph"/>
              <w:spacing w:before="21"/>
              <w:ind w:left="107"/>
              <w:rPr>
                <w:sz w:val="21"/>
              </w:rPr>
            </w:pPr>
            <w:r>
              <w:rPr>
                <w:sz w:val="21"/>
              </w:rPr>
              <w:t>（</w:t>
            </w:r>
            <w:r>
              <w:rPr>
                <w:rFonts w:ascii="Times New Roman" w:eastAsia="Times New Roman"/>
                <w:sz w:val="21"/>
              </w:rPr>
              <w:t>4</w:t>
            </w:r>
            <w:r>
              <w:rPr>
                <w:sz w:val="21"/>
              </w:rPr>
              <w:t>）必须接受持续的输氧治疗。</w:t>
            </w:r>
          </w:p>
        </w:tc>
      </w:tr>
      <w:tr>
        <w:trPr>
          <w:trHeight w:val="1468" w:hRule="atLeast"/>
        </w:trPr>
        <w:tc>
          <w:tcPr>
            <w:tcW w:w="899" w:type="dxa"/>
          </w:tcPr>
          <w:p>
            <w:pPr>
              <w:pStyle w:val="TableParagraph"/>
              <w:spacing w:before="86"/>
              <w:ind w:left="107"/>
              <w:rPr>
                <w:i/>
                <w:sz w:val="22"/>
              </w:rPr>
            </w:pPr>
            <w:r>
              <w:rPr>
                <w:i/>
                <w:sz w:val="22"/>
              </w:rPr>
              <w:t>3.4.29</w:t>
            </w:r>
          </w:p>
        </w:tc>
        <w:tc>
          <w:tcPr>
            <w:tcW w:w="1315" w:type="dxa"/>
          </w:tcPr>
          <w:p>
            <w:pPr>
              <w:pStyle w:val="TableParagraph"/>
              <w:spacing w:line="259" w:lineRule="auto" w:before="86"/>
              <w:ind w:left="157" w:right="313"/>
              <w:jc w:val="both"/>
              <w:rPr>
                <w:i/>
                <w:sz w:val="22"/>
              </w:rPr>
            </w:pPr>
            <w:r>
              <w:rPr>
                <w:i/>
                <w:w w:val="95"/>
                <w:sz w:val="22"/>
              </w:rPr>
              <w:t>严重类风湿性关节</w:t>
            </w:r>
            <w:r>
              <w:rPr>
                <w:i/>
                <w:sz w:val="22"/>
              </w:rPr>
              <w:t>炎</w:t>
            </w:r>
          </w:p>
        </w:tc>
        <w:tc>
          <w:tcPr>
            <w:tcW w:w="7868" w:type="dxa"/>
          </w:tcPr>
          <w:p>
            <w:pPr>
              <w:pStyle w:val="TableParagraph"/>
              <w:spacing w:line="273" w:lineRule="auto" w:before="97"/>
              <w:ind w:left="107" w:right="86"/>
              <w:jc w:val="both"/>
              <w:rPr>
                <w:sz w:val="21"/>
              </w:rPr>
            </w:pPr>
            <w:r>
              <w:rPr>
                <w:spacing w:val="-3"/>
                <w:sz w:val="21"/>
              </w:rPr>
              <w:t>广泛的关节损坏，临床上存在三个或三个以上下列关节的畸形:手、腕、肘、颈椎、膝、踝、或足部跖趾关节。并且由本公司认可医院的专科医生确认被保险人在无他人协助下无法独立完成</w:t>
            </w:r>
            <w:r>
              <w:rPr>
                <w:b/>
                <w:spacing w:val="-3"/>
                <w:sz w:val="21"/>
              </w:rPr>
              <w:t>六项基本日常生活活动</w:t>
            </w:r>
            <w:r>
              <w:rPr>
                <w:spacing w:val="-3"/>
                <w:sz w:val="21"/>
              </w:rPr>
              <w:t>中的三项或三项以上。上述畸形及功</w:t>
            </w:r>
            <w:r>
              <w:rPr>
                <w:spacing w:val="-8"/>
                <w:sz w:val="21"/>
              </w:rPr>
              <w:t>能异常须持续至少达 </w:t>
            </w:r>
            <w:r>
              <w:rPr>
                <w:sz w:val="21"/>
              </w:rPr>
              <w:t>180</w:t>
            </w:r>
            <w:r>
              <w:rPr>
                <w:spacing w:val="-16"/>
                <w:sz w:val="21"/>
              </w:rPr>
              <w:t> 天。</w:t>
            </w:r>
          </w:p>
        </w:tc>
      </w:tr>
      <w:tr>
        <w:trPr>
          <w:trHeight w:val="3648" w:hRule="atLeast"/>
        </w:trPr>
        <w:tc>
          <w:tcPr>
            <w:tcW w:w="899" w:type="dxa"/>
          </w:tcPr>
          <w:p>
            <w:pPr>
              <w:pStyle w:val="TableParagraph"/>
              <w:spacing w:before="94"/>
              <w:ind w:left="107"/>
              <w:rPr>
                <w:i/>
                <w:sz w:val="22"/>
              </w:rPr>
            </w:pPr>
            <w:r>
              <w:rPr>
                <w:i/>
                <w:sz w:val="22"/>
              </w:rPr>
              <w:t>3.4.30</w:t>
            </w:r>
          </w:p>
        </w:tc>
        <w:tc>
          <w:tcPr>
            <w:tcW w:w="1315" w:type="dxa"/>
          </w:tcPr>
          <w:p>
            <w:pPr>
              <w:pStyle w:val="TableParagraph"/>
              <w:spacing w:line="259" w:lineRule="auto" w:before="94"/>
              <w:ind w:left="157" w:right="104"/>
              <w:rPr>
                <w:i/>
                <w:sz w:val="22"/>
              </w:rPr>
            </w:pPr>
            <w:r>
              <w:rPr>
                <w:i/>
                <w:spacing w:val="-24"/>
                <w:sz w:val="22"/>
              </w:rPr>
              <w:t>系 统 性 红</w:t>
            </w:r>
            <w:r>
              <w:rPr>
                <w:i/>
                <w:spacing w:val="-24"/>
                <w:w w:val="95"/>
                <w:sz w:val="22"/>
              </w:rPr>
              <w:t>斑狼疮</w:t>
            </w:r>
          </w:p>
        </w:tc>
        <w:tc>
          <w:tcPr>
            <w:tcW w:w="7868" w:type="dxa"/>
          </w:tcPr>
          <w:p>
            <w:pPr>
              <w:pStyle w:val="TableParagraph"/>
              <w:spacing w:line="266" w:lineRule="auto" w:before="105"/>
              <w:ind w:left="107" w:right="102"/>
              <w:rPr>
                <w:sz w:val="21"/>
              </w:rPr>
            </w:pPr>
            <w:r>
              <w:rPr>
                <w:sz w:val="21"/>
              </w:rPr>
              <w:t>系统性红斑狼疮是一种累及多脏器的自身免疫性的炎症性结缔组织病，多发于青年女性。该病必须由医院的风湿科专科医生确诊。本合同所指的系统性红斑狼疮仅限于累及肾脏的情况，即经肾脏活检确认的，符合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型狼疮性肾炎的诊断标准，并伴有持续性蛋白尿（</w:t>
            </w:r>
            <w:r>
              <w:rPr>
                <w:spacing w:val="0"/>
                <w:sz w:val="21"/>
              </w:rPr>
              <w:t>尿蛋白</w:t>
            </w:r>
            <w:r>
              <w:rPr>
                <w:rFonts w:ascii="Times New Roman" w:eastAsia="Times New Roman"/>
                <w:sz w:val="21"/>
              </w:rPr>
              <w:t>++</w:t>
            </w:r>
            <w:r>
              <w:rPr>
                <w:sz w:val="21"/>
              </w:rPr>
              <w:t>以上）的系统性红斑狼疮。其</w:t>
            </w:r>
            <w:r>
              <w:rPr>
                <w:spacing w:val="-3"/>
                <w:sz w:val="21"/>
              </w:rPr>
              <w:t>他类型的红斑性狼疮，如盘状狼疮、仅累及血液及关节的狼疮不在保障范围内。  </w:t>
            </w:r>
            <w:r>
              <w:rPr>
                <w:spacing w:val="-2"/>
                <w:sz w:val="21"/>
              </w:rPr>
              <w:t>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6" w:lineRule="exact"/>
              <w:ind w:left="107"/>
              <w:rPr>
                <w:sz w:val="21"/>
              </w:rPr>
            </w:pPr>
            <w:r>
              <w:rPr>
                <w:rFonts w:ascii="Times New Roman" w:eastAsia="Times New Roman"/>
                <w:sz w:val="21"/>
              </w:rPr>
              <w:t>I</w:t>
            </w:r>
            <w:r>
              <w:rPr>
                <w:sz w:val="21"/>
              </w:rPr>
              <w:t>型（微小病变型）</w:t>
            </w:r>
          </w:p>
          <w:p>
            <w:pPr>
              <w:pStyle w:val="TableParagraph"/>
              <w:spacing w:before="22"/>
              <w:ind w:left="107"/>
              <w:rPr>
                <w:sz w:val="21"/>
              </w:rPr>
            </w:pPr>
            <w:r>
              <w:rPr>
                <w:rFonts w:ascii="Times New Roman" w:eastAsia="Times New Roman"/>
                <w:sz w:val="21"/>
              </w:rPr>
              <w:t>II</w:t>
            </w:r>
            <w:r>
              <w:rPr>
                <w:sz w:val="21"/>
              </w:rPr>
              <w:t>型（系膜病变型）</w:t>
            </w:r>
          </w:p>
          <w:p>
            <w:pPr>
              <w:pStyle w:val="TableParagraph"/>
              <w:spacing w:before="21"/>
              <w:ind w:left="107"/>
              <w:rPr>
                <w:sz w:val="21"/>
              </w:rPr>
            </w:pPr>
            <w:r>
              <w:rPr>
                <w:rFonts w:ascii="Times New Roman" w:eastAsia="Times New Roman"/>
                <w:sz w:val="21"/>
              </w:rPr>
              <w:t>III</w:t>
            </w:r>
            <w:r>
              <w:rPr>
                <w:sz w:val="21"/>
              </w:rPr>
              <w:t>型（局灶及节段增生型）</w:t>
            </w:r>
          </w:p>
          <w:p>
            <w:pPr>
              <w:pStyle w:val="TableParagraph"/>
              <w:spacing w:before="21"/>
              <w:ind w:left="107"/>
              <w:rPr>
                <w:sz w:val="21"/>
              </w:rPr>
            </w:pPr>
            <w:r>
              <w:rPr>
                <w:rFonts w:ascii="Times New Roman" w:eastAsia="Times New Roman"/>
                <w:sz w:val="21"/>
              </w:rPr>
              <w:t>IV</w:t>
            </w:r>
            <w:r>
              <w:rPr>
                <w:sz w:val="21"/>
              </w:rPr>
              <w:t>型（弥漫增生型）</w:t>
            </w:r>
          </w:p>
          <w:p>
            <w:pPr>
              <w:pStyle w:val="TableParagraph"/>
              <w:spacing w:before="21"/>
              <w:ind w:left="107"/>
              <w:rPr>
                <w:sz w:val="21"/>
              </w:rPr>
            </w:pPr>
            <w:r>
              <w:rPr>
                <w:rFonts w:ascii="Times New Roman" w:eastAsia="Times New Roman"/>
                <w:sz w:val="21"/>
              </w:rPr>
              <w:t>V </w:t>
            </w:r>
            <w:r>
              <w:rPr>
                <w:sz w:val="21"/>
              </w:rPr>
              <w:t>型（膜型）</w:t>
            </w:r>
          </w:p>
        </w:tc>
      </w:tr>
      <w:tr>
        <w:trPr>
          <w:trHeight w:val="583" w:hRule="atLeast"/>
        </w:trPr>
        <w:tc>
          <w:tcPr>
            <w:tcW w:w="899" w:type="dxa"/>
            <w:tcBorders>
              <w:bottom w:val="double" w:sz="1" w:space="0" w:color="000000"/>
            </w:tcBorders>
          </w:tcPr>
          <w:p>
            <w:pPr>
              <w:pStyle w:val="TableParagraph"/>
              <w:spacing w:before="45"/>
              <w:ind w:left="107"/>
              <w:rPr>
                <w:b/>
                <w:sz w:val="28"/>
              </w:rPr>
            </w:pPr>
            <w:r>
              <w:rPr>
                <w:b/>
                <w:w w:val="99"/>
                <w:sz w:val="28"/>
              </w:rPr>
              <w:t>4</w:t>
            </w:r>
          </w:p>
        </w:tc>
        <w:tc>
          <w:tcPr>
            <w:tcW w:w="9183" w:type="dxa"/>
            <w:gridSpan w:val="2"/>
            <w:tcBorders>
              <w:bottom w:val="double" w:sz="1" w:space="0" w:color="000000"/>
            </w:tcBorders>
          </w:tcPr>
          <w:p>
            <w:pPr>
              <w:pStyle w:val="TableParagraph"/>
              <w:spacing w:before="45"/>
              <w:ind w:left="157"/>
              <w:rPr>
                <w:b/>
                <w:sz w:val="28"/>
              </w:rPr>
            </w:pPr>
            <w:r>
              <w:rPr>
                <w:b/>
                <w:sz w:val="28"/>
              </w:rPr>
              <w:t>保险金的申请</w:t>
            </w:r>
          </w:p>
        </w:tc>
      </w:tr>
      <w:tr>
        <w:trPr>
          <w:trHeight w:val="527" w:hRule="atLeast"/>
        </w:trPr>
        <w:tc>
          <w:tcPr>
            <w:tcW w:w="899" w:type="dxa"/>
            <w:tcBorders>
              <w:top w:val="double" w:sz="1" w:space="0" w:color="000000"/>
            </w:tcBorders>
          </w:tcPr>
          <w:p>
            <w:pPr>
              <w:pStyle w:val="TableParagraph"/>
              <w:spacing w:before="87"/>
              <w:ind w:left="107"/>
              <w:rPr>
                <w:b/>
                <w:sz w:val="21"/>
              </w:rPr>
            </w:pPr>
            <w:r>
              <w:rPr>
                <w:b/>
                <w:sz w:val="21"/>
              </w:rPr>
              <w:t>4.1</w:t>
            </w:r>
          </w:p>
        </w:tc>
        <w:tc>
          <w:tcPr>
            <w:tcW w:w="1315" w:type="dxa"/>
            <w:tcBorders>
              <w:top w:val="double" w:sz="1" w:space="0" w:color="000000"/>
            </w:tcBorders>
          </w:tcPr>
          <w:p>
            <w:pPr>
              <w:pStyle w:val="TableParagraph"/>
              <w:spacing w:before="87"/>
              <w:ind w:left="157"/>
              <w:rPr>
                <w:b/>
                <w:sz w:val="21"/>
              </w:rPr>
            </w:pPr>
            <w:r>
              <w:rPr>
                <w:b/>
                <w:sz w:val="21"/>
              </w:rPr>
              <w:t>受益人</w:t>
            </w:r>
          </w:p>
        </w:tc>
        <w:tc>
          <w:tcPr>
            <w:tcW w:w="7868" w:type="dxa"/>
            <w:tcBorders>
              <w:top w:val="double" w:sz="1" w:space="0" w:color="000000"/>
            </w:tcBorders>
          </w:tcPr>
          <w:p>
            <w:pPr>
              <w:pStyle w:val="TableParagraph"/>
              <w:spacing w:before="87"/>
              <w:ind w:left="107"/>
              <w:rPr>
                <w:sz w:val="21"/>
              </w:rPr>
            </w:pPr>
            <w:r>
              <w:rPr>
                <w:sz w:val="21"/>
              </w:rPr>
              <w:t>除另有约定外，轻症重疾保险金、重大疾病保险金的受益人为被保险人本人。</w:t>
            </w:r>
          </w:p>
        </w:tc>
      </w:tr>
      <w:tr>
        <w:trPr>
          <w:trHeight w:val="846" w:hRule="atLeast"/>
        </w:trPr>
        <w:tc>
          <w:tcPr>
            <w:tcW w:w="899" w:type="dxa"/>
          </w:tcPr>
          <w:p>
            <w:pPr>
              <w:pStyle w:val="TableParagraph"/>
              <w:spacing w:before="100"/>
              <w:ind w:left="107"/>
              <w:rPr>
                <w:b/>
                <w:sz w:val="21"/>
              </w:rPr>
            </w:pPr>
            <w:r>
              <w:rPr>
                <w:b/>
                <w:sz w:val="21"/>
              </w:rPr>
              <w:t>4.2</w:t>
            </w:r>
          </w:p>
        </w:tc>
        <w:tc>
          <w:tcPr>
            <w:tcW w:w="1315" w:type="dxa"/>
          </w:tcPr>
          <w:p>
            <w:pPr>
              <w:pStyle w:val="TableParagraph"/>
              <w:spacing w:line="273" w:lineRule="auto" w:before="100"/>
              <w:ind w:left="157" w:right="107"/>
              <w:rPr>
                <w:b/>
                <w:sz w:val="21"/>
              </w:rPr>
            </w:pPr>
            <w:r>
              <w:rPr>
                <w:b/>
                <w:spacing w:val="-18"/>
                <w:sz w:val="21"/>
              </w:rPr>
              <w:t>保 险 金 申请</w:t>
            </w:r>
          </w:p>
        </w:tc>
        <w:tc>
          <w:tcPr>
            <w:tcW w:w="7868" w:type="dxa"/>
          </w:tcPr>
          <w:p>
            <w:pPr>
              <w:pStyle w:val="TableParagraph"/>
              <w:spacing w:before="100"/>
              <w:ind w:left="107"/>
              <w:rPr>
                <w:sz w:val="21"/>
              </w:rPr>
            </w:pPr>
            <w:r>
              <w:rPr>
                <w:sz w:val="21"/>
              </w:rPr>
              <w:t>在申请保险金时，请按照下列方式办理：</w:t>
            </w:r>
          </w:p>
        </w:tc>
      </w:tr>
      <w:tr>
        <w:trPr>
          <w:trHeight w:val="2106" w:hRule="atLeast"/>
        </w:trPr>
        <w:tc>
          <w:tcPr>
            <w:tcW w:w="899" w:type="dxa"/>
          </w:tcPr>
          <w:p>
            <w:pPr>
              <w:pStyle w:val="TableParagraph"/>
              <w:spacing w:before="92"/>
              <w:ind w:left="107"/>
              <w:rPr>
                <w:i/>
                <w:sz w:val="22"/>
              </w:rPr>
            </w:pPr>
            <w:r>
              <w:rPr>
                <w:i/>
                <w:sz w:val="22"/>
              </w:rPr>
              <w:t>4.2.1</w:t>
            </w:r>
          </w:p>
        </w:tc>
        <w:tc>
          <w:tcPr>
            <w:tcW w:w="1315" w:type="dxa"/>
          </w:tcPr>
          <w:p>
            <w:pPr>
              <w:pStyle w:val="TableParagraph"/>
              <w:spacing w:line="266" w:lineRule="auto" w:before="116"/>
              <w:ind w:left="157" w:right="104"/>
              <w:jc w:val="both"/>
              <w:rPr>
                <w:i/>
                <w:sz w:val="22"/>
              </w:rPr>
            </w:pPr>
            <w:r>
              <w:rPr>
                <w:i/>
                <w:spacing w:val="-24"/>
                <w:sz w:val="22"/>
              </w:rPr>
              <w:t>轻 症 重 疾</w:t>
            </w:r>
            <w:r>
              <w:rPr>
                <w:i/>
                <w:spacing w:val="-29"/>
                <w:sz w:val="22"/>
              </w:rPr>
              <w:t>保 险 金 或重 大 疾 病保 险 金 申请</w:t>
            </w:r>
          </w:p>
        </w:tc>
        <w:tc>
          <w:tcPr>
            <w:tcW w:w="7868" w:type="dxa"/>
          </w:tcPr>
          <w:p>
            <w:pPr>
              <w:pStyle w:val="TableParagraph"/>
              <w:spacing w:before="104"/>
              <w:ind w:left="107"/>
              <w:rPr>
                <w:sz w:val="21"/>
              </w:rPr>
            </w:pPr>
            <w:r>
              <w:rPr>
                <w:sz w:val="21"/>
              </w:rPr>
              <w:t>申请人须填写保险金给付申请书，并须提供下列证明和资料：</w:t>
            </w:r>
          </w:p>
          <w:p>
            <w:pPr>
              <w:pStyle w:val="TableParagraph"/>
              <w:spacing w:before="37"/>
              <w:ind w:left="107"/>
              <w:rPr>
                <w:sz w:val="21"/>
              </w:rPr>
            </w:pPr>
            <w:r>
              <w:rPr>
                <w:sz w:val="21"/>
              </w:rPr>
              <w:t>（</w:t>
            </w:r>
            <w:r>
              <w:rPr>
                <w:rFonts w:ascii="Times New Roman" w:eastAsia="Times New Roman"/>
                <w:sz w:val="21"/>
              </w:rPr>
              <w:t>1</w:t>
            </w:r>
            <w:r>
              <w:rPr>
                <w:sz w:val="21"/>
              </w:rPr>
              <w:t>）保险合同；</w:t>
            </w:r>
          </w:p>
          <w:p>
            <w:pPr>
              <w:pStyle w:val="TableParagraph"/>
              <w:spacing w:before="21"/>
              <w:ind w:left="107"/>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107" w:right="53"/>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107"/>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87" w:hRule="atLeast"/>
        </w:trPr>
        <w:tc>
          <w:tcPr>
            <w:tcW w:w="899" w:type="dxa"/>
          </w:tcPr>
          <w:p>
            <w:pPr>
              <w:pStyle w:val="TableParagraph"/>
              <w:spacing w:before="86"/>
              <w:ind w:left="107"/>
              <w:rPr>
                <w:i/>
                <w:sz w:val="22"/>
              </w:rPr>
            </w:pPr>
            <w:r>
              <w:rPr>
                <w:i/>
                <w:sz w:val="22"/>
              </w:rPr>
              <w:t>4.2.2</w:t>
            </w:r>
          </w:p>
        </w:tc>
        <w:tc>
          <w:tcPr>
            <w:tcW w:w="1315" w:type="dxa"/>
          </w:tcPr>
          <w:p>
            <w:pPr>
              <w:pStyle w:val="TableParagraph"/>
              <w:spacing w:line="266" w:lineRule="auto" w:before="110"/>
              <w:ind w:left="157" w:right="104"/>
              <w:jc w:val="both"/>
              <w:rPr>
                <w:i/>
                <w:sz w:val="22"/>
              </w:rPr>
            </w:pPr>
            <w:r>
              <w:rPr>
                <w:i/>
                <w:spacing w:val="-24"/>
                <w:sz w:val="22"/>
              </w:rPr>
              <w:t>委 托 他 人</w:t>
            </w:r>
            <w:r>
              <w:rPr>
                <w:i/>
                <w:spacing w:val="-29"/>
                <w:sz w:val="22"/>
              </w:rPr>
              <w:t>代 为 申 请</w:t>
            </w:r>
            <w:r>
              <w:rPr>
                <w:i/>
                <w:spacing w:val="-29"/>
                <w:w w:val="95"/>
                <w:sz w:val="22"/>
              </w:rPr>
              <w:t>保险金</w:t>
            </w:r>
          </w:p>
        </w:tc>
        <w:tc>
          <w:tcPr>
            <w:tcW w:w="7868" w:type="dxa"/>
          </w:tcPr>
          <w:p>
            <w:pPr>
              <w:pStyle w:val="TableParagraph"/>
              <w:spacing w:line="273" w:lineRule="auto" w:before="97"/>
              <w:ind w:left="107" w:right="102"/>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48" w:hRule="atLeast"/>
        </w:trPr>
        <w:tc>
          <w:tcPr>
            <w:tcW w:w="899" w:type="dxa"/>
          </w:tcPr>
          <w:p>
            <w:pPr>
              <w:pStyle w:val="TableParagraph"/>
              <w:spacing w:before="85"/>
              <w:ind w:left="107"/>
              <w:rPr>
                <w:i/>
                <w:sz w:val="22"/>
              </w:rPr>
            </w:pPr>
            <w:r>
              <w:rPr>
                <w:i/>
                <w:sz w:val="22"/>
              </w:rPr>
              <w:t>4.2.3</w:t>
            </w:r>
          </w:p>
        </w:tc>
        <w:tc>
          <w:tcPr>
            <w:tcW w:w="1315" w:type="dxa"/>
          </w:tcPr>
          <w:p>
            <w:pPr>
              <w:pStyle w:val="TableParagraph"/>
              <w:spacing w:before="85"/>
              <w:ind w:left="157"/>
              <w:rPr>
                <w:i/>
                <w:sz w:val="22"/>
              </w:rPr>
            </w:pPr>
            <w:r>
              <w:rPr>
                <w:i/>
                <w:w w:val="95"/>
                <w:sz w:val="22"/>
              </w:rPr>
              <w:t>补充通知</w:t>
            </w:r>
          </w:p>
        </w:tc>
        <w:tc>
          <w:tcPr>
            <w:tcW w:w="7868" w:type="dxa"/>
          </w:tcPr>
          <w:p>
            <w:pPr>
              <w:pStyle w:val="TableParagraph"/>
              <w:spacing w:line="273" w:lineRule="auto" w:before="96"/>
              <w:ind w:left="107" w:right="107"/>
              <w:rPr>
                <w:sz w:val="21"/>
              </w:rPr>
            </w:pPr>
            <w:r>
              <w:rPr>
                <w:sz w:val="21"/>
              </w:rPr>
              <w:t>以上证明和资料不完整的，我们将及时一次性通知申请人补充提供有关的证明和资料。</w:t>
            </w:r>
          </w:p>
        </w:tc>
      </w:tr>
      <w:tr>
        <w:trPr>
          <w:trHeight w:val="1623" w:hRule="atLeast"/>
        </w:trPr>
        <w:tc>
          <w:tcPr>
            <w:tcW w:w="899" w:type="dxa"/>
          </w:tcPr>
          <w:p>
            <w:pPr>
              <w:pStyle w:val="TableParagraph"/>
              <w:spacing w:before="100"/>
              <w:ind w:left="107"/>
              <w:rPr>
                <w:b/>
                <w:sz w:val="21"/>
              </w:rPr>
            </w:pPr>
            <w:r>
              <w:rPr>
                <w:b/>
                <w:sz w:val="21"/>
              </w:rPr>
              <w:t>4.3</w:t>
            </w:r>
          </w:p>
        </w:tc>
        <w:tc>
          <w:tcPr>
            <w:tcW w:w="1315" w:type="dxa"/>
          </w:tcPr>
          <w:p>
            <w:pPr>
              <w:pStyle w:val="TableParagraph"/>
              <w:spacing w:line="273" w:lineRule="auto" w:before="100"/>
              <w:ind w:left="157" w:right="107"/>
              <w:rPr>
                <w:b/>
                <w:sz w:val="21"/>
              </w:rPr>
            </w:pPr>
            <w:r>
              <w:rPr>
                <w:b/>
                <w:spacing w:val="-18"/>
                <w:sz w:val="21"/>
              </w:rPr>
              <w:t>保 险 金 给付</w:t>
            </w:r>
          </w:p>
        </w:tc>
        <w:tc>
          <w:tcPr>
            <w:tcW w:w="7868" w:type="dxa"/>
          </w:tcPr>
          <w:p>
            <w:pPr>
              <w:pStyle w:val="TableParagraph"/>
              <w:spacing w:before="100"/>
              <w:ind w:left="107"/>
              <w:rPr>
                <w:sz w:val="21"/>
              </w:rPr>
            </w:pPr>
            <w:r>
              <w:rPr>
                <w:sz w:val="21"/>
              </w:rPr>
              <w:t>我们在收到保险金给付申请书及合同约定的证明和资料后，将在 5 日内作出核定；</w:t>
            </w:r>
          </w:p>
          <w:p>
            <w:pPr>
              <w:pStyle w:val="TableParagraph"/>
              <w:spacing w:before="36"/>
              <w:ind w:left="107"/>
              <w:rPr>
                <w:sz w:val="21"/>
              </w:rPr>
            </w:pPr>
            <w:r>
              <w:rPr>
                <w:spacing w:val="-7"/>
                <w:sz w:val="21"/>
              </w:rPr>
              <w:t>情形复杂的，在 </w:t>
            </w:r>
            <w:r>
              <w:rPr>
                <w:sz w:val="21"/>
              </w:rPr>
              <w:t>30</w:t>
            </w:r>
            <w:r>
              <w:rPr>
                <w:spacing w:val="-7"/>
                <w:sz w:val="21"/>
              </w:rPr>
              <w:t> 日内作出核定。对属于保险责任的，我们在与受益人达成给付保</w:t>
            </w:r>
          </w:p>
          <w:p>
            <w:pPr>
              <w:pStyle w:val="TableParagraph"/>
              <w:spacing w:before="36"/>
              <w:ind w:left="107"/>
              <w:rPr>
                <w:sz w:val="21"/>
              </w:rPr>
            </w:pPr>
            <w:r>
              <w:rPr>
                <w:sz w:val="21"/>
              </w:rPr>
              <w:t>险金的协议后 10 日内，履行给付保险金义务。</w:t>
            </w:r>
          </w:p>
          <w:p>
            <w:pPr>
              <w:pStyle w:val="TableParagraph"/>
              <w:spacing w:line="310" w:lineRule="atLeast" w:before="1"/>
              <w:ind w:left="107" w:right="107"/>
              <w:rPr>
                <w:sz w:val="21"/>
              </w:rPr>
            </w:pPr>
            <w:r>
              <w:rPr>
                <w:sz w:val="21"/>
              </w:rPr>
              <w:t>我们未及时履行前款规定义务的，除支付保险金外，应当赔偿受益人因此受到的损失。</w:t>
            </w:r>
          </w:p>
        </w:tc>
      </w:tr>
    </w:tbl>
    <w:p>
      <w:pPr>
        <w:spacing w:after="0" w:line="310" w:lineRule="atLeas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472"/>
        <w:gridCol w:w="7869"/>
      </w:tblGrid>
      <w:tr>
        <w:trPr>
          <w:trHeight w:val="1623" w:hRule="atLeast"/>
        </w:trPr>
        <w:tc>
          <w:tcPr>
            <w:tcW w:w="741" w:type="dxa"/>
          </w:tcPr>
          <w:p>
            <w:pPr>
              <w:pStyle w:val="TableParagraph"/>
              <w:rPr>
                <w:rFonts w:ascii="Times New Roman"/>
                <w:sz w:val="20"/>
              </w:rPr>
            </w:pPr>
          </w:p>
        </w:tc>
        <w:tc>
          <w:tcPr>
            <w:tcW w:w="1472" w:type="dxa"/>
          </w:tcPr>
          <w:p>
            <w:pPr>
              <w:pStyle w:val="TableParagraph"/>
              <w:rPr>
                <w:rFonts w:ascii="Times New Roman"/>
                <w:sz w:val="20"/>
              </w:rPr>
            </w:pPr>
          </w:p>
        </w:tc>
        <w:tc>
          <w:tcPr>
            <w:tcW w:w="7869" w:type="dxa"/>
          </w:tcPr>
          <w:p>
            <w:pPr>
              <w:pStyle w:val="TableParagraph"/>
              <w:spacing w:line="211" w:lineRule="exact"/>
              <w:ind w:left="108"/>
              <w:rPr>
                <w:sz w:val="21"/>
              </w:rPr>
            </w:pPr>
            <w:r>
              <w:rPr>
                <w:sz w:val="21"/>
              </w:rPr>
              <w:t>对不属于保险责任的，我们自作出核定之日起 3 日内向受益人发出拒绝给付保险金</w:t>
            </w:r>
          </w:p>
          <w:p>
            <w:pPr>
              <w:pStyle w:val="TableParagraph"/>
              <w:spacing w:before="37"/>
              <w:ind w:left="108"/>
              <w:rPr>
                <w:sz w:val="21"/>
              </w:rPr>
            </w:pPr>
            <w:r>
              <w:rPr>
                <w:sz w:val="21"/>
              </w:rPr>
              <w:t>通知书并说明理由。</w:t>
            </w:r>
          </w:p>
          <w:p>
            <w:pPr>
              <w:pStyle w:val="TableParagraph"/>
              <w:spacing w:line="273" w:lineRule="auto" w:before="37"/>
              <w:ind w:left="108" w:right="98"/>
              <w:jc w:val="both"/>
              <w:rPr>
                <w:sz w:val="21"/>
              </w:rPr>
            </w:pPr>
            <w:r>
              <w:rPr>
                <w:spacing w:val="-5"/>
                <w:sz w:val="21"/>
              </w:rPr>
              <w:t>我们在收到保险金给付申请书及有关证明和资料之日起 </w:t>
            </w:r>
            <w:r>
              <w:rPr>
                <w:sz w:val="21"/>
              </w:rPr>
              <w:t>60</w:t>
            </w:r>
            <w:r>
              <w:rPr>
                <w:spacing w:val="-9"/>
                <w:sz w:val="21"/>
              </w:rPr>
              <w:t> 日内，对给付保险金的数</w:t>
            </w:r>
            <w:r>
              <w:rPr>
                <w:spacing w:val="-8"/>
                <w:sz w:val="21"/>
              </w:rPr>
              <w:t>额不能确定的，根据已有证明和资料可以确定的数额先予支付；我们最终确定给付</w:t>
            </w:r>
            <w:r>
              <w:rPr>
                <w:spacing w:val="-5"/>
                <w:sz w:val="21"/>
              </w:rPr>
              <w:t>保险金的数额后，将支付相应的差额。</w:t>
            </w:r>
          </w:p>
        </w:tc>
      </w:tr>
      <w:tr>
        <w:trPr>
          <w:trHeight w:val="1024" w:hRule="atLeast"/>
        </w:trPr>
        <w:tc>
          <w:tcPr>
            <w:tcW w:w="741" w:type="dxa"/>
          </w:tcPr>
          <w:p>
            <w:pPr>
              <w:pStyle w:val="TableParagraph"/>
              <w:spacing w:before="100"/>
              <w:ind w:left="107"/>
              <w:rPr>
                <w:b/>
                <w:sz w:val="21"/>
              </w:rPr>
            </w:pPr>
            <w:r>
              <w:rPr>
                <w:b/>
                <w:sz w:val="21"/>
              </w:rPr>
              <w:t>4.4</w:t>
            </w:r>
          </w:p>
        </w:tc>
        <w:tc>
          <w:tcPr>
            <w:tcW w:w="1472" w:type="dxa"/>
          </w:tcPr>
          <w:p>
            <w:pPr>
              <w:pStyle w:val="TableParagraph"/>
              <w:spacing w:before="100"/>
              <w:ind w:left="315"/>
              <w:rPr>
                <w:b/>
                <w:sz w:val="21"/>
              </w:rPr>
            </w:pPr>
            <w:r>
              <w:rPr>
                <w:b/>
                <w:sz w:val="21"/>
              </w:rPr>
              <w:t>诉讼时效</w:t>
            </w:r>
          </w:p>
        </w:tc>
        <w:tc>
          <w:tcPr>
            <w:tcW w:w="7869" w:type="dxa"/>
          </w:tcPr>
          <w:p>
            <w:pPr>
              <w:pStyle w:val="TableParagraph"/>
              <w:spacing w:line="273" w:lineRule="auto" w:before="100"/>
              <w:ind w:left="108" w:right="55"/>
              <w:rPr>
                <w:sz w:val="21"/>
              </w:rPr>
            </w:pPr>
            <w:r>
              <w:rPr>
                <w:sz w:val="21"/>
              </w:rPr>
              <w:t>受益人及其他有权领取保险金的人向我们请求给付保险金的诉讼时效期间为 2 年， 自其知道或者应当知道保险事故发生之日起计算。</w:t>
            </w:r>
          </w:p>
        </w:tc>
      </w:tr>
      <w:tr>
        <w:trPr>
          <w:trHeight w:val="789" w:hRule="atLeast"/>
        </w:trPr>
        <w:tc>
          <w:tcPr>
            <w:tcW w:w="741" w:type="dxa"/>
            <w:tcBorders>
              <w:bottom w:val="double" w:sz="1" w:space="0" w:color="000000"/>
            </w:tcBorders>
          </w:tcPr>
          <w:p>
            <w:pPr>
              <w:pStyle w:val="TableParagraph"/>
              <w:spacing w:before="251"/>
              <w:ind w:left="107"/>
              <w:rPr>
                <w:b/>
                <w:sz w:val="28"/>
              </w:rPr>
            </w:pPr>
            <w:r>
              <w:rPr>
                <w:b/>
                <w:w w:val="99"/>
                <w:sz w:val="28"/>
              </w:rPr>
              <w:t>5</w:t>
            </w:r>
          </w:p>
        </w:tc>
        <w:tc>
          <w:tcPr>
            <w:tcW w:w="9341" w:type="dxa"/>
            <w:gridSpan w:val="2"/>
            <w:tcBorders>
              <w:bottom w:val="double" w:sz="1" w:space="0" w:color="000000"/>
            </w:tcBorders>
          </w:tcPr>
          <w:p>
            <w:pPr>
              <w:pStyle w:val="TableParagraph"/>
              <w:spacing w:before="251"/>
              <w:ind w:left="315"/>
              <w:rPr>
                <w:b/>
                <w:sz w:val="28"/>
              </w:rPr>
            </w:pPr>
            <w:r>
              <w:rPr>
                <w:b/>
                <w:w w:val="95"/>
                <w:sz w:val="28"/>
              </w:rPr>
              <w:t>保障成本的收取</w:t>
            </w:r>
          </w:p>
        </w:tc>
      </w:tr>
      <w:tr>
        <w:trPr>
          <w:trHeight w:val="2808" w:hRule="atLeast"/>
        </w:trPr>
        <w:tc>
          <w:tcPr>
            <w:tcW w:w="741"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5.1</w:t>
            </w:r>
          </w:p>
        </w:tc>
        <w:tc>
          <w:tcPr>
            <w:tcW w:w="1472" w:type="dxa"/>
            <w:tcBorders>
              <w:top w:val="double" w:sz="1" w:space="0" w:color="000000"/>
            </w:tcBorders>
          </w:tcPr>
          <w:p>
            <w:pPr>
              <w:pStyle w:val="TableParagraph"/>
              <w:spacing w:before="2"/>
              <w:rPr>
                <w:rFonts w:ascii="Times New Roman"/>
                <w:sz w:val="16"/>
              </w:rPr>
            </w:pPr>
          </w:p>
          <w:p>
            <w:pPr>
              <w:pStyle w:val="TableParagraph"/>
              <w:spacing w:line="273" w:lineRule="auto"/>
              <w:ind w:left="315" w:right="106"/>
              <w:rPr>
                <w:b/>
                <w:sz w:val="21"/>
              </w:rPr>
            </w:pPr>
            <w:r>
              <w:rPr>
                <w:b/>
                <w:spacing w:val="-18"/>
                <w:sz w:val="21"/>
              </w:rPr>
              <w:t>保 障 成 本的收取</w:t>
            </w:r>
          </w:p>
        </w:tc>
        <w:tc>
          <w:tcPr>
            <w:tcW w:w="7869" w:type="dxa"/>
            <w:tcBorders>
              <w:top w:val="double" w:sz="1" w:space="0" w:color="000000"/>
            </w:tcBorders>
          </w:tcPr>
          <w:p>
            <w:pPr>
              <w:pStyle w:val="TableParagraph"/>
              <w:spacing w:before="2"/>
              <w:rPr>
                <w:rFonts w:ascii="Times New Roman"/>
                <w:sz w:val="16"/>
              </w:rPr>
            </w:pPr>
          </w:p>
          <w:p>
            <w:pPr>
              <w:pStyle w:val="TableParagraph"/>
              <w:spacing w:line="273" w:lineRule="auto"/>
              <w:ind w:left="108" w:right="98"/>
              <w:rPr>
                <w:sz w:val="21"/>
              </w:rPr>
            </w:pPr>
            <w:r>
              <w:rPr>
                <w:spacing w:val="-3"/>
                <w:sz w:val="21"/>
              </w:rPr>
              <w:t>我们对本附加合同承担的保险责任收取相应的保障成本，本附加合同的保障成本必须随主合同的保障成本一起收取，从主合同的个人账户价值中按各子账户的价值余</w:t>
            </w:r>
            <w:r>
              <w:rPr>
                <w:spacing w:val="-8"/>
                <w:sz w:val="21"/>
              </w:rPr>
              <w:t>额比扣除。每日的保障成本为年保障成本的 </w:t>
            </w:r>
            <w:r>
              <w:rPr>
                <w:sz w:val="21"/>
              </w:rPr>
              <w:t>1/365</w:t>
            </w:r>
            <w:r>
              <w:rPr>
                <w:spacing w:val="-7"/>
                <w:sz w:val="21"/>
              </w:rPr>
              <w:t>。本附加合同年保障成本根据被保</w:t>
            </w:r>
            <w:r>
              <w:rPr>
                <w:spacing w:val="-5"/>
                <w:sz w:val="21"/>
              </w:rPr>
              <w:t>险人的年龄、性别、风险程度及</w:t>
            </w:r>
            <w:r>
              <w:rPr>
                <w:b/>
                <w:sz w:val="21"/>
              </w:rPr>
              <w:t>危险保额</w:t>
            </w:r>
            <w:r>
              <w:rPr>
                <w:spacing w:val="-3"/>
                <w:sz w:val="21"/>
              </w:rPr>
              <w:t>决定。每千元危险保额的年保障成本见附表。如果根据被保险人的风险程度需要增加年保障成本的，将会在保险单上批注。在主合同每月结算日零时，我们按照该月的实际天数收取本附加险的保障成本。如果有欠交的保障成本，我们也同时收取。我们每月收取保障成本后，主合同的个人账户价值按收取的保障成本等额减少。</w:t>
            </w:r>
          </w:p>
        </w:tc>
      </w:tr>
      <w:tr>
        <w:trPr>
          <w:trHeight w:val="2099" w:hRule="atLeast"/>
        </w:trPr>
        <w:tc>
          <w:tcPr>
            <w:tcW w:w="741" w:type="dxa"/>
          </w:tcPr>
          <w:p>
            <w:pPr>
              <w:pStyle w:val="TableParagraph"/>
              <w:spacing w:before="99"/>
              <w:ind w:left="107"/>
              <w:rPr>
                <w:b/>
                <w:sz w:val="21"/>
              </w:rPr>
            </w:pPr>
            <w:r>
              <w:rPr>
                <w:b/>
                <w:sz w:val="21"/>
              </w:rPr>
              <w:t>5.2</w:t>
            </w:r>
          </w:p>
        </w:tc>
        <w:tc>
          <w:tcPr>
            <w:tcW w:w="1472" w:type="dxa"/>
          </w:tcPr>
          <w:p>
            <w:pPr>
              <w:pStyle w:val="TableParagraph"/>
              <w:spacing w:line="273" w:lineRule="auto" w:before="99"/>
              <w:ind w:left="315" w:right="106"/>
              <w:rPr>
                <w:b/>
                <w:sz w:val="21"/>
              </w:rPr>
            </w:pPr>
            <w:r>
              <w:rPr>
                <w:b/>
                <w:spacing w:val="-18"/>
                <w:sz w:val="21"/>
              </w:rPr>
              <w:t>保 障 成 本调整</w:t>
            </w:r>
          </w:p>
        </w:tc>
        <w:tc>
          <w:tcPr>
            <w:tcW w:w="7869" w:type="dxa"/>
          </w:tcPr>
          <w:p>
            <w:pPr>
              <w:pStyle w:val="TableParagraph"/>
              <w:spacing w:before="99"/>
              <w:ind w:left="108"/>
              <w:rPr>
                <w:sz w:val="21"/>
              </w:rPr>
            </w:pPr>
            <w:r>
              <w:rPr>
                <w:sz w:val="21"/>
              </w:rPr>
              <w:t>我们保留提高或降低每千元危险保额年保障成本的权利。</w:t>
            </w:r>
          </w:p>
          <w:p>
            <w:pPr>
              <w:pStyle w:val="TableParagraph"/>
              <w:spacing w:line="273" w:lineRule="auto" w:before="36"/>
              <w:ind w:left="108" w:right="190"/>
              <w:jc w:val="both"/>
              <w:rPr>
                <w:sz w:val="21"/>
              </w:rPr>
            </w:pPr>
            <w:r>
              <w:rPr>
                <w:sz w:val="21"/>
              </w:rPr>
              <w:t>我们将根据本附加合同计算每千元危险保额年保障成本所用的重大疾病发生率与实际情况的偏差程度，决定年保障成本是否调整。本附加合同年保障成本的调整针对所有被保险人或同一投保年龄的所有被保险人。</w:t>
            </w:r>
          </w:p>
          <w:p>
            <w:pPr>
              <w:pStyle w:val="TableParagraph"/>
              <w:spacing w:line="273" w:lineRule="auto" w:before="7"/>
              <w:ind w:left="108" w:right="102"/>
              <w:jc w:val="both"/>
              <w:rPr>
                <w:sz w:val="21"/>
              </w:rPr>
            </w:pPr>
            <w:r>
              <w:rPr>
                <w:sz w:val="21"/>
              </w:rPr>
              <w:t>我们进行年保障成本的调整并向保险监管机关备案后，每月收取的保障成本将按调整后的年保障成本计算，年保障成本调整前我们已经收取的保障成本不受影响。</w:t>
            </w:r>
          </w:p>
        </w:tc>
      </w:tr>
      <w:tr>
        <w:trPr>
          <w:trHeight w:val="2584" w:hRule="atLeast"/>
        </w:trPr>
        <w:tc>
          <w:tcPr>
            <w:tcW w:w="741" w:type="dxa"/>
          </w:tcPr>
          <w:p>
            <w:pPr>
              <w:pStyle w:val="TableParagraph"/>
              <w:spacing w:before="100"/>
              <w:ind w:left="107"/>
              <w:rPr>
                <w:b/>
                <w:sz w:val="21"/>
              </w:rPr>
            </w:pPr>
            <w:r>
              <w:rPr>
                <w:b/>
                <w:sz w:val="21"/>
              </w:rPr>
              <w:t>5.3</w:t>
            </w:r>
          </w:p>
        </w:tc>
        <w:tc>
          <w:tcPr>
            <w:tcW w:w="1472" w:type="dxa"/>
          </w:tcPr>
          <w:p>
            <w:pPr>
              <w:pStyle w:val="TableParagraph"/>
              <w:spacing w:before="100"/>
              <w:ind w:left="315"/>
              <w:rPr>
                <w:b/>
                <w:sz w:val="21"/>
              </w:rPr>
            </w:pPr>
            <w:r>
              <w:rPr>
                <w:b/>
                <w:sz w:val="21"/>
              </w:rPr>
              <w:t>宽限期</w:t>
            </w:r>
          </w:p>
        </w:tc>
        <w:tc>
          <w:tcPr>
            <w:tcW w:w="7869" w:type="dxa"/>
          </w:tcPr>
          <w:p>
            <w:pPr>
              <w:pStyle w:val="TableParagraph"/>
              <w:spacing w:before="100"/>
              <w:ind w:left="108"/>
              <w:rPr>
                <w:sz w:val="21"/>
              </w:rPr>
            </w:pPr>
            <w:r>
              <w:rPr>
                <w:sz w:val="21"/>
              </w:rPr>
              <w:t>附加了本附加合同后，主合同及本附加合同的宽限期按照以下约定确定。</w:t>
            </w:r>
          </w:p>
          <w:p>
            <w:pPr>
              <w:pStyle w:val="TableParagraph"/>
              <w:spacing w:line="273" w:lineRule="auto" w:before="36"/>
              <w:ind w:left="108" w:right="190"/>
              <w:jc w:val="both"/>
              <w:rPr>
                <w:sz w:val="21"/>
              </w:rPr>
            </w:pPr>
            <w:r>
              <w:rPr>
                <w:sz w:val="21"/>
              </w:rPr>
              <w:t>在主合同有效期内，在每月结算日零时如果主合同的个人账户价值扣除主合同保单贷款本金及利息后的余额不足以支付主合同及其附加合同的保障成本，则自该结算日的次日起 60 天为主合同及本附加合同的宽限期。</w:t>
            </w:r>
          </w:p>
          <w:p>
            <w:pPr>
              <w:pStyle w:val="TableParagraph"/>
              <w:spacing w:line="273" w:lineRule="auto" w:before="7"/>
              <w:ind w:left="108" w:right="101"/>
              <w:jc w:val="both"/>
              <w:rPr>
                <w:sz w:val="21"/>
              </w:rPr>
            </w:pPr>
            <w:r>
              <w:rPr>
                <w:sz w:val="21"/>
              </w:rPr>
              <w:t>宽限期内发生的保险事故，我们仍会承担保险责任，但在给付保险金时会扣除您欠交的保障成本及利息。如果您宽限期结束之后仍未交纳主合同保险费，则本附加合同自宽限期满的次日零时起效力中止。</w:t>
            </w:r>
          </w:p>
        </w:tc>
      </w:tr>
      <w:tr>
        <w:trPr>
          <w:trHeight w:val="789" w:hRule="atLeast"/>
        </w:trPr>
        <w:tc>
          <w:tcPr>
            <w:tcW w:w="741" w:type="dxa"/>
            <w:tcBorders>
              <w:bottom w:val="double" w:sz="1" w:space="0" w:color="000000"/>
            </w:tcBorders>
          </w:tcPr>
          <w:p>
            <w:pPr>
              <w:pStyle w:val="TableParagraph"/>
              <w:spacing w:before="251"/>
              <w:ind w:left="107"/>
              <w:rPr>
                <w:b/>
                <w:sz w:val="28"/>
              </w:rPr>
            </w:pPr>
            <w:r>
              <w:rPr>
                <w:b/>
                <w:w w:val="99"/>
                <w:sz w:val="28"/>
              </w:rPr>
              <w:t>6</w:t>
            </w:r>
          </w:p>
        </w:tc>
        <w:tc>
          <w:tcPr>
            <w:tcW w:w="9341" w:type="dxa"/>
            <w:gridSpan w:val="2"/>
            <w:tcBorders>
              <w:bottom w:val="double" w:sz="1" w:space="0" w:color="000000"/>
            </w:tcBorders>
          </w:tcPr>
          <w:p>
            <w:pPr>
              <w:pStyle w:val="TableParagraph"/>
              <w:spacing w:before="251"/>
              <w:ind w:left="315"/>
              <w:rPr>
                <w:b/>
                <w:sz w:val="28"/>
              </w:rPr>
            </w:pPr>
            <w:r>
              <w:rPr>
                <w:b/>
                <w:w w:val="95"/>
                <w:sz w:val="28"/>
              </w:rPr>
              <w:t>合同效力的中止与恢复</w:t>
            </w:r>
          </w:p>
        </w:tc>
      </w:tr>
      <w:tr>
        <w:trPr>
          <w:trHeight w:val="737" w:hRule="atLeast"/>
        </w:trPr>
        <w:tc>
          <w:tcPr>
            <w:tcW w:w="741" w:type="dxa"/>
            <w:tcBorders>
              <w:top w:val="double" w:sz="1" w:space="0" w:color="000000"/>
            </w:tcBorders>
          </w:tcPr>
          <w:p>
            <w:pPr>
              <w:pStyle w:val="TableParagraph"/>
              <w:spacing w:line="265" w:lineRule="exact"/>
              <w:ind w:left="107"/>
              <w:rPr>
                <w:b/>
                <w:sz w:val="21"/>
              </w:rPr>
            </w:pPr>
            <w:r>
              <w:rPr>
                <w:b/>
                <w:sz w:val="21"/>
              </w:rPr>
              <w:t>6.1</w:t>
            </w:r>
          </w:p>
        </w:tc>
        <w:tc>
          <w:tcPr>
            <w:tcW w:w="1472" w:type="dxa"/>
            <w:tcBorders>
              <w:top w:val="double" w:sz="1" w:space="0" w:color="000000"/>
            </w:tcBorders>
          </w:tcPr>
          <w:p>
            <w:pPr>
              <w:pStyle w:val="TableParagraph"/>
              <w:spacing w:line="273" w:lineRule="auto"/>
              <w:ind w:left="315" w:right="106"/>
              <w:rPr>
                <w:b/>
                <w:sz w:val="21"/>
              </w:rPr>
            </w:pPr>
            <w:r>
              <w:rPr>
                <w:b/>
                <w:spacing w:val="-18"/>
                <w:sz w:val="21"/>
              </w:rPr>
              <w:t>合 同 效 力中止</w:t>
            </w:r>
          </w:p>
        </w:tc>
        <w:tc>
          <w:tcPr>
            <w:tcW w:w="7869" w:type="dxa"/>
            <w:tcBorders>
              <w:top w:val="double" w:sz="1" w:space="0" w:color="000000"/>
            </w:tcBorders>
          </w:tcPr>
          <w:p>
            <w:pPr>
              <w:pStyle w:val="TableParagraph"/>
              <w:spacing w:line="243" w:lineRule="exact"/>
              <w:ind w:left="108"/>
              <w:rPr>
                <w:sz w:val="21"/>
              </w:rPr>
            </w:pPr>
            <w:r>
              <w:rPr>
                <w:sz w:val="21"/>
              </w:rPr>
              <w:t>主合同效力中止的同时，本附加合同的效力也中止。</w:t>
            </w:r>
          </w:p>
          <w:p>
            <w:pPr>
              <w:pStyle w:val="TableParagraph"/>
              <w:spacing w:before="18"/>
              <w:ind w:left="108"/>
              <w:rPr>
                <w:sz w:val="21"/>
              </w:rPr>
            </w:pPr>
            <w:r>
              <w:rPr>
                <w:sz w:val="21"/>
              </w:rPr>
              <w:t>在本附加合同效力中止期间，我们不承担保险责任。</w:t>
            </w:r>
          </w:p>
        </w:tc>
      </w:tr>
      <w:tr>
        <w:trPr>
          <w:trHeight w:val="1938" w:hRule="atLeast"/>
        </w:trPr>
        <w:tc>
          <w:tcPr>
            <w:tcW w:w="741" w:type="dxa"/>
          </w:tcPr>
          <w:p>
            <w:pPr>
              <w:pStyle w:val="TableParagraph"/>
              <w:spacing w:before="104"/>
              <w:ind w:left="107"/>
              <w:rPr>
                <w:b/>
                <w:sz w:val="21"/>
              </w:rPr>
            </w:pPr>
            <w:r>
              <w:rPr>
                <w:b/>
                <w:sz w:val="21"/>
              </w:rPr>
              <w:t>6.2</w:t>
            </w:r>
          </w:p>
        </w:tc>
        <w:tc>
          <w:tcPr>
            <w:tcW w:w="1472" w:type="dxa"/>
          </w:tcPr>
          <w:p>
            <w:pPr>
              <w:pStyle w:val="TableParagraph"/>
              <w:spacing w:line="273" w:lineRule="auto" w:before="104"/>
              <w:ind w:left="315" w:right="106"/>
              <w:jc w:val="both"/>
              <w:rPr>
                <w:b/>
                <w:sz w:val="21"/>
              </w:rPr>
            </w:pPr>
            <w:r>
              <w:rPr>
                <w:b/>
                <w:spacing w:val="-18"/>
                <w:sz w:val="21"/>
              </w:rPr>
              <w:t>合 同 效 力</w:t>
            </w:r>
            <w:r>
              <w:rPr>
                <w:b/>
                <w:spacing w:val="-24"/>
                <w:sz w:val="21"/>
              </w:rPr>
              <w:t>恢 复 </w:t>
            </w:r>
            <w:r>
              <w:rPr>
                <w:b/>
                <w:sz w:val="21"/>
              </w:rPr>
              <w:t>（</w:t>
            </w:r>
            <w:r>
              <w:rPr>
                <w:b/>
                <w:spacing w:val="-20"/>
                <w:sz w:val="21"/>
              </w:rPr>
              <w:t> 复效）</w:t>
            </w:r>
          </w:p>
        </w:tc>
        <w:tc>
          <w:tcPr>
            <w:tcW w:w="7869" w:type="dxa"/>
          </w:tcPr>
          <w:p>
            <w:pPr>
              <w:pStyle w:val="TableParagraph"/>
              <w:spacing w:line="264" w:lineRule="auto" w:before="104"/>
              <w:ind w:left="108" w:right="98"/>
              <w:jc w:val="both"/>
              <w:rPr>
                <w:sz w:val="21"/>
              </w:rPr>
            </w:pPr>
            <w:r>
              <w:rPr>
                <w:spacing w:val="-6"/>
                <w:sz w:val="21"/>
              </w:rPr>
              <w:t>本附加合同效力中止后 </w:t>
            </w:r>
            <w:r>
              <w:rPr>
                <w:rFonts w:ascii="Times New Roman" w:eastAsia="Times New Roman"/>
                <w:sz w:val="21"/>
              </w:rPr>
              <w:t>2 </w:t>
            </w:r>
            <w:r>
              <w:rPr>
                <w:spacing w:val="-4"/>
                <w:sz w:val="21"/>
              </w:rPr>
              <w:t>年内，您可以申请恢复合同效力</w:t>
            </w:r>
            <w:r>
              <w:rPr>
                <w:sz w:val="21"/>
              </w:rPr>
              <w:t>（</w:t>
            </w:r>
            <w:r>
              <w:rPr>
                <w:spacing w:val="-3"/>
                <w:sz w:val="21"/>
              </w:rPr>
              <w:t>简称复效</w:t>
            </w:r>
            <w:r>
              <w:rPr>
                <w:spacing w:val="-106"/>
                <w:sz w:val="21"/>
              </w:rPr>
              <w:t>）</w:t>
            </w:r>
            <w:r>
              <w:rPr>
                <w:spacing w:val="-3"/>
                <w:sz w:val="21"/>
              </w:rPr>
              <w:t>。您应填写复效申请书，我们会要求您提供被保险人的健康声明书、体检报告书及其他相关证明文件，我们会对材料进行审核，做出是否同意复效的决定。</w:t>
            </w:r>
          </w:p>
          <w:p>
            <w:pPr>
              <w:pStyle w:val="TableParagraph"/>
              <w:spacing w:line="312" w:lineRule="exact" w:before="12"/>
              <w:ind w:left="108" w:right="400"/>
              <w:rPr>
                <w:sz w:val="21"/>
              </w:rPr>
            </w:pPr>
            <w:r>
              <w:rPr>
                <w:spacing w:val="-3"/>
                <w:sz w:val="21"/>
              </w:rPr>
              <w:t>经双方达成复效协议，自您补交主合同保险费之日起，本附加合同效力恢复。 </w:t>
            </w:r>
            <w:r>
              <w:rPr>
                <w:spacing w:val="-6"/>
                <w:sz w:val="21"/>
              </w:rPr>
              <w:t>自本附加合同效力中止之日起满 </w:t>
            </w:r>
            <w:r>
              <w:rPr>
                <w:sz w:val="21"/>
              </w:rPr>
              <w:t>2</w:t>
            </w:r>
            <w:r>
              <w:rPr>
                <w:spacing w:val="-7"/>
                <w:sz w:val="21"/>
              </w:rPr>
              <w:t> 年您和我们未达成协议的，本附加合同终止。</w:t>
            </w:r>
            <w:r>
              <w:rPr>
                <w:spacing w:val="-5"/>
                <w:sz w:val="21"/>
              </w:rPr>
              <w:t>主合同效力中止期间，本附加合同不得单独申请复效。</w:t>
            </w:r>
          </w:p>
        </w:tc>
      </w:tr>
    </w:tbl>
    <w:p>
      <w:pPr>
        <w:spacing w:after="0" w:line="312" w:lineRule="exact"/>
        <w:rPr>
          <w:sz w:val="21"/>
        </w:rPr>
        <w:sectPr>
          <w:pgSz w:w="11910" w:h="16840"/>
          <w:pgMar w:header="568" w:footer="0" w:top="800" w:bottom="280" w:left="800" w:right="8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418"/>
        <w:gridCol w:w="7923"/>
      </w:tblGrid>
      <w:tr>
        <w:trPr>
          <w:trHeight w:val="451" w:hRule="atLeast"/>
        </w:trPr>
        <w:tc>
          <w:tcPr>
            <w:tcW w:w="741" w:type="dxa"/>
            <w:tcBorders>
              <w:bottom w:val="double" w:sz="1" w:space="0" w:color="000000"/>
            </w:tcBorders>
          </w:tcPr>
          <w:p>
            <w:pPr>
              <w:pStyle w:val="TableParagraph"/>
              <w:spacing w:line="281" w:lineRule="exact"/>
              <w:ind w:left="107"/>
              <w:rPr>
                <w:b/>
                <w:sz w:val="28"/>
              </w:rPr>
            </w:pPr>
            <w:r>
              <w:rPr>
                <w:b/>
                <w:w w:val="99"/>
                <w:sz w:val="28"/>
              </w:rPr>
              <w:t>7</w:t>
            </w:r>
          </w:p>
        </w:tc>
        <w:tc>
          <w:tcPr>
            <w:tcW w:w="1418" w:type="dxa"/>
            <w:tcBorders>
              <w:bottom w:val="double" w:sz="1" w:space="0" w:color="000000"/>
            </w:tcBorders>
          </w:tcPr>
          <w:p>
            <w:pPr>
              <w:pStyle w:val="TableParagraph"/>
              <w:spacing w:line="281" w:lineRule="exact"/>
              <w:ind w:right="-29"/>
              <w:jc w:val="right"/>
              <w:rPr>
                <w:b/>
                <w:sz w:val="28"/>
              </w:rPr>
            </w:pPr>
            <w:r>
              <w:rPr>
                <w:b/>
                <w:sz w:val="28"/>
              </w:rPr>
              <w:t>合同解除</w:t>
            </w:r>
          </w:p>
        </w:tc>
        <w:tc>
          <w:tcPr>
            <w:tcW w:w="7923" w:type="dxa"/>
            <w:tcBorders>
              <w:bottom w:val="double" w:sz="1" w:space="0" w:color="000000"/>
            </w:tcBorders>
          </w:tcPr>
          <w:p>
            <w:pPr>
              <w:pStyle w:val="TableParagraph"/>
              <w:rPr>
                <w:rFonts w:ascii="Times New Roman"/>
                <w:sz w:val="20"/>
              </w:rPr>
            </w:pPr>
          </w:p>
        </w:tc>
      </w:tr>
      <w:tr>
        <w:trPr>
          <w:trHeight w:val="2358" w:hRule="atLeast"/>
        </w:trPr>
        <w:tc>
          <w:tcPr>
            <w:tcW w:w="741"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418" w:type="dxa"/>
            <w:tcBorders>
              <w:top w:val="double" w:sz="1" w:space="0" w:color="000000"/>
            </w:tcBorders>
          </w:tcPr>
          <w:p>
            <w:pPr>
              <w:pStyle w:val="TableParagraph"/>
              <w:spacing w:before="2"/>
              <w:rPr>
                <w:rFonts w:ascii="Times New Roman"/>
                <w:sz w:val="16"/>
              </w:rPr>
            </w:pPr>
          </w:p>
          <w:p>
            <w:pPr>
              <w:pStyle w:val="TableParagraph"/>
              <w:spacing w:line="273" w:lineRule="auto"/>
              <w:ind w:left="315" w:right="52"/>
              <w:jc w:val="both"/>
              <w:rPr>
                <w:b/>
                <w:sz w:val="21"/>
              </w:rPr>
            </w:pPr>
            <w:r>
              <w:rPr>
                <w:b/>
                <w:spacing w:val="-18"/>
                <w:sz w:val="21"/>
              </w:rPr>
              <w:t>犹 豫 期 后</w:t>
            </w:r>
            <w:r>
              <w:rPr>
                <w:b/>
                <w:spacing w:val="-21"/>
                <w:sz w:val="21"/>
              </w:rPr>
              <w:t>解 除 合 同</w:t>
            </w:r>
          </w:p>
          <w:p>
            <w:pPr>
              <w:pStyle w:val="TableParagraph"/>
              <w:spacing w:line="273" w:lineRule="auto" w:before="7"/>
              <w:ind w:left="315" w:right="51"/>
              <w:jc w:val="both"/>
              <w:rPr>
                <w:b/>
                <w:sz w:val="21"/>
              </w:rPr>
            </w:pPr>
            <w:r>
              <w:rPr>
                <w:b/>
                <w:sz w:val="21"/>
              </w:rPr>
              <w:t>（退保</w:t>
            </w:r>
            <w:r>
              <w:rPr>
                <w:b/>
                <w:spacing w:val="-8"/>
                <w:sz w:val="21"/>
              </w:rPr>
              <w:t>）</w:t>
            </w:r>
            <w:r>
              <w:rPr>
                <w:b/>
                <w:sz w:val="21"/>
              </w:rPr>
              <w:t>的</w:t>
            </w:r>
            <w:r>
              <w:rPr>
                <w:b/>
                <w:spacing w:val="-18"/>
                <w:sz w:val="21"/>
              </w:rPr>
              <w:t>手 续 及 风险</w:t>
            </w:r>
          </w:p>
        </w:tc>
        <w:tc>
          <w:tcPr>
            <w:tcW w:w="7923" w:type="dxa"/>
            <w:tcBorders>
              <w:top w:val="double" w:sz="1" w:space="0" w:color="000000"/>
            </w:tcBorders>
          </w:tcPr>
          <w:p>
            <w:pPr>
              <w:pStyle w:val="TableParagraph"/>
              <w:spacing w:before="2"/>
              <w:rPr>
                <w:rFonts w:ascii="Times New Roman"/>
                <w:sz w:val="16"/>
              </w:rPr>
            </w:pPr>
          </w:p>
          <w:p>
            <w:pPr>
              <w:pStyle w:val="TableParagraph"/>
              <w:spacing w:line="273" w:lineRule="auto"/>
              <w:ind w:left="162" w:right="98"/>
              <w:rPr>
                <w:sz w:val="21"/>
              </w:rPr>
            </w:pPr>
            <w:r>
              <w:rPr>
                <w:spacing w:val="-4"/>
                <w:w w:val="100"/>
                <w:sz w:val="21"/>
              </w:rPr>
              <w:t>如您在犹豫期后合并主合同申请解除本附加合同</w:t>
            </w:r>
            <w:r>
              <w:rPr>
                <w:spacing w:val="-3"/>
                <w:w w:val="100"/>
                <w:sz w:val="21"/>
              </w:rPr>
              <w:t>（</w:t>
            </w:r>
            <w:r>
              <w:rPr>
                <w:spacing w:val="-1"/>
                <w:w w:val="100"/>
                <w:sz w:val="21"/>
              </w:rPr>
              <w:t>简称退保</w:t>
            </w:r>
            <w:r>
              <w:rPr>
                <w:spacing w:val="-106"/>
                <w:w w:val="100"/>
                <w:sz w:val="21"/>
              </w:rPr>
              <w:t>）</w:t>
            </w:r>
            <w:r>
              <w:rPr>
                <w:spacing w:val="-4"/>
                <w:w w:val="100"/>
                <w:sz w:val="21"/>
              </w:rPr>
              <w:t>，请填写解除合同申请</w:t>
            </w:r>
            <w:r>
              <w:rPr>
                <w:spacing w:val="-3"/>
                <w:sz w:val="21"/>
              </w:rPr>
              <w:t>书并向我们提供下列资料：</w:t>
            </w:r>
          </w:p>
          <w:p>
            <w:pPr>
              <w:pStyle w:val="TableParagraph"/>
              <w:spacing w:before="7"/>
              <w:ind w:left="162"/>
              <w:rPr>
                <w:sz w:val="21"/>
              </w:rPr>
            </w:pPr>
            <w:r>
              <w:rPr>
                <w:sz w:val="21"/>
              </w:rPr>
              <w:t>（1）保险合同；</w:t>
            </w:r>
          </w:p>
          <w:p>
            <w:pPr>
              <w:pStyle w:val="TableParagraph"/>
              <w:spacing w:before="37"/>
              <w:ind w:left="162"/>
              <w:rPr>
                <w:sz w:val="21"/>
              </w:rPr>
            </w:pPr>
            <w:r>
              <w:rPr>
                <w:sz w:val="21"/>
              </w:rPr>
              <w:t>（2）您的法定有效身份证明。</w:t>
            </w:r>
          </w:p>
          <w:p>
            <w:pPr>
              <w:pStyle w:val="TableParagraph"/>
              <w:spacing w:line="273" w:lineRule="auto" w:before="37"/>
              <w:ind w:left="162" w:right="2924"/>
              <w:rPr>
                <w:sz w:val="21"/>
              </w:rPr>
            </w:pPr>
            <w:r>
              <w:rPr>
                <w:sz w:val="21"/>
              </w:rPr>
              <w:t>自我们收到解除合同申请书时起，本附加合同终止。您犹豫期后解除合同会遭受一定损失。</w:t>
            </w:r>
          </w:p>
        </w:tc>
      </w:tr>
      <w:tr>
        <w:trPr>
          <w:trHeight w:val="789" w:hRule="atLeast"/>
        </w:trPr>
        <w:tc>
          <w:tcPr>
            <w:tcW w:w="741" w:type="dxa"/>
            <w:tcBorders>
              <w:bottom w:val="double" w:sz="1" w:space="0" w:color="000000"/>
            </w:tcBorders>
          </w:tcPr>
          <w:p>
            <w:pPr>
              <w:pStyle w:val="TableParagraph"/>
              <w:spacing w:before="251"/>
              <w:ind w:left="107"/>
              <w:rPr>
                <w:b/>
                <w:sz w:val="28"/>
              </w:rPr>
            </w:pPr>
            <w:r>
              <w:rPr>
                <w:b/>
                <w:w w:val="99"/>
                <w:sz w:val="28"/>
              </w:rPr>
              <w:t>8</w:t>
            </w:r>
          </w:p>
        </w:tc>
        <w:tc>
          <w:tcPr>
            <w:tcW w:w="1418" w:type="dxa"/>
            <w:tcBorders>
              <w:bottom w:val="double" w:sz="1" w:space="0" w:color="000000"/>
            </w:tcBorders>
          </w:tcPr>
          <w:p>
            <w:pPr>
              <w:pStyle w:val="TableParagraph"/>
              <w:spacing w:before="251"/>
              <w:ind w:right="-29"/>
              <w:jc w:val="right"/>
              <w:rPr>
                <w:b/>
                <w:sz w:val="28"/>
              </w:rPr>
            </w:pPr>
            <w:r>
              <w:rPr>
                <w:b/>
                <w:sz w:val="28"/>
              </w:rPr>
              <w:t>如实告知</w:t>
            </w:r>
          </w:p>
        </w:tc>
        <w:tc>
          <w:tcPr>
            <w:tcW w:w="7923" w:type="dxa"/>
            <w:tcBorders>
              <w:bottom w:val="double" w:sz="1" w:space="0" w:color="000000"/>
            </w:tcBorders>
          </w:tcPr>
          <w:p>
            <w:pPr>
              <w:pStyle w:val="TableParagraph"/>
              <w:rPr>
                <w:rFonts w:ascii="Times New Roman"/>
                <w:sz w:val="20"/>
              </w:rPr>
            </w:pPr>
          </w:p>
        </w:tc>
      </w:tr>
      <w:tr>
        <w:trPr>
          <w:trHeight w:val="4994" w:hRule="atLeast"/>
        </w:trPr>
        <w:tc>
          <w:tcPr>
            <w:tcW w:w="741"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418" w:type="dxa"/>
            <w:tcBorders>
              <w:top w:val="double" w:sz="1" w:space="0" w:color="000000"/>
            </w:tcBorders>
          </w:tcPr>
          <w:p>
            <w:pPr>
              <w:pStyle w:val="TableParagraph"/>
              <w:spacing w:before="2"/>
              <w:rPr>
                <w:rFonts w:ascii="Times New Roman"/>
                <w:sz w:val="16"/>
              </w:rPr>
            </w:pPr>
          </w:p>
          <w:p>
            <w:pPr>
              <w:pStyle w:val="TableParagraph"/>
              <w:spacing w:line="273" w:lineRule="auto"/>
              <w:ind w:left="315" w:right="52"/>
              <w:jc w:val="both"/>
              <w:rPr>
                <w:b/>
                <w:sz w:val="21"/>
              </w:rPr>
            </w:pPr>
            <w:r>
              <w:rPr>
                <w:b/>
                <w:spacing w:val="-18"/>
                <w:sz w:val="21"/>
              </w:rPr>
              <w:t>明 确 说 明</w:t>
            </w:r>
            <w:r>
              <w:rPr>
                <w:b/>
                <w:spacing w:val="-21"/>
                <w:sz w:val="21"/>
              </w:rPr>
              <w:t>与 如 实 告知</w:t>
            </w:r>
          </w:p>
        </w:tc>
        <w:tc>
          <w:tcPr>
            <w:tcW w:w="7923" w:type="dxa"/>
            <w:tcBorders>
              <w:top w:val="double" w:sz="1" w:space="0" w:color="000000"/>
            </w:tcBorders>
          </w:tcPr>
          <w:p>
            <w:pPr>
              <w:pStyle w:val="TableParagraph"/>
              <w:spacing w:before="2"/>
              <w:rPr>
                <w:rFonts w:ascii="Times New Roman"/>
                <w:sz w:val="16"/>
              </w:rPr>
            </w:pPr>
          </w:p>
          <w:p>
            <w:pPr>
              <w:pStyle w:val="TableParagraph"/>
              <w:ind w:left="162"/>
              <w:rPr>
                <w:sz w:val="21"/>
              </w:rPr>
            </w:pPr>
            <w:r>
              <w:rPr>
                <w:sz w:val="21"/>
              </w:rPr>
              <w:t>订立本附加合同时，我们会向您说明本附加合同的内容。</w:t>
            </w:r>
          </w:p>
          <w:p>
            <w:pPr>
              <w:pStyle w:val="TableParagraph"/>
              <w:spacing w:line="273" w:lineRule="auto" w:before="37"/>
              <w:ind w:left="162" w:right="189"/>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7"/>
              <w:ind w:left="162"/>
              <w:rPr>
                <w:sz w:val="21"/>
              </w:rPr>
            </w:pPr>
            <w:r>
              <w:rPr>
                <w:sz w:val="21"/>
              </w:rPr>
              <w:t>我们就您和被保险人的有关情况提出询问，您应当如实告知。</w:t>
            </w:r>
          </w:p>
          <w:p>
            <w:pPr>
              <w:pStyle w:val="TableParagraph"/>
              <w:spacing w:line="273" w:lineRule="auto" w:before="37"/>
              <w:ind w:left="162" w:right="190"/>
              <w:jc w:val="both"/>
              <w:rPr>
                <w:sz w:val="21"/>
              </w:rPr>
            </w:pPr>
            <w:r>
              <w:rPr>
                <w:sz w:val="21"/>
              </w:rPr>
              <w:t>如果您故意或者因重大过失未履行前款规定的如实告知义务，足以影响我们决定是否同意承保、提高应扣除的保障成本或降低基本保险金额的，我们有权解除本附加合同。</w:t>
            </w:r>
          </w:p>
          <w:p>
            <w:pPr>
              <w:pStyle w:val="TableParagraph"/>
              <w:spacing w:line="273" w:lineRule="auto" w:before="7"/>
              <w:ind w:left="162" w:right="190"/>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162" w:right="190"/>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8"/>
              <w:ind w:left="162" w:right="107"/>
              <w:jc w:val="both"/>
              <w:rPr>
                <w:sz w:val="21"/>
              </w:rPr>
            </w:pPr>
            <w:r>
              <w:rPr>
                <w:sz w:val="21"/>
              </w:rPr>
              <w:t>我们在合同订立时已经知道您未如实告知的情况的，我们不得解除合同；发生保险事故的，我们承担给付保险金的责任。</w:t>
            </w:r>
          </w:p>
        </w:tc>
      </w:tr>
      <w:tr>
        <w:trPr>
          <w:trHeight w:val="1336" w:hRule="atLeast"/>
        </w:trPr>
        <w:tc>
          <w:tcPr>
            <w:tcW w:w="741" w:type="dxa"/>
          </w:tcPr>
          <w:p>
            <w:pPr>
              <w:pStyle w:val="TableParagraph"/>
              <w:spacing w:before="100"/>
              <w:ind w:left="107"/>
              <w:rPr>
                <w:b/>
                <w:sz w:val="21"/>
              </w:rPr>
            </w:pPr>
            <w:r>
              <w:rPr>
                <w:b/>
                <w:sz w:val="21"/>
              </w:rPr>
              <w:t>8.2</w:t>
            </w:r>
          </w:p>
        </w:tc>
        <w:tc>
          <w:tcPr>
            <w:tcW w:w="1418" w:type="dxa"/>
          </w:tcPr>
          <w:p>
            <w:pPr>
              <w:pStyle w:val="TableParagraph"/>
              <w:spacing w:line="273" w:lineRule="auto" w:before="100"/>
              <w:ind w:left="315" w:right="52"/>
              <w:jc w:val="both"/>
              <w:rPr>
                <w:b/>
                <w:sz w:val="21"/>
              </w:rPr>
            </w:pPr>
            <w:r>
              <w:rPr>
                <w:b/>
                <w:spacing w:val="-18"/>
                <w:sz w:val="21"/>
              </w:rPr>
              <w:t>本 公 司 合</w:t>
            </w:r>
            <w:r>
              <w:rPr>
                <w:b/>
                <w:spacing w:val="-21"/>
                <w:sz w:val="21"/>
              </w:rPr>
              <w:t>同 解 除 权的限制</w:t>
            </w:r>
          </w:p>
        </w:tc>
        <w:tc>
          <w:tcPr>
            <w:tcW w:w="7923" w:type="dxa"/>
          </w:tcPr>
          <w:p>
            <w:pPr>
              <w:pStyle w:val="TableParagraph"/>
              <w:spacing w:before="100"/>
              <w:ind w:left="162"/>
              <w:rPr>
                <w:sz w:val="21"/>
              </w:rPr>
            </w:pPr>
            <w:r>
              <w:rPr>
                <w:spacing w:val="-4"/>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6"/>
              <w:ind w:left="162" w:right="56"/>
              <w:rPr>
                <w:sz w:val="21"/>
              </w:rPr>
            </w:pPr>
            <w:r>
              <w:rPr>
                <w:sz w:val="21"/>
              </w:rPr>
              <w:t>自本附加合同成立之日起超过 2 年的，我们不得解除合同；发生保险事故的，我们承担给付保险金的责任。</w:t>
            </w:r>
          </w:p>
        </w:tc>
      </w:tr>
      <w:tr>
        <w:trPr>
          <w:trHeight w:val="789" w:hRule="atLeast"/>
        </w:trPr>
        <w:tc>
          <w:tcPr>
            <w:tcW w:w="741" w:type="dxa"/>
            <w:tcBorders>
              <w:bottom w:val="double" w:sz="1" w:space="0" w:color="000000"/>
            </w:tcBorders>
          </w:tcPr>
          <w:p>
            <w:pPr>
              <w:pStyle w:val="TableParagraph"/>
              <w:spacing w:before="251"/>
              <w:ind w:left="107"/>
              <w:rPr>
                <w:b/>
                <w:sz w:val="28"/>
              </w:rPr>
            </w:pPr>
            <w:r>
              <w:rPr>
                <w:b/>
                <w:w w:val="99"/>
                <w:sz w:val="28"/>
              </w:rPr>
              <w:t>9</w:t>
            </w:r>
          </w:p>
        </w:tc>
        <w:tc>
          <w:tcPr>
            <w:tcW w:w="9341" w:type="dxa"/>
            <w:gridSpan w:val="2"/>
            <w:tcBorders>
              <w:bottom w:val="double" w:sz="1" w:space="0" w:color="000000"/>
            </w:tcBorders>
          </w:tcPr>
          <w:p>
            <w:pPr>
              <w:pStyle w:val="TableParagraph"/>
              <w:spacing w:before="251"/>
              <w:ind w:left="315"/>
              <w:rPr>
                <w:b/>
                <w:sz w:val="28"/>
              </w:rPr>
            </w:pPr>
            <w:r>
              <w:rPr>
                <w:b/>
                <w:w w:val="95"/>
                <w:sz w:val="28"/>
              </w:rPr>
              <w:t>其他需要关注的事项</w:t>
            </w:r>
          </w:p>
        </w:tc>
      </w:tr>
      <w:tr>
        <w:trPr>
          <w:trHeight w:val="3269" w:hRule="atLeast"/>
        </w:trPr>
        <w:tc>
          <w:tcPr>
            <w:tcW w:w="741"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9.1</w:t>
            </w:r>
          </w:p>
        </w:tc>
        <w:tc>
          <w:tcPr>
            <w:tcW w:w="1418" w:type="dxa"/>
            <w:tcBorders>
              <w:top w:val="double" w:sz="1" w:space="0" w:color="000000"/>
            </w:tcBorders>
          </w:tcPr>
          <w:p>
            <w:pPr>
              <w:pStyle w:val="TableParagraph"/>
              <w:spacing w:before="2"/>
              <w:rPr>
                <w:rFonts w:ascii="Times New Roman"/>
                <w:sz w:val="16"/>
              </w:rPr>
            </w:pPr>
          </w:p>
          <w:p>
            <w:pPr>
              <w:pStyle w:val="TableParagraph"/>
              <w:spacing w:line="273" w:lineRule="auto"/>
              <w:ind w:left="315" w:right="52"/>
              <w:rPr>
                <w:b/>
                <w:sz w:val="21"/>
              </w:rPr>
            </w:pPr>
            <w:r>
              <w:rPr>
                <w:b/>
                <w:spacing w:val="-18"/>
                <w:sz w:val="21"/>
              </w:rPr>
              <w:t>年 龄 性 别错误处理</w:t>
            </w:r>
          </w:p>
        </w:tc>
        <w:tc>
          <w:tcPr>
            <w:tcW w:w="7923" w:type="dxa"/>
            <w:tcBorders>
              <w:top w:val="double" w:sz="1" w:space="0" w:color="000000"/>
            </w:tcBorders>
          </w:tcPr>
          <w:p>
            <w:pPr>
              <w:pStyle w:val="TableParagraph"/>
              <w:spacing w:before="2"/>
              <w:rPr>
                <w:rFonts w:ascii="Times New Roman"/>
                <w:sz w:val="16"/>
              </w:rPr>
            </w:pPr>
          </w:p>
          <w:p>
            <w:pPr>
              <w:pStyle w:val="TableParagraph"/>
              <w:spacing w:line="273" w:lineRule="auto"/>
              <w:ind w:left="162" w:right="101"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73" w:lineRule="auto" w:before="7"/>
              <w:ind w:left="575" w:right="105" w:hanging="522"/>
              <w:rPr>
                <w:sz w:val="21"/>
              </w:rPr>
            </w:pPr>
            <w:r>
              <w:rPr>
                <w:sz w:val="21"/>
              </w:rPr>
              <w:t>（1）</w:t>
            </w:r>
            <w:r>
              <w:rPr>
                <w:spacing w:val="-3"/>
                <w:sz w:val="21"/>
              </w:rPr>
              <w:t>您申报的被保险人年龄或性别不真实，我们有权更正并根据被保险人的真实年龄与性别收取以后各月的保障成本。如果真实年龄不符合本附加合同约定投保</w:t>
            </w:r>
            <w:r>
              <w:rPr>
                <w:spacing w:val="-9"/>
                <w:sz w:val="21"/>
              </w:rPr>
              <w:t>年龄限制的，我们有权解除合同。本公司行使合同解除权适用 </w:t>
            </w:r>
            <w:r>
              <w:rPr>
                <w:spacing w:val="-6"/>
                <w:sz w:val="21"/>
              </w:rPr>
              <w:t>8.2</w:t>
            </w:r>
            <w:r>
              <w:rPr>
                <w:spacing w:val="-4"/>
                <w:sz w:val="21"/>
              </w:rPr>
              <w:t>“本公司合同</w:t>
            </w:r>
            <w:r>
              <w:rPr>
                <w:spacing w:val="-3"/>
                <w:sz w:val="21"/>
              </w:rPr>
              <w:t>解除权的限制”的规定。</w:t>
            </w:r>
          </w:p>
          <w:p>
            <w:pPr>
              <w:pStyle w:val="TableParagraph"/>
              <w:spacing w:line="312" w:lineRule="exact" w:before="3"/>
              <w:ind w:left="575" w:right="194" w:hanging="522"/>
              <w:jc w:val="both"/>
              <w:rPr>
                <w:sz w:val="21"/>
              </w:rPr>
            </w:pPr>
            <w:r>
              <w:rPr>
                <w:sz w:val="21"/>
              </w:rPr>
              <w:t>（2）如果我们已收取的保障成本高于应收取的保障成本，且被保险人未发生主合同规定的保险事故，多收的保障成本将无息计入主合同的个人账户价值。如果被保险人已发生主合同规定的保险事故，则多收的保障成本无息随主合同身故保</w:t>
            </w:r>
          </w:p>
        </w:tc>
      </w:tr>
    </w:tbl>
    <w:p>
      <w:pPr>
        <w:spacing w:after="0" w:line="312" w:lineRule="exact"/>
        <w:jc w:val="both"/>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420"/>
        <w:gridCol w:w="7871"/>
      </w:tblGrid>
      <w:tr>
        <w:trPr>
          <w:trHeight w:val="1623" w:hRule="atLeast"/>
        </w:trPr>
        <w:tc>
          <w:tcPr>
            <w:tcW w:w="794" w:type="dxa"/>
          </w:tcPr>
          <w:p>
            <w:pPr>
              <w:pStyle w:val="TableParagraph"/>
              <w:rPr>
                <w:rFonts w:ascii="Times New Roman"/>
                <w:sz w:val="20"/>
              </w:rPr>
            </w:pPr>
          </w:p>
        </w:tc>
        <w:tc>
          <w:tcPr>
            <w:tcW w:w="1420" w:type="dxa"/>
          </w:tcPr>
          <w:p>
            <w:pPr>
              <w:pStyle w:val="TableParagraph"/>
              <w:rPr>
                <w:rFonts w:ascii="Times New Roman"/>
                <w:sz w:val="20"/>
              </w:rPr>
            </w:pPr>
          </w:p>
        </w:tc>
        <w:tc>
          <w:tcPr>
            <w:tcW w:w="7871" w:type="dxa"/>
          </w:tcPr>
          <w:p>
            <w:pPr>
              <w:pStyle w:val="TableParagraph"/>
              <w:spacing w:line="211" w:lineRule="exact"/>
              <w:ind w:left="520"/>
              <w:rPr>
                <w:sz w:val="21"/>
              </w:rPr>
            </w:pPr>
            <w:r>
              <w:rPr>
                <w:sz w:val="21"/>
              </w:rPr>
              <w:t>险金退还。</w:t>
            </w:r>
          </w:p>
          <w:p>
            <w:pPr>
              <w:pStyle w:val="TableParagraph"/>
              <w:spacing w:line="273" w:lineRule="auto" w:before="37"/>
              <w:ind w:left="520" w:right="197" w:hanging="522"/>
              <w:jc w:val="both"/>
              <w:rPr>
                <w:sz w:val="21"/>
              </w:rPr>
            </w:pPr>
            <w:r>
              <w:rPr>
                <w:sz w:val="21"/>
              </w:rPr>
              <w:t>（3）如果被保险人发生保险事故，并且距保险事故发生时最近一次已收取的保障成本低于应收取的保障成本，我们有权按照该次已收取的保障成本与应收取的保障成本的比例调整当时的</w:t>
            </w:r>
            <w:r>
              <w:rPr>
                <w:b/>
                <w:sz w:val="21"/>
              </w:rPr>
              <w:t>危险保额</w:t>
            </w:r>
            <w:r>
              <w:rPr>
                <w:sz w:val="21"/>
              </w:rPr>
              <w:t>，重大疾病保险金按调整后的危险保额相应调整。</w:t>
            </w:r>
          </w:p>
        </w:tc>
      </w:tr>
      <w:tr>
        <w:trPr>
          <w:trHeight w:val="1483" w:hRule="atLeast"/>
        </w:trPr>
        <w:tc>
          <w:tcPr>
            <w:tcW w:w="794" w:type="dxa"/>
          </w:tcPr>
          <w:p>
            <w:pPr>
              <w:pStyle w:val="TableParagraph"/>
              <w:spacing w:before="100"/>
              <w:ind w:left="107"/>
              <w:rPr>
                <w:b/>
                <w:sz w:val="21"/>
              </w:rPr>
            </w:pPr>
            <w:r>
              <w:rPr>
                <w:b/>
                <w:sz w:val="21"/>
              </w:rPr>
              <w:t>9.2</w:t>
            </w:r>
          </w:p>
        </w:tc>
        <w:tc>
          <w:tcPr>
            <w:tcW w:w="1420" w:type="dxa"/>
          </w:tcPr>
          <w:p>
            <w:pPr>
              <w:pStyle w:val="TableParagraph"/>
              <w:spacing w:line="273" w:lineRule="auto" w:before="100"/>
              <w:ind w:left="262" w:right="107"/>
              <w:rPr>
                <w:b/>
                <w:sz w:val="21"/>
              </w:rPr>
            </w:pPr>
            <w:r>
              <w:rPr>
                <w:b/>
                <w:spacing w:val="-18"/>
                <w:sz w:val="21"/>
              </w:rPr>
              <w:t>合 同 效 力终止</w:t>
            </w:r>
          </w:p>
        </w:tc>
        <w:tc>
          <w:tcPr>
            <w:tcW w:w="7871" w:type="dxa"/>
          </w:tcPr>
          <w:p>
            <w:pPr>
              <w:pStyle w:val="TableParagraph"/>
              <w:spacing w:before="100"/>
              <w:ind w:left="107"/>
              <w:rPr>
                <w:sz w:val="21"/>
              </w:rPr>
            </w:pPr>
            <w:r>
              <w:rPr>
                <w:sz w:val="21"/>
              </w:rPr>
              <w:t>当发生下列情形之一时，本附加合同效力终止：</w:t>
            </w:r>
          </w:p>
          <w:p>
            <w:pPr>
              <w:pStyle w:val="TableParagraph"/>
              <w:spacing w:before="36"/>
              <w:ind w:left="107"/>
              <w:rPr>
                <w:sz w:val="21"/>
              </w:rPr>
            </w:pPr>
            <w:r>
              <w:rPr>
                <w:sz w:val="21"/>
              </w:rPr>
              <w:t>（</w:t>
            </w:r>
            <w:r>
              <w:rPr>
                <w:rFonts w:ascii="Times New Roman" w:eastAsia="Times New Roman"/>
                <w:sz w:val="21"/>
              </w:rPr>
              <w:t>1</w:t>
            </w:r>
            <w:r>
              <w:rPr>
                <w:sz w:val="21"/>
              </w:rPr>
              <w:t>）主合同效力终止；</w:t>
            </w:r>
          </w:p>
          <w:p>
            <w:pPr>
              <w:pStyle w:val="TableParagraph"/>
              <w:spacing w:before="20"/>
              <w:ind w:left="107"/>
              <w:rPr>
                <w:sz w:val="21"/>
              </w:rPr>
            </w:pPr>
            <w:r>
              <w:rPr>
                <w:sz w:val="21"/>
              </w:rPr>
              <w:t>（</w:t>
            </w:r>
            <w:r>
              <w:rPr>
                <w:rFonts w:ascii="Times New Roman" w:eastAsia="Times New Roman"/>
                <w:sz w:val="21"/>
              </w:rPr>
              <w:t>2</w:t>
            </w:r>
            <w:r>
              <w:rPr>
                <w:sz w:val="21"/>
              </w:rPr>
              <w:t>）您申请解除本附加合同；</w:t>
            </w:r>
          </w:p>
          <w:p>
            <w:pPr>
              <w:pStyle w:val="TableParagraph"/>
              <w:spacing w:before="20"/>
              <w:ind w:left="107"/>
              <w:rPr>
                <w:sz w:val="21"/>
              </w:rPr>
            </w:pPr>
            <w:r>
              <w:rPr>
                <w:sz w:val="21"/>
              </w:rPr>
              <w:t>（</w:t>
            </w:r>
            <w:r>
              <w:rPr>
                <w:rFonts w:ascii="Times New Roman" w:eastAsia="Times New Roman"/>
                <w:sz w:val="21"/>
              </w:rPr>
              <w:t>3</w:t>
            </w:r>
            <w:r>
              <w:rPr>
                <w:sz w:val="21"/>
              </w:rPr>
              <w:t>）因主合同条款或本附加合同其他条款所列情况而效力终止。</w:t>
            </w:r>
          </w:p>
        </w:tc>
      </w:tr>
      <w:tr>
        <w:trPr>
          <w:trHeight w:val="2273" w:hRule="atLeast"/>
        </w:trPr>
        <w:tc>
          <w:tcPr>
            <w:tcW w:w="794" w:type="dxa"/>
          </w:tcPr>
          <w:p>
            <w:pPr>
              <w:pStyle w:val="TableParagraph"/>
              <w:spacing w:before="92"/>
              <w:ind w:left="107"/>
              <w:rPr>
                <w:b/>
                <w:sz w:val="21"/>
              </w:rPr>
            </w:pPr>
            <w:r>
              <w:rPr>
                <w:b/>
                <w:sz w:val="21"/>
              </w:rPr>
              <w:t>9.3</w:t>
            </w:r>
          </w:p>
        </w:tc>
        <w:tc>
          <w:tcPr>
            <w:tcW w:w="1420" w:type="dxa"/>
          </w:tcPr>
          <w:p>
            <w:pPr>
              <w:pStyle w:val="TableParagraph"/>
              <w:spacing w:line="273" w:lineRule="auto" w:before="92"/>
              <w:ind w:left="262" w:right="107"/>
              <w:rPr>
                <w:b/>
                <w:sz w:val="21"/>
              </w:rPr>
            </w:pPr>
            <w:r>
              <w:rPr>
                <w:b/>
                <w:spacing w:val="-18"/>
                <w:sz w:val="21"/>
              </w:rPr>
              <w:t>适 用 主 合同条款</w:t>
            </w:r>
          </w:p>
        </w:tc>
        <w:tc>
          <w:tcPr>
            <w:tcW w:w="7871" w:type="dxa"/>
          </w:tcPr>
          <w:p>
            <w:pPr>
              <w:pStyle w:val="TableParagraph"/>
              <w:spacing w:before="92"/>
              <w:ind w:left="107"/>
              <w:rPr>
                <w:sz w:val="21"/>
              </w:rPr>
            </w:pPr>
            <w:r>
              <w:rPr>
                <w:sz w:val="21"/>
              </w:rPr>
              <w:t>下列各项条款，适用主合同条款：</w:t>
            </w:r>
          </w:p>
          <w:p>
            <w:pPr>
              <w:pStyle w:val="TableParagraph"/>
              <w:spacing w:before="36"/>
              <w:ind w:left="107"/>
              <w:rPr>
                <w:sz w:val="21"/>
              </w:rPr>
            </w:pPr>
            <w:r>
              <w:rPr>
                <w:sz w:val="21"/>
              </w:rPr>
              <w:t>（</w:t>
            </w:r>
            <w:r>
              <w:rPr>
                <w:rFonts w:ascii="Times New Roman" w:eastAsia="Times New Roman"/>
                <w:sz w:val="21"/>
              </w:rPr>
              <w:t>1</w:t>
            </w:r>
            <w:r>
              <w:rPr>
                <w:sz w:val="21"/>
              </w:rPr>
              <w:t>）保险事故通知；</w:t>
            </w:r>
          </w:p>
          <w:p>
            <w:pPr>
              <w:pStyle w:val="TableParagraph"/>
              <w:spacing w:before="20"/>
              <w:ind w:left="107"/>
              <w:rPr>
                <w:sz w:val="21"/>
              </w:rPr>
            </w:pPr>
            <w:r>
              <w:rPr>
                <w:sz w:val="21"/>
              </w:rPr>
              <w:t>（</w:t>
            </w:r>
            <w:r>
              <w:rPr>
                <w:rFonts w:ascii="Times New Roman" w:eastAsia="Times New Roman"/>
                <w:sz w:val="21"/>
              </w:rPr>
              <w:t>2</w:t>
            </w:r>
            <w:r>
              <w:rPr>
                <w:sz w:val="21"/>
              </w:rPr>
              <w:t>）未还款项；</w:t>
            </w:r>
          </w:p>
          <w:p>
            <w:pPr>
              <w:pStyle w:val="TableParagraph"/>
              <w:spacing w:before="20"/>
              <w:ind w:left="107"/>
              <w:rPr>
                <w:sz w:val="21"/>
              </w:rPr>
            </w:pPr>
            <w:r>
              <w:rPr>
                <w:sz w:val="21"/>
              </w:rPr>
              <w:t>（</w:t>
            </w:r>
            <w:r>
              <w:rPr>
                <w:rFonts w:ascii="Times New Roman" w:eastAsia="Times New Roman"/>
                <w:sz w:val="21"/>
              </w:rPr>
              <w:t>3</w:t>
            </w:r>
            <w:r>
              <w:rPr>
                <w:sz w:val="21"/>
              </w:rPr>
              <w:t>）合同内容变更；</w:t>
            </w:r>
          </w:p>
          <w:p>
            <w:pPr>
              <w:pStyle w:val="TableParagraph"/>
              <w:spacing w:before="21"/>
              <w:ind w:left="107"/>
              <w:rPr>
                <w:sz w:val="21"/>
              </w:rPr>
            </w:pPr>
            <w:r>
              <w:rPr>
                <w:sz w:val="21"/>
              </w:rPr>
              <w:t>（</w:t>
            </w:r>
            <w:r>
              <w:rPr>
                <w:rFonts w:ascii="Times New Roman" w:eastAsia="Times New Roman"/>
                <w:sz w:val="21"/>
              </w:rPr>
              <w:t>4</w:t>
            </w:r>
            <w:r>
              <w:rPr>
                <w:sz w:val="21"/>
              </w:rPr>
              <w:t>）联系方式变更；</w:t>
            </w:r>
          </w:p>
          <w:p>
            <w:pPr>
              <w:pStyle w:val="TableParagraph"/>
              <w:spacing w:before="21"/>
              <w:ind w:left="107"/>
              <w:rPr>
                <w:sz w:val="21"/>
              </w:rPr>
            </w:pPr>
            <w:r>
              <w:rPr>
                <w:sz w:val="21"/>
              </w:rPr>
              <w:t>（</w:t>
            </w:r>
            <w:r>
              <w:rPr>
                <w:rFonts w:ascii="Times New Roman" w:eastAsia="Times New Roman"/>
                <w:sz w:val="21"/>
              </w:rPr>
              <w:t>5</w:t>
            </w:r>
            <w:r>
              <w:rPr>
                <w:sz w:val="21"/>
              </w:rPr>
              <w:t>）争议处理。</w:t>
            </w:r>
          </w:p>
        </w:tc>
      </w:tr>
      <w:tr>
        <w:trPr>
          <w:trHeight w:val="781" w:hRule="atLeast"/>
        </w:trPr>
        <w:tc>
          <w:tcPr>
            <w:tcW w:w="794" w:type="dxa"/>
            <w:tcBorders>
              <w:bottom w:val="double" w:sz="1" w:space="0" w:color="000000"/>
            </w:tcBorders>
          </w:tcPr>
          <w:p>
            <w:pPr>
              <w:pStyle w:val="TableParagraph"/>
              <w:spacing w:before="243"/>
              <w:ind w:left="107"/>
              <w:rPr>
                <w:b/>
                <w:sz w:val="28"/>
              </w:rPr>
            </w:pPr>
            <w:r>
              <w:rPr>
                <w:b/>
                <w:sz w:val="28"/>
              </w:rPr>
              <w:t>10</w:t>
            </w:r>
          </w:p>
        </w:tc>
        <w:tc>
          <w:tcPr>
            <w:tcW w:w="1420" w:type="dxa"/>
            <w:tcBorders>
              <w:bottom w:val="double" w:sz="1" w:space="0" w:color="000000"/>
            </w:tcBorders>
          </w:tcPr>
          <w:p>
            <w:pPr>
              <w:pStyle w:val="TableParagraph"/>
              <w:spacing w:before="243"/>
              <w:ind w:left="262"/>
              <w:rPr>
                <w:b/>
                <w:sz w:val="28"/>
              </w:rPr>
            </w:pPr>
            <w:r>
              <w:rPr>
                <w:b/>
                <w:w w:val="95"/>
                <w:sz w:val="28"/>
              </w:rPr>
              <w:t>释义</w:t>
            </w:r>
          </w:p>
        </w:tc>
        <w:tc>
          <w:tcPr>
            <w:tcW w:w="7871" w:type="dxa"/>
            <w:tcBorders>
              <w:bottom w:val="double" w:sz="1" w:space="0" w:color="000000"/>
            </w:tcBorders>
          </w:tcPr>
          <w:p>
            <w:pPr>
              <w:pStyle w:val="TableParagraph"/>
              <w:rPr>
                <w:rFonts w:ascii="Times New Roman"/>
                <w:sz w:val="20"/>
              </w:rPr>
            </w:pPr>
          </w:p>
        </w:tc>
      </w:tr>
      <w:tr>
        <w:trPr>
          <w:trHeight w:val="583" w:hRule="atLeast"/>
        </w:trPr>
        <w:tc>
          <w:tcPr>
            <w:tcW w:w="10085" w:type="dxa"/>
            <w:gridSpan w:val="3"/>
            <w:tcBorders>
              <w:top w:val="double" w:sz="1" w:space="0" w:color="000000"/>
            </w:tcBorders>
          </w:tcPr>
          <w:p>
            <w:pPr>
              <w:pStyle w:val="TableParagraph"/>
              <w:spacing w:before="11"/>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493" w:hRule="atLeast"/>
        </w:trPr>
        <w:tc>
          <w:tcPr>
            <w:tcW w:w="794" w:type="dxa"/>
          </w:tcPr>
          <w:p>
            <w:pPr>
              <w:pStyle w:val="TableParagraph"/>
              <w:spacing w:before="82"/>
              <w:ind w:left="107"/>
              <w:rPr>
                <w:b/>
                <w:sz w:val="21"/>
              </w:rPr>
            </w:pPr>
            <w:r>
              <w:rPr>
                <w:b/>
                <w:sz w:val="21"/>
              </w:rPr>
              <w:t>10.1</w:t>
            </w:r>
          </w:p>
        </w:tc>
        <w:tc>
          <w:tcPr>
            <w:tcW w:w="1420" w:type="dxa"/>
          </w:tcPr>
          <w:p>
            <w:pPr>
              <w:pStyle w:val="TableParagraph"/>
              <w:spacing w:before="82"/>
              <w:ind w:left="262"/>
              <w:rPr>
                <w:b/>
                <w:sz w:val="21"/>
              </w:rPr>
            </w:pPr>
            <w:r>
              <w:rPr>
                <w:b/>
                <w:sz w:val="21"/>
              </w:rPr>
              <w:t>意外伤害</w:t>
            </w:r>
          </w:p>
        </w:tc>
        <w:tc>
          <w:tcPr>
            <w:tcW w:w="7871" w:type="dxa"/>
          </w:tcPr>
          <w:p>
            <w:pPr>
              <w:pStyle w:val="TableParagraph"/>
              <w:spacing w:before="61"/>
              <w:ind w:left="107"/>
              <w:rPr>
                <w:sz w:val="21"/>
              </w:rPr>
            </w:pPr>
            <w:r>
              <w:rPr>
                <w:sz w:val="21"/>
              </w:rPr>
              <w:t>指遭受外来的、突发的、非本意的、非疾病的客观事件直接致使身体受到的伤害。</w:t>
            </w:r>
          </w:p>
        </w:tc>
      </w:tr>
      <w:tr>
        <w:trPr>
          <w:trHeight w:val="1418" w:hRule="atLeast"/>
        </w:trPr>
        <w:tc>
          <w:tcPr>
            <w:tcW w:w="794" w:type="dxa"/>
          </w:tcPr>
          <w:p>
            <w:pPr>
              <w:pStyle w:val="TableParagraph"/>
              <w:spacing w:before="72"/>
              <w:ind w:left="107"/>
              <w:rPr>
                <w:b/>
                <w:sz w:val="21"/>
              </w:rPr>
            </w:pPr>
            <w:r>
              <w:rPr>
                <w:b/>
                <w:sz w:val="21"/>
              </w:rPr>
              <w:t>10.2</w:t>
            </w:r>
          </w:p>
        </w:tc>
        <w:tc>
          <w:tcPr>
            <w:tcW w:w="1420" w:type="dxa"/>
          </w:tcPr>
          <w:p>
            <w:pPr>
              <w:pStyle w:val="TableParagraph"/>
              <w:spacing w:line="273" w:lineRule="auto" w:before="72"/>
              <w:ind w:left="262" w:right="310"/>
              <w:rPr>
                <w:b/>
                <w:sz w:val="21"/>
              </w:rPr>
            </w:pPr>
            <w:r>
              <w:rPr>
                <w:b/>
                <w:sz w:val="21"/>
              </w:rPr>
              <w:t>我们认可的医院</w:t>
            </w:r>
          </w:p>
        </w:tc>
        <w:tc>
          <w:tcPr>
            <w:tcW w:w="7871" w:type="dxa"/>
          </w:tcPr>
          <w:p>
            <w:pPr>
              <w:pStyle w:val="TableParagraph"/>
              <w:spacing w:line="273" w:lineRule="auto" w:before="72"/>
              <w:ind w:left="107" w:right="110"/>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418" w:hRule="atLeast"/>
        </w:trPr>
        <w:tc>
          <w:tcPr>
            <w:tcW w:w="794" w:type="dxa"/>
          </w:tcPr>
          <w:p>
            <w:pPr>
              <w:pStyle w:val="TableParagraph"/>
              <w:spacing w:before="72"/>
              <w:ind w:left="107"/>
              <w:rPr>
                <w:b/>
                <w:sz w:val="21"/>
              </w:rPr>
            </w:pPr>
            <w:r>
              <w:rPr>
                <w:b/>
                <w:sz w:val="21"/>
              </w:rPr>
              <w:t>10.3</w:t>
            </w:r>
          </w:p>
        </w:tc>
        <w:tc>
          <w:tcPr>
            <w:tcW w:w="1420" w:type="dxa"/>
          </w:tcPr>
          <w:p>
            <w:pPr>
              <w:pStyle w:val="TableParagraph"/>
              <w:spacing w:before="72"/>
              <w:ind w:left="262"/>
              <w:rPr>
                <w:b/>
                <w:sz w:val="21"/>
              </w:rPr>
            </w:pPr>
            <w:r>
              <w:rPr>
                <w:b/>
                <w:sz w:val="21"/>
              </w:rPr>
              <w:t>专科医生</w:t>
            </w:r>
          </w:p>
        </w:tc>
        <w:tc>
          <w:tcPr>
            <w:tcW w:w="7871" w:type="dxa"/>
          </w:tcPr>
          <w:p>
            <w:pPr>
              <w:pStyle w:val="TableParagraph"/>
              <w:spacing w:line="273" w:lineRule="auto" w:before="72"/>
              <w:ind w:left="107" w:right="101"/>
              <w:jc w:val="both"/>
              <w:rPr>
                <w:sz w:val="21"/>
              </w:rPr>
            </w:pPr>
            <w:r>
              <w:rPr>
                <w:spacing w:val="-9"/>
                <w:w w:val="100"/>
                <w:sz w:val="21"/>
              </w:rPr>
              <w:t>专科医生应当同时满足以下四项资格条件：</w:t>
            </w:r>
            <w:r>
              <w:rPr>
                <w:w w:val="100"/>
                <w:sz w:val="21"/>
              </w:rPr>
              <w:t>（1</w:t>
            </w:r>
            <w:r>
              <w:rPr>
                <w:spacing w:val="-8"/>
                <w:w w:val="100"/>
                <w:sz w:val="21"/>
              </w:rPr>
              <w:t>）</w:t>
            </w:r>
            <w:r>
              <w:rPr>
                <w:spacing w:val="-4"/>
                <w:w w:val="100"/>
                <w:sz w:val="21"/>
              </w:rPr>
              <w:t>具有有效的中华人民共和国《</w:t>
            </w:r>
            <w:r>
              <w:rPr>
                <w:spacing w:val="0"/>
                <w:sz w:val="21"/>
              </w:rPr>
              <w:t> </w:t>
            </w:r>
            <w:r>
              <w:rPr>
                <w:w w:val="100"/>
                <w:sz w:val="21"/>
              </w:rPr>
              <w:t>医师</w:t>
            </w:r>
            <w:r>
              <w:rPr>
                <w:spacing w:val="-37"/>
                <w:w w:val="100"/>
                <w:sz w:val="21"/>
              </w:rPr>
              <w:t>资格证书》；</w:t>
            </w:r>
            <w:r>
              <w:rPr>
                <w:w w:val="100"/>
                <w:sz w:val="21"/>
              </w:rPr>
              <w:t>（</w:t>
            </w:r>
            <w:r>
              <w:rPr>
                <w:spacing w:val="-3"/>
                <w:w w:val="100"/>
                <w:sz w:val="21"/>
              </w:rPr>
              <w:t>2</w:t>
            </w:r>
            <w:r>
              <w:rPr>
                <w:spacing w:val="-5"/>
                <w:w w:val="100"/>
                <w:sz w:val="21"/>
              </w:rPr>
              <w:t>）</w:t>
            </w:r>
            <w:r>
              <w:rPr>
                <w:spacing w:val="-4"/>
                <w:w w:val="100"/>
                <w:sz w:val="21"/>
              </w:rPr>
              <w:t>具有有效的中华人民共和国《</w:t>
            </w:r>
            <w:r>
              <w:rPr>
                <w:sz w:val="21"/>
              </w:rPr>
              <w:t> </w:t>
            </w:r>
            <w:r>
              <w:rPr>
                <w:spacing w:val="-13"/>
                <w:w w:val="100"/>
                <w:sz w:val="21"/>
              </w:rPr>
              <w:t>医师执业证书》，并按期到相关部门</w:t>
            </w:r>
            <w:r>
              <w:rPr>
                <w:spacing w:val="-29"/>
                <w:w w:val="100"/>
                <w:sz w:val="21"/>
              </w:rPr>
              <w:t>登记注册；</w:t>
            </w:r>
            <w:r>
              <w:rPr>
                <w:spacing w:val="-2"/>
                <w:w w:val="100"/>
                <w:sz w:val="21"/>
              </w:rPr>
              <w:t>（</w:t>
            </w:r>
            <w:r>
              <w:rPr>
                <w:w w:val="100"/>
                <w:sz w:val="21"/>
              </w:rPr>
              <w:t>3</w:t>
            </w:r>
            <w:r>
              <w:rPr>
                <w:spacing w:val="-5"/>
                <w:w w:val="100"/>
                <w:sz w:val="21"/>
              </w:rPr>
              <w:t>）</w:t>
            </w:r>
            <w:r>
              <w:rPr>
                <w:spacing w:val="-4"/>
                <w:w w:val="100"/>
                <w:sz w:val="21"/>
              </w:rPr>
              <w:t>具有有效的中华人民共和国主治医师或主治医师以上职称的《</w:t>
            </w:r>
            <w:r>
              <w:rPr>
                <w:spacing w:val="0"/>
                <w:sz w:val="21"/>
              </w:rPr>
              <w:t> </w:t>
            </w:r>
            <w:r>
              <w:rPr>
                <w:w w:val="100"/>
                <w:sz w:val="21"/>
              </w:rPr>
              <w:t>医师</w:t>
            </w:r>
            <w:r>
              <w:rPr>
                <w:spacing w:val="-37"/>
                <w:w w:val="100"/>
                <w:sz w:val="21"/>
              </w:rPr>
              <w:t>职称证书》；</w:t>
            </w:r>
            <w:r>
              <w:rPr>
                <w:w w:val="100"/>
                <w:sz w:val="21"/>
              </w:rPr>
              <w:t>（</w:t>
            </w:r>
            <w:r>
              <w:rPr>
                <w:spacing w:val="-3"/>
                <w:w w:val="100"/>
                <w:sz w:val="21"/>
              </w:rPr>
              <w:t>4</w:t>
            </w:r>
            <w:r>
              <w:rPr>
                <w:w w:val="100"/>
                <w:sz w:val="21"/>
              </w:rPr>
              <w:t>）</w:t>
            </w:r>
            <w:r>
              <w:rPr>
                <w:spacing w:val="-3"/>
                <w:w w:val="100"/>
                <w:sz w:val="21"/>
              </w:rPr>
              <w:t>在二级或二级以上医院的相应科室从事临床工作三年以上。</w:t>
            </w:r>
          </w:p>
        </w:tc>
      </w:tr>
      <w:tr>
        <w:trPr>
          <w:trHeight w:val="1106" w:hRule="atLeast"/>
        </w:trPr>
        <w:tc>
          <w:tcPr>
            <w:tcW w:w="794" w:type="dxa"/>
          </w:tcPr>
          <w:p>
            <w:pPr>
              <w:pStyle w:val="TableParagraph"/>
              <w:spacing w:before="72"/>
              <w:ind w:left="107"/>
              <w:rPr>
                <w:b/>
                <w:sz w:val="21"/>
              </w:rPr>
            </w:pPr>
            <w:r>
              <w:rPr>
                <w:b/>
                <w:sz w:val="21"/>
              </w:rPr>
              <w:t>10.4</w:t>
            </w:r>
          </w:p>
        </w:tc>
        <w:tc>
          <w:tcPr>
            <w:tcW w:w="1420" w:type="dxa"/>
          </w:tcPr>
          <w:p>
            <w:pPr>
              <w:pStyle w:val="TableParagraph"/>
              <w:spacing w:before="72"/>
              <w:ind w:left="262"/>
              <w:rPr>
                <w:b/>
                <w:sz w:val="21"/>
              </w:rPr>
            </w:pPr>
            <w:r>
              <w:rPr>
                <w:b/>
                <w:sz w:val="21"/>
              </w:rPr>
              <w:t>毒品</w:t>
            </w:r>
          </w:p>
        </w:tc>
        <w:tc>
          <w:tcPr>
            <w:tcW w:w="7871" w:type="dxa"/>
          </w:tcPr>
          <w:p>
            <w:pPr>
              <w:pStyle w:val="TableParagraph"/>
              <w:spacing w:line="273" w:lineRule="auto" w:before="72"/>
              <w:ind w:left="107" w:right="102"/>
              <w:jc w:val="both"/>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17" w:hRule="atLeast"/>
        </w:trPr>
        <w:tc>
          <w:tcPr>
            <w:tcW w:w="794" w:type="dxa"/>
          </w:tcPr>
          <w:p>
            <w:pPr>
              <w:pStyle w:val="TableParagraph"/>
              <w:spacing w:before="72"/>
              <w:ind w:left="107"/>
              <w:rPr>
                <w:b/>
                <w:sz w:val="21"/>
              </w:rPr>
            </w:pPr>
            <w:r>
              <w:rPr>
                <w:b/>
                <w:sz w:val="21"/>
              </w:rPr>
              <w:t>10.5</w:t>
            </w:r>
          </w:p>
        </w:tc>
        <w:tc>
          <w:tcPr>
            <w:tcW w:w="1420" w:type="dxa"/>
          </w:tcPr>
          <w:p>
            <w:pPr>
              <w:pStyle w:val="TableParagraph"/>
              <w:spacing w:line="273" w:lineRule="auto" w:before="72"/>
              <w:ind w:left="262" w:right="107"/>
              <w:jc w:val="both"/>
              <w:rPr>
                <w:b/>
                <w:sz w:val="21"/>
              </w:rPr>
            </w:pPr>
            <w:r>
              <w:rPr>
                <w:b/>
                <w:spacing w:val="-18"/>
                <w:sz w:val="21"/>
              </w:rPr>
              <w:t>患 艾 滋 病</w:t>
            </w:r>
            <w:r>
              <w:rPr>
                <w:b/>
                <w:spacing w:val="-21"/>
                <w:sz w:val="21"/>
              </w:rPr>
              <w:t>或 感 染 艾滋病病毒</w:t>
            </w:r>
          </w:p>
        </w:tc>
        <w:tc>
          <w:tcPr>
            <w:tcW w:w="7871" w:type="dxa"/>
          </w:tcPr>
          <w:p>
            <w:pPr>
              <w:pStyle w:val="TableParagraph"/>
              <w:spacing w:line="273" w:lineRule="auto" w:before="72"/>
              <w:ind w:left="107" w:right="101"/>
              <w:rPr>
                <w:sz w:val="21"/>
              </w:rPr>
            </w:pPr>
            <w:r>
              <w:rPr>
                <w:spacing w:val="-7"/>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73" w:lineRule="auto" w:before="8"/>
              <w:ind w:left="107" w:right="1"/>
              <w:rPr>
                <w:sz w:val="21"/>
              </w:rPr>
            </w:pPr>
            <w:r>
              <w:rPr>
                <w:sz w:val="21"/>
              </w:rPr>
              <w:t>在人体血液或其他样本中检测到艾滋病病毒或其抗体呈阳性，没有出现临床症状或</w:t>
            </w:r>
            <w:r>
              <w:rPr>
                <w:spacing w:val="-5"/>
                <w:sz w:val="21"/>
              </w:rPr>
              <w:t>体征的，为感染艾滋病病毒；如果同时出现了明显临床症状或体征的，为患艾滋病。</w:t>
            </w:r>
          </w:p>
        </w:tc>
      </w:tr>
      <w:tr>
        <w:trPr>
          <w:trHeight w:val="793" w:hRule="atLeast"/>
        </w:trPr>
        <w:tc>
          <w:tcPr>
            <w:tcW w:w="794" w:type="dxa"/>
          </w:tcPr>
          <w:p>
            <w:pPr>
              <w:pStyle w:val="TableParagraph"/>
              <w:spacing w:before="70"/>
              <w:ind w:left="107"/>
              <w:rPr>
                <w:b/>
                <w:sz w:val="21"/>
              </w:rPr>
            </w:pPr>
            <w:r>
              <w:rPr>
                <w:b/>
                <w:sz w:val="21"/>
              </w:rPr>
              <w:t>10.6</w:t>
            </w:r>
          </w:p>
        </w:tc>
        <w:tc>
          <w:tcPr>
            <w:tcW w:w="1420" w:type="dxa"/>
          </w:tcPr>
          <w:p>
            <w:pPr>
              <w:pStyle w:val="TableParagraph"/>
              <w:spacing w:line="273" w:lineRule="auto" w:before="70"/>
              <w:ind w:left="262" w:right="107"/>
              <w:rPr>
                <w:b/>
                <w:sz w:val="21"/>
              </w:rPr>
            </w:pPr>
            <w:r>
              <w:rPr>
                <w:b/>
                <w:spacing w:val="-18"/>
                <w:sz w:val="21"/>
              </w:rPr>
              <w:t>遗 传 性 疾病</w:t>
            </w:r>
          </w:p>
        </w:tc>
        <w:tc>
          <w:tcPr>
            <w:tcW w:w="7871" w:type="dxa"/>
          </w:tcPr>
          <w:p>
            <w:pPr>
              <w:pStyle w:val="TableParagraph"/>
              <w:spacing w:line="273" w:lineRule="auto" w:before="70"/>
              <w:ind w:left="107" w:right="110"/>
              <w:rPr>
                <w:sz w:val="21"/>
              </w:rPr>
            </w:pPr>
            <w:r>
              <w:rPr>
                <w:sz w:val="21"/>
              </w:rPr>
              <w:t>指生殖细胞或受精卵的遗传物质（染色体和基因）发生突变或畸变所引起的疾病， 通常具有由亲代传至后代的垂直传递的特征。</w:t>
            </w:r>
          </w:p>
        </w:tc>
      </w:tr>
      <w:tr>
        <w:trPr>
          <w:trHeight w:val="970" w:hRule="atLeast"/>
        </w:trPr>
        <w:tc>
          <w:tcPr>
            <w:tcW w:w="794" w:type="dxa"/>
          </w:tcPr>
          <w:p>
            <w:pPr>
              <w:pStyle w:val="TableParagraph"/>
              <w:spacing w:before="71"/>
              <w:ind w:left="107"/>
              <w:rPr>
                <w:b/>
                <w:sz w:val="21"/>
              </w:rPr>
            </w:pPr>
            <w:r>
              <w:rPr>
                <w:b/>
                <w:sz w:val="21"/>
              </w:rPr>
              <w:t>10.7</w:t>
            </w:r>
          </w:p>
        </w:tc>
        <w:tc>
          <w:tcPr>
            <w:tcW w:w="1420" w:type="dxa"/>
          </w:tcPr>
          <w:p>
            <w:pPr>
              <w:pStyle w:val="TableParagraph"/>
              <w:spacing w:line="310" w:lineRule="atLeast" w:before="36"/>
              <w:ind w:left="262" w:right="64"/>
              <w:rPr>
                <w:b/>
                <w:sz w:val="21"/>
              </w:rPr>
            </w:pPr>
            <w:r>
              <w:rPr>
                <w:b/>
                <w:sz w:val="21"/>
              </w:rPr>
              <w:t>先天性畸形、变形或染色体异</w:t>
            </w:r>
          </w:p>
        </w:tc>
        <w:tc>
          <w:tcPr>
            <w:tcW w:w="7871" w:type="dxa"/>
          </w:tcPr>
          <w:p>
            <w:pPr>
              <w:pStyle w:val="TableParagraph"/>
              <w:spacing w:line="273" w:lineRule="auto" w:before="71"/>
              <w:ind w:left="107" w:right="103"/>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bl>
    <w:p>
      <w:pPr>
        <w:spacing w:after="0" w:line="273" w:lineRule="auto"/>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366"/>
        <w:gridCol w:w="730"/>
        <w:gridCol w:w="3101"/>
        <w:gridCol w:w="4237"/>
      </w:tblGrid>
      <w:tr>
        <w:trPr>
          <w:trHeight w:val="346" w:hRule="atLeast"/>
        </w:trPr>
        <w:tc>
          <w:tcPr>
            <w:tcW w:w="938" w:type="dxa"/>
          </w:tcPr>
          <w:p>
            <w:pPr>
              <w:pStyle w:val="TableParagraph"/>
              <w:rPr>
                <w:rFonts w:ascii="Times New Roman"/>
                <w:sz w:val="20"/>
              </w:rPr>
            </w:pPr>
          </w:p>
        </w:tc>
        <w:tc>
          <w:tcPr>
            <w:tcW w:w="1366" w:type="dxa"/>
          </w:tcPr>
          <w:p>
            <w:pPr>
              <w:pStyle w:val="TableParagraph"/>
              <w:spacing w:line="211" w:lineRule="exact"/>
              <w:ind w:left="210"/>
              <w:rPr>
                <w:b/>
                <w:sz w:val="21"/>
              </w:rPr>
            </w:pPr>
            <w:r>
              <w:rPr>
                <w:b/>
                <w:w w:val="100"/>
                <w:sz w:val="21"/>
              </w:rPr>
              <w:t>常</w:t>
            </w:r>
          </w:p>
        </w:tc>
        <w:tc>
          <w:tcPr>
            <w:tcW w:w="730" w:type="dxa"/>
          </w:tcPr>
          <w:p>
            <w:pPr>
              <w:pStyle w:val="TableParagraph"/>
              <w:rPr>
                <w:rFonts w:ascii="Times New Roman"/>
                <w:sz w:val="20"/>
              </w:rPr>
            </w:pPr>
          </w:p>
        </w:tc>
        <w:tc>
          <w:tcPr>
            <w:tcW w:w="3101" w:type="dxa"/>
          </w:tcPr>
          <w:p>
            <w:pPr>
              <w:pStyle w:val="TableParagraph"/>
              <w:rPr>
                <w:rFonts w:ascii="Times New Roman"/>
                <w:sz w:val="20"/>
              </w:rPr>
            </w:pPr>
          </w:p>
        </w:tc>
        <w:tc>
          <w:tcPr>
            <w:tcW w:w="4237" w:type="dxa"/>
          </w:tcPr>
          <w:p>
            <w:pPr>
              <w:pStyle w:val="TableParagraph"/>
              <w:rPr>
                <w:rFonts w:ascii="Times New Roman"/>
                <w:sz w:val="20"/>
              </w:rPr>
            </w:pPr>
          </w:p>
        </w:tc>
      </w:tr>
      <w:tr>
        <w:trPr>
          <w:trHeight w:val="1418" w:hRule="atLeast"/>
        </w:trPr>
        <w:tc>
          <w:tcPr>
            <w:tcW w:w="938" w:type="dxa"/>
          </w:tcPr>
          <w:p>
            <w:pPr>
              <w:pStyle w:val="TableParagraph"/>
              <w:spacing w:before="72"/>
              <w:ind w:left="200"/>
              <w:rPr>
                <w:b/>
                <w:sz w:val="21"/>
              </w:rPr>
            </w:pPr>
            <w:r>
              <w:rPr>
                <w:b/>
                <w:sz w:val="21"/>
              </w:rPr>
              <w:t>10.8</w:t>
            </w:r>
          </w:p>
        </w:tc>
        <w:tc>
          <w:tcPr>
            <w:tcW w:w="1366" w:type="dxa"/>
          </w:tcPr>
          <w:p>
            <w:pPr>
              <w:pStyle w:val="TableParagraph"/>
              <w:spacing w:line="273" w:lineRule="auto" w:before="72"/>
              <w:ind w:left="210" w:right="105"/>
              <w:jc w:val="both"/>
              <w:rPr>
                <w:b/>
                <w:sz w:val="21"/>
              </w:rPr>
            </w:pPr>
            <w:r>
              <w:rPr>
                <w:b/>
                <w:spacing w:val="-18"/>
                <w:sz w:val="21"/>
              </w:rPr>
              <w:t>六 项 基 本</w:t>
            </w:r>
            <w:r>
              <w:rPr>
                <w:b/>
                <w:spacing w:val="-21"/>
                <w:sz w:val="21"/>
              </w:rPr>
              <w:t>日 常 生 活活动</w:t>
            </w:r>
          </w:p>
        </w:tc>
        <w:tc>
          <w:tcPr>
            <w:tcW w:w="8068" w:type="dxa"/>
            <w:gridSpan w:val="3"/>
          </w:tcPr>
          <w:p>
            <w:pPr>
              <w:pStyle w:val="TableParagraph"/>
              <w:spacing w:line="273" w:lineRule="auto" w:before="72"/>
              <w:ind w:left="109" w:right="299"/>
              <w:jc w:val="both"/>
              <w:rPr>
                <w:sz w:val="21"/>
              </w:rPr>
            </w:pPr>
            <w:r>
              <w:rPr>
                <w:spacing w:val="-8"/>
                <w:w w:val="100"/>
                <w:sz w:val="21"/>
              </w:rPr>
              <w:t>六项基本日常生活活动是指：</w:t>
            </w:r>
            <w:r>
              <w:rPr>
                <w:spacing w:val="5"/>
                <w:w w:val="100"/>
                <w:sz w:val="21"/>
              </w:rPr>
              <w:t>（</w:t>
            </w:r>
            <w:r>
              <w:rPr>
                <w:w w:val="100"/>
                <w:sz w:val="21"/>
              </w:rPr>
              <w:t>1</w:t>
            </w:r>
            <w:r>
              <w:rPr>
                <w:spacing w:val="1"/>
                <w:w w:val="100"/>
                <w:sz w:val="21"/>
              </w:rPr>
              <w:t>）</w:t>
            </w:r>
            <w:r>
              <w:rPr>
                <w:spacing w:val="-9"/>
                <w:w w:val="100"/>
                <w:sz w:val="21"/>
              </w:rPr>
              <w:t>穿衣：自己能够穿衣及脱衣；</w:t>
            </w:r>
            <w:r>
              <w:rPr>
                <w:spacing w:val="5"/>
                <w:w w:val="100"/>
                <w:sz w:val="21"/>
              </w:rPr>
              <w:t>（</w:t>
            </w:r>
            <w:r>
              <w:rPr>
                <w:w w:val="100"/>
                <w:sz w:val="21"/>
              </w:rPr>
              <w:t>2</w:t>
            </w:r>
            <w:r>
              <w:rPr>
                <w:spacing w:val="1"/>
                <w:w w:val="100"/>
                <w:sz w:val="21"/>
              </w:rPr>
              <w:t>）</w:t>
            </w:r>
            <w:r>
              <w:rPr>
                <w:w w:val="100"/>
                <w:sz w:val="21"/>
              </w:rPr>
              <w:t>移动：自己从</w:t>
            </w:r>
            <w:r>
              <w:rPr>
                <w:spacing w:val="-10"/>
                <w:w w:val="100"/>
                <w:sz w:val="21"/>
              </w:rPr>
              <w:t>一个房间到另一个房间；</w:t>
            </w:r>
            <w:r>
              <w:rPr>
                <w:spacing w:val="1"/>
                <w:w w:val="100"/>
                <w:sz w:val="21"/>
              </w:rPr>
              <w:t>（3）</w:t>
            </w:r>
            <w:r>
              <w:rPr>
                <w:spacing w:val="-8"/>
                <w:w w:val="100"/>
                <w:sz w:val="21"/>
              </w:rPr>
              <w:t>行动：自己上下床或上下轮椅；</w:t>
            </w:r>
            <w:r>
              <w:rPr>
                <w:spacing w:val="5"/>
                <w:w w:val="100"/>
                <w:sz w:val="21"/>
              </w:rPr>
              <w:t>（</w:t>
            </w:r>
            <w:r>
              <w:rPr>
                <w:w w:val="100"/>
                <w:sz w:val="21"/>
              </w:rPr>
              <w:t>4</w:t>
            </w:r>
            <w:r>
              <w:rPr>
                <w:spacing w:val="1"/>
                <w:w w:val="100"/>
                <w:sz w:val="21"/>
              </w:rPr>
              <w:t>）</w:t>
            </w:r>
            <w:r>
              <w:rPr>
                <w:w w:val="100"/>
                <w:sz w:val="21"/>
              </w:rPr>
              <w:t>如厕：自己控制</w:t>
            </w:r>
            <w:r>
              <w:rPr>
                <w:spacing w:val="-18"/>
                <w:w w:val="100"/>
                <w:sz w:val="21"/>
              </w:rPr>
              <w:t>进行大小便；</w:t>
            </w:r>
            <w:r>
              <w:rPr>
                <w:spacing w:val="1"/>
                <w:w w:val="100"/>
                <w:sz w:val="21"/>
              </w:rPr>
              <w:t>（</w:t>
            </w:r>
            <w:r>
              <w:rPr>
                <w:w w:val="100"/>
                <w:sz w:val="21"/>
              </w:rPr>
              <w:t>5</w:t>
            </w:r>
            <w:r>
              <w:rPr>
                <w:spacing w:val="1"/>
                <w:w w:val="100"/>
                <w:sz w:val="21"/>
              </w:rPr>
              <w:t>）</w:t>
            </w:r>
            <w:r>
              <w:rPr>
                <w:spacing w:val="-5"/>
                <w:w w:val="100"/>
                <w:sz w:val="21"/>
              </w:rPr>
              <w:t>进食：自己从已准备好的碗或碟中取食物放入口中；</w:t>
            </w:r>
            <w:r>
              <w:rPr>
                <w:spacing w:val="6"/>
                <w:w w:val="100"/>
                <w:sz w:val="21"/>
              </w:rPr>
              <w:t>（</w:t>
            </w:r>
            <w:r>
              <w:rPr>
                <w:w w:val="100"/>
                <w:sz w:val="21"/>
              </w:rPr>
              <w:t>6）洗澡：</w:t>
            </w:r>
            <w:r>
              <w:rPr>
                <w:spacing w:val="-3"/>
                <w:sz w:val="21"/>
              </w:rPr>
              <w:t>自己进行淋浴或盆浴。</w:t>
            </w:r>
          </w:p>
        </w:tc>
      </w:tr>
      <w:tr>
        <w:trPr>
          <w:trHeight w:val="796" w:hRule="atLeast"/>
        </w:trPr>
        <w:tc>
          <w:tcPr>
            <w:tcW w:w="938" w:type="dxa"/>
          </w:tcPr>
          <w:p>
            <w:pPr>
              <w:pStyle w:val="TableParagraph"/>
              <w:spacing w:before="72"/>
              <w:ind w:left="200"/>
              <w:rPr>
                <w:b/>
                <w:sz w:val="21"/>
              </w:rPr>
            </w:pPr>
            <w:r>
              <w:rPr>
                <w:b/>
                <w:sz w:val="21"/>
              </w:rPr>
              <w:t>10.9</w:t>
            </w:r>
          </w:p>
        </w:tc>
        <w:tc>
          <w:tcPr>
            <w:tcW w:w="1366" w:type="dxa"/>
          </w:tcPr>
          <w:p>
            <w:pPr>
              <w:pStyle w:val="TableParagraph"/>
              <w:spacing w:line="273" w:lineRule="auto" w:before="72"/>
              <w:ind w:left="210" w:right="105"/>
              <w:rPr>
                <w:b/>
                <w:sz w:val="21"/>
              </w:rPr>
            </w:pPr>
            <w:r>
              <w:rPr>
                <w:b/>
                <w:spacing w:val="-18"/>
                <w:sz w:val="21"/>
              </w:rPr>
              <w:t>肢 体 机 能完全丧失</w:t>
            </w:r>
          </w:p>
        </w:tc>
        <w:tc>
          <w:tcPr>
            <w:tcW w:w="8068" w:type="dxa"/>
            <w:gridSpan w:val="3"/>
          </w:tcPr>
          <w:p>
            <w:pPr>
              <w:pStyle w:val="TableParagraph"/>
              <w:spacing w:line="273" w:lineRule="auto" w:before="72"/>
              <w:ind w:left="109" w:right="305"/>
              <w:rPr>
                <w:sz w:val="21"/>
              </w:rPr>
            </w:pPr>
            <w:r>
              <w:rPr>
                <w:sz w:val="21"/>
              </w:rPr>
              <w:t>指肢体的三大关节中的两大关节僵硬，或不能随意识活动。肢体是指包括肩关节的整个上肢或包括髋关节的整个下肢。</w:t>
            </w:r>
          </w:p>
        </w:tc>
      </w:tr>
      <w:tr>
        <w:trPr>
          <w:trHeight w:val="1420" w:hRule="atLeast"/>
        </w:trPr>
        <w:tc>
          <w:tcPr>
            <w:tcW w:w="938" w:type="dxa"/>
          </w:tcPr>
          <w:p>
            <w:pPr>
              <w:pStyle w:val="TableParagraph"/>
              <w:spacing w:before="74"/>
              <w:ind w:left="200"/>
              <w:rPr>
                <w:b/>
                <w:sz w:val="21"/>
              </w:rPr>
            </w:pPr>
            <w:r>
              <w:rPr>
                <w:b/>
                <w:sz w:val="21"/>
              </w:rPr>
              <w:t>10.10</w:t>
            </w:r>
          </w:p>
        </w:tc>
        <w:tc>
          <w:tcPr>
            <w:tcW w:w="1366" w:type="dxa"/>
          </w:tcPr>
          <w:p>
            <w:pPr>
              <w:pStyle w:val="TableParagraph"/>
              <w:spacing w:line="273" w:lineRule="auto" w:before="74"/>
              <w:ind w:left="210" w:right="105"/>
              <w:jc w:val="both"/>
              <w:rPr>
                <w:b/>
                <w:sz w:val="21"/>
              </w:rPr>
            </w:pPr>
            <w:r>
              <w:rPr>
                <w:b/>
                <w:spacing w:val="-18"/>
                <w:sz w:val="21"/>
              </w:rPr>
              <w:t>语 言 能 力</w:t>
            </w:r>
            <w:r>
              <w:rPr>
                <w:b/>
                <w:spacing w:val="-21"/>
                <w:sz w:val="21"/>
              </w:rPr>
              <w:t>或 咀 嚼 吞咽 能 力 完全丧失</w:t>
            </w:r>
          </w:p>
        </w:tc>
        <w:tc>
          <w:tcPr>
            <w:tcW w:w="8068" w:type="dxa"/>
            <w:gridSpan w:val="3"/>
          </w:tcPr>
          <w:p>
            <w:pPr>
              <w:pStyle w:val="TableParagraph"/>
              <w:spacing w:line="273" w:lineRule="auto" w:before="74"/>
              <w:ind w:left="109" w:right="152"/>
              <w:rPr>
                <w:sz w:val="21"/>
              </w:rPr>
            </w:pPr>
            <w:r>
              <w:rPr>
                <w:sz w:val="21"/>
              </w:rPr>
              <w:t>语言能力完全丧失，指无法发出四种语音（包括口唇音、齿舌音、口盖音和喉头音） 中的任何三种、或声带全部切除，或因大脑语言中枢受伤害而患失语症。</w:t>
            </w:r>
          </w:p>
          <w:p>
            <w:pPr>
              <w:pStyle w:val="TableParagraph"/>
              <w:spacing w:line="273" w:lineRule="auto" w:before="7"/>
              <w:ind w:left="109" w:right="305"/>
              <w:rPr>
                <w:sz w:val="21"/>
              </w:rPr>
            </w:pPr>
            <w:r>
              <w:rPr>
                <w:sz w:val="21"/>
              </w:rPr>
              <w:t>咀嚼吞咽能力完全丧失，指因牙齿以外的原因导致器质障碍或机能障碍，以致不能作咀嚼吞咽运动，除流质食物外不能摄取或吞咽的状态。</w:t>
            </w:r>
          </w:p>
        </w:tc>
      </w:tr>
      <w:tr>
        <w:trPr>
          <w:trHeight w:val="822" w:hRule="atLeast"/>
        </w:trPr>
        <w:tc>
          <w:tcPr>
            <w:tcW w:w="938" w:type="dxa"/>
          </w:tcPr>
          <w:p>
            <w:pPr>
              <w:pStyle w:val="TableParagraph"/>
              <w:spacing w:before="72"/>
              <w:ind w:left="200"/>
              <w:rPr>
                <w:b/>
                <w:sz w:val="21"/>
              </w:rPr>
            </w:pPr>
            <w:r>
              <w:rPr>
                <w:b/>
                <w:sz w:val="21"/>
              </w:rPr>
              <w:t>10.11</w:t>
            </w:r>
          </w:p>
        </w:tc>
        <w:tc>
          <w:tcPr>
            <w:tcW w:w="1366" w:type="dxa"/>
          </w:tcPr>
          <w:p>
            <w:pPr>
              <w:pStyle w:val="TableParagraph"/>
              <w:spacing w:line="273" w:lineRule="auto" w:before="72"/>
              <w:ind w:left="210" w:right="105"/>
              <w:rPr>
                <w:b/>
                <w:sz w:val="21"/>
              </w:rPr>
            </w:pPr>
            <w:r>
              <w:rPr>
                <w:b/>
                <w:spacing w:val="-18"/>
                <w:sz w:val="21"/>
              </w:rPr>
              <w:t>永 久 不 可逆</w:t>
            </w:r>
          </w:p>
        </w:tc>
        <w:tc>
          <w:tcPr>
            <w:tcW w:w="8068" w:type="dxa"/>
            <w:gridSpan w:val="3"/>
          </w:tcPr>
          <w:p>
            <w:pPr>
              <w:pStyle w:val="TableParagraph"/>
              <w:spacing w:line="273" w:lineRule="auto" w:before="72"/>
              <w:ind w:left="109" w:right="254"/>
              <w:rPr>
                <w:sz w:val="21"/>
              </w:rPr>
            </w:pPr>
            <w:r>
              <w:rPr>
                <w:sz w:val="21"/>
              </w:rPr>
              <w:t>指自疾病确诊或意外伤害发生之日起，经过积极治疗 180 天后，仍无法通过现有医疗手段恢复。</w:t>
            </w:r>
          </w:p>
        </w:tc>
      </w:tr>
      <w:tr>
        <w:trPr>
          <w:trHeight w:val="1678" w:hRule="atLeast"/>
        </w:trPr>
        <w:tc>
          <w:tcPr>
            <w:tcW w:w="938" w:type="dxa"/>
          </w:tcPr>
          <w:p>
            <w:pPr>
              <w:pStyle w:val="TableParagraph"/>
              <w:spacing w:before="99"/>
              <w:ind w:left="200"/>
              <w:rPr>
                <w:b/>
                <w:sz w:val="21"/>
              </w:rPr>
            </w:pPr>
            <w:r>
              <w:rPr>
                <w:b/>
                <w:sz w:val="21"/>
              </w:rPr>
              <w:t>10.12</w:t>
            </w:r>
          </w:p>
        </w:tc>
        <w:tc>
          <w:tcPr>
            <w:tcW w:w="1366" w:type="dxa"/>
          </w:tcPr>
          <w:p>
            <w:pPr>
              <w:pStyle w:val="TableParagraph"/>
              <w:spacing w:before="99"/>
              <w:ind w:left="210"/>
              <w:rPr>
                <w:b/>
                <w:sz w:val="21"/>
              </w:rPr>
            </w:pPr>
            <w:r>
              <w:rPr>
                <w:b/>
                <w:sz w:val="21"/>
              </w:rPr>
              <w:t>危险保额</w:t>
            </w:r>
          </w:p>
        </w:tc>
        <w:tc>
          <w:tcPr>
            <w:tcW w:w="3831" w:type="dxa"/>
            <w:gridSpan w:val="2"/>
          </w:tcPr>
          <w:p>
            <w:pPr>
              <w:pStyle w:val="TableParagraph"/>
              <w:spacing w:line="273" w:lineRule="auto" w:before="99"/>
              <w:ind w:left="109" w:right="619"/>
              <w:rPr>
                <w:sz w:val="21"/>
              </w:rPr>
            </w:pPr>
            <w:r>
              <w:rPr>
                <w:spacing w:val="-3"/>
                <w:sz w:val="21"/>
              </w:rPr>
              <w:t>轻症重疾保险金的危险保额为： </w:t>
            </w:r>
            <w:r>
              <w:rPr>
                <w:spacing w:val="-6"/>
                <w:sz w:val="21"/>
              </w:rPr>
              <w:t>本附加合同基本保险金额的 </w:t>
            </w:r>
            <w:r>
              <w:rPr>
                <w:sz w:val="21"/>
              </w:rPr>
              <w:t>20%。</w:t>
            </w:r>
            <w:r>
              <w:rPr>
                <w:spacing w:val="-3"/>
                <w:sz w:val="21"/>
              </w:rPr>
              <w:t>重大疾病保险金的危险保额为： 指结算日零时以下两项的差：</w:t>
            </w:r>
          </w:p>
          <w:p>
            <w:pPr>
              <w:pStyle w:val="TableParagraph"/>
              <w:spacing w:before="7"/>
              <w:ind w:left="109"/>
              <w:rPr>
                <w:sz w:val="21"/>
              </w:rPr>
            </w:pPr>
            <w:r>
              <w:rPr>
                <w:sz w:val="21"/>
              </w:rPr>
              <w:t>（1）本附加合同重大疾病保险金额；</w:t>
            </w:r>
          </w:p>
        </w:tc>
        <w:tc>
          <w:tcPr>
            <w:tcW w:w="4237" w:type="dxa"/>
          </w:tcPr>
          <w:p>
            <w:pPr>
              <w:pStyle w:val="TableParagraph"/>
              <w:rPr>
                <w:rFonts w:ascii="Times New Roman"/>
                <w:sz w:val="20"/>
              </w:rPr>
            </w:pPr>
          </w:p>
        </w:tc>
      </w:tr>
      <w:tr>
        <w:trPr>
          <w:trHeight w:val="316" w:hRule="atLeast"/>
        </w:trPr>
        <w:tc>
          <w:tcPr>
            <w:tcW w:w="938" w:type="dxa"/>
          </w:tcPr>
          <w:p>
            <w:pPr>
              <w:pStyle w:val="TableParagraph"/>
              <w:rPr>
                <w:rFonts w:ascii="Times New Roman"/>
                <w:sz w:val="20"/>
              </w:rPr>
            </w:pPr>
          </w:p>
        </w:tc>
        <w:tc>
          <w:tcPr>
            <w:tcW w:w="1366" w:type="dxa"/>
          </w:tcPr>
          <w:p>
            <w:pPr>
              <w:pStyle w:val="TableParagraph"/>
              <w:rPr>
                <w:rFonts w:ascii="Times New Roman"/>
                <w:sz w:val="20"/>
              </w:rPr>
            </w:pPr>
          </w:p>
        </w:tc>
        <w:tc>
          <w:tcPr>
            <w:tcW w:w="730" w:type="dxa"/>
            <w:vMerge w:val="restart"/>
          </w:tcPr>
          <w:p>
            <w:pPr>
              <w:pStyle w:val="TableParagraph"/>
              <w:spacing w:before="148"/>
              <w:ind w:left="109"/>
              <w:rPr>
                <w:sz w:val="21"/>
              </w:rPr>
            </w:pPr>
            <w:r>
              <w:rPr>
                <w:sz w:val="21"/>
              </w:rPr>
              <w:t>（2）</w:t>
            </w:r>
          </w:p>
        </w:tc>
        <w:tc>
          <w:tcPr>
            <w:tcW w:w="3101" w:type="dxa"/>
            <w:tcBorders>
              <w:bottom w:val="single" w:sz="4" w:space="0" w:color="000000"/>
            </w:tcBorders>
          </w:tcPr>
          <w:p>
            <w:pPr>
              <w:pStyle w:val="TableParagraph"/>
              <w:spacing w:line="267" w:lineRule="exact"/>
              <w:ind w:left="168" w:right="163"/>
              <w:jc w:val="center"/>
              <w:rPr>
                <w:sz w:val="21"/>
              </w:rPr>
            </w:pPr>
            <w:r>
              <w:rPr>
                <w:sz w:val="21"/>
              </w:rPr>
              <w:t>本附加合同重大疾病保险金额</w:t>
            </w:r>
          </w:p>
        </w:tc>
        <w:tc>
          <w:tcPr>
            <w:tcW w:w="4237" w:type="dxa"/>
            <w:vMerge w:val="restart"/>
          </w:tcPr>
          <w:p>
            <w:pPr>
              <w:pStyle w:val="TableParagraph"/>
              <w:spacing w:before="148"/>
              <w:ind w:left="109"/>
              <w:rPr>
                <w:sz w:val="21"/>
              </w:rPr>
            </w:pPr>
            <w:r>
              <w:rPr>
                <w:sz w:val="21"/>
              </w:rPr>
              <w:t>×主合同个人账户价值。</w:t>
            </w:r>
          </w:p>
        </w:tc>
      </w:tr>
      <w:tr>
        <w:trPr>
          <w:trHeight w:val="262" w:hRule="atLeast"/>
        </w:trPr>
        <w:tc>
          <w:tcPr>
            <w:tcW w:w="938" w:type="dxa"/>
          </w:tcPr>
          <w:p>
            <w:pPr>
              <w:pStyle w:val="TableParagraph"/>
              <w:rPr>
                <w:rFonts w:ascii="Times New Roman"/>
                <w:sz w:val="18"/>
              </w:rPr>
            </w:pPr>
          </w:p>
        </w:tc>
        <w:tc>
          <w:tcPr>
            <w:tcW w:w="1366" w:type="dxa"/>
          </w:tcPr>
          <w:p>
            <w:pPr>
              <w:pStyle w:val="TableParagraph"/>
              <w:rPr>
                <w:rFonts w:ascii="Times New Roman"/>
                <w:sz w:val="18"/>
              </w:rPr>
            </w:pPr>
          </w:p>
        </w:tc>
        <w:tc>
          <w:tcPr>
            <w:tcW w:w="730" w:type="dxa"/>
            <w:vMerge/>
            <w:tcBorders>
              <w:top w:val="nil"/>
            </w:tcBorders>
          </w:tcPr>
          <w:p>
            <w:pPr>
              <w:rPr>
                <w:sz w:val="2"/>
                <w:szCs w:val="2"/>
              </w:rPr>
            </w:pPr>
          </w:p>
        </w:tc>
        <w:tc>
          <w:tcPr>
            <w:tcW w:w="3101" w:type="dxa"/>
            <w:tcBorders>
              <w:top w:val="single" w:sz="4" w:space="0" w:color="000000"/>
            </w:tcBorders>
          </w:tcPr>
          <w:p>
            <w:pPr>
              <w:pStyle w:val="TableParagraph"/>
              <w:spacing w:line="242" w:lineRule="exact"/>
              <w:ind w:left="165" w:right="163"/>
              <w:jc w:val="center"/>
              <w:rPr>
                <w:sz w:val="21"/>
              </w:rPr>
            </w:pPr>
            <w:r>
              <w:rPr>
                <w:sz w:val="21"/>
              </w:rPr>
              <w:t>主合同保险金额</w:t>
            </w:r>
          </w:p>
        </w:tc>
        <w:tc>
          <w:tcPr>
            <w:tcW w:w="4237" w:type="dxa"/>
            <w:vMerge/>
            <w:tcBorders>
              <w:top w:val="nil"/>
            </w:tcBorders>
          </w:tcPr>
          <w:p>
            <w:pPr>
              <w:rPr>
                <w:sz w:val="2"/>
                <w:szCs w:val="2"/>
              </w:rPr>
            </w:pPr>
          </w:p>
        </w:tc>
      </w:tr>
    </w:tbl>
    <w:p>
      <w:pPr>
        <w:spacing w:after="0"/>
        <w:rPr>
          <w:sz w:val="2"/>
          <w:szCs w:val="2"/>
        </w:rPr>
        <w:sectPr>
          <w:pgSz w:w="11910" w:h="16840"/>
          <w:pgMar w:header="568" w:footer="0" w:top="800" w:bottom="280" w:left="720" w:right="600"/>
        </w:sectPr>
      </w:pPr>
    </w:p>
    <w:p>
      <w:pPr>
        <w:pStyle w:val="BodyText"/>
        <w:rPr>
          <w:rFonts w:ascii="Times New Roman"/>
          <w:sz w:val="23"/>
        </w:rPr>
      </w:pPr>
    </w:p>
    <w:p>
      <w:pPr>
        <w:spacing w:after="0"/>
        <w:rPr>
          <w:rFonts w:ascii="Times New Roman"/>
          <w:sz w:val="23"/>
        </w:rPr>
        <w:sectPr>
          <w:pgSz w:w="11910" w:h="16840"/>
          <w:pgMar w:header="568" w:footer="0" w:top="800" w:bottom="280" w:left="920" w:right="1420"/>
        </w:sectPr>
      </w:pPr>
    </w:p>
    <w:p>
      <w:pPr>
        <w:spacing w:before="26"/>
        <w:ind w:left="100" w:right="0" w:firstLine="0"/>
        <w:jc w:val="left"/>
        <w:rPr>
          <w:b/>
          <w:sz w:val="24"/>
        </w:rPr>
      </w:pPr>
      <w:r>
        <w:rPr>
          <w:b/>
          <w:w w:val="95"/>
          <w:sz w:val="24"/>
        </w:rPr>
        <w:t>附表：</w:t>
      </w:r>
    </w:p>
    <w:p>
      <w:pPr>
        <w:pStyle w:val="BodyText"/>
        <w:spacing w:before="6"/>
        <w:rPr>
          <w:b/>
          <w:sz w:val="35"/>
        </w:rPr>
      </w:pPr>
      <w:r>
        <w:rPr/>
        <w:br w:type="column"/>
      </w:r>
      <w:r>
        <w:rPr>
          <w:b/>
          <w:sz w:val="35"/>
        </w:rPr>
      </w:r>
    </w:p>
    <w:p>
      <w:pPr>
        <w:spacing w:before="0"/>
        <w:ind w:left="12" w:right="1071" w:firstLine="0"/>
        <w:jc w:val="center"/>
        <w:rPr>
          <w:b/>
          <w:sz w:val="28"/>
        </w:rPr>
      </w:pPr>
      <w:r>
        <w:rPr>
          <w:b/>
          <w:sz w:val="28"/>
        </w:rPr>
        <w:t>《阳光人寿附加万能重大疾病保险 B 款》年保障成本表</w:t>
      </w:r>
    </w:p>
    <w:p>
      <w:pPr>
        <w:spacing w:before="131"/>
        <w:ind w:left="12" w:right="1092" w:firstLine="0"/>
        <w:jc w:val="center"/>
        <w:rPr>
          <w:sz w:val="24"/>
        </w:rPr>
      </w:pPr>
      <w:r>
        <w:rPr>
          <w:sz w:val="24"/>
        </w:rPr>
        <w:t>（每千元危险保额）</w:t>
      </w:r>
    </w:p>
    <w:p>
      <w:pPr>
        <w:pStyle w:val="BodyText"/>
        <w:spacing w:before="10"/>
        <w:rPr>
          <w:sz w:val="25"/>
        </w:rPr>
      </w:pPr>
    </w:p>
    <w:p>
      <w:pPr>
        <w:pStyle w:val="BodyText"/>
        <w:ind w:right="116"/>
        <w:jc w:val="right"/>
      </w:pPr>
      <w:r>
        <w:rPr/>
        <w:t>单位：人民币元</w:t>
      </w:r>
    </w:p>
    <w:p>
      <w:pPr>
        <w:spacing w:after="0"/>
        <w:jc w:val="right"/>
        <w:sectPr>
          <w:type w:val="continuous"/>
          <w:pgSz w:w="11910" w:h="16840"/>
          <w:pgMar w:top="1080" w:bottom="280" w:left="920" w:right="1420"/>
          <w:cols w:num="2" w:equalWidth="0">
            <w:col w:w="823" w:space="735"/>
            <w:col w:w="8012"/>
          </w:cols>
        </w:sectPr>
      </w:pPr>
    </w:p>
    <w:p>
      <w:pPr>
        <w:pStyle w:val="BodyText"/>
        <w:spacing w:before="10"/>
        <w:rPr>
          <w:sz w:val="3"/>
        </w:rPr>
      </w:pPr>
    </w:p>
    <w:tbl>
      <w:tblPr>
        <w:tblW w:w="0" w:type="auto"/>
        <w:jc w:val="lef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0"/>
        <w:gridCol w:w="1716"/>
        <w:gridCol w:w="1702"/>
        <w:gridCol w:w="1760"/>
        <w:gridCol w:w="1772"/>
      </w:tblGrid>
      <w:tr>
        <w:trPr>
          <w:trHeight w:val="313" w:hRule="atLeast"/>
        </w:trPr>
        <w:tc>
          <w:tcPr>
            <w:tcW w:w="1460" w:type="dxa"/>
            <w:vMerge w:val="restart"/>
          </w:tcPr>
          <w:p>
            <w:pPr>
              <w:pStyle w:val="TableParagraph"/>
              <w:spacing w:line="285" w:lineRule="auto"/>
              <w:ind w:left="628" w:right="121" w:hanging="500"/>
              <w:rPr>
                <w:sz w:val="20"/>
              </w:rPr>
            </w:pPr>
            <w:r>
              <w:rPr>
                <w:w w:val="95"/>
                <w:sz w:val="20"/>
              </w:rPr>
              <w:t>保单年度初年</w:t>
            </w:r>
            <w:r>
              <w:rPr>
                <w:sz w:val="20"/>
              </w:rPr>
              <w:t>龄</w:t>
            </w:r>
          </w:p>
        </w:tc>
        <w:tc>
          <w:tcPr>
            <w:tcW w:w="3418" w:type="dxa"/>
            <w:gridSpan w:val="2"/>
          </w:tcPr>
          <w:p>
            <w:pPr>
              <w:pStyle w:val="TableParagraph"/>
              <w:spacing w:line="256" w:lineRule="exact"/>
              <w:ind w:left="1498" w:right="1490"/>
              <w:jc w:val="center"/>
              <w:rPr>
                <w:sz w:val="20"/>
              </w:rPr>
            </w:pPr>
            <w:r>
              <w:rPr>
                <w:w w:val="95"/>
                <w:sz w:val="20"/>
              </w:rPr>
              <w:t>男性</w:t>
            </w:r>
          </w:p>
        </w:tc>
        <w:tc>
          <w:tcPr>
            <w:tcW w:w="3532" w:type="dxa"/>
            <w:gridSpan w:val="2"/>
          </w:tcPr>
          <w:p>
            <w:pPr>
              <w:pStyle w:val="TableParagraph"/>
              <w:spacing w:line="256" w:lineRule="exact"/>
              <w:ind w:left="1554" w:right="1548"/>
              <w:jc w:val="center"/>
              <w:rPr>
                <w:sz w:val="20"/>
              </w:rPr>
            </w:pPr>
            <w:r>
              <w:rPr>
                <w:w w:val="95"/>
                <w:sz w:val="20"/>
              </w:rPr>
              <w:t>女性</w:t>
            </w:r>
          </w:p>
        </w:tc>
      </w:tr>
      <w:tr>
        <w:trPr>
          <w:trHeight w:val="311" w:hRule="atLeast"/>
        </w:trPr>
        <w:tc>
          <w:tcPr>
            <w:tcW w:w="1460" w:type="dxa"/>
            <w:vMerge/>
            <w:tcBorders>
              <w:top w:val="nil"/>
            </w:tcBorders>
          </w:tcPr>
          <w:p>
            <w:pPr>
              <w:rPr>
                <w:sz w:val="2"/>
                <w:szCs w:val="2"/>
              </w:rPr>
            </w:pPr>
          </w:p>
        </w:tc>
        <w:tc>
          <w:tcPr>
            <w:tcW w:w="1716" w:type="dxa"/>
          </w:tcPr>
          <w:p>
            <w:pPr>
              <w:pStyle w:val="TableParagraph"/>
              <w:spacing w:line="254" w:lineRule="exact"/>
              <w:ind w:left="361" w:right="355"/>
              <w:jc w:val="center"/>
              <w:rPr>
                <w:sz w:val="20"/>
              </w:rPr>
            </w:pPr>
            <w:r>
              <w:rPr>
                <w:w w:val="95"/>
                <w:sz w:val="20"/>
              </w:rPr>
              <w:t>重疾保险金</w:t>
            </w:r>
          </w:p>
        </w:tc>
        <w:tc>
          <w:tcPr>
            <w:tcW w:w="1702" w:type="dxa"/>
          </w:tcPr>
          <w:p>
            <w:pPr>
              <w:pStyle w:val="TableParagraph"/>
              <w:spacing w:line="254" w:lineRule="exact"/>
              <w:ind w:left="164" w:right="158"/>
              <w:jc w:val="center"/>
              <w:rPr>
                <w:sz w:val="20"/>
              </w:rPr>
            </w:pPr>
            <w:r>
              <w:rPr>
                <w:w w:val="95"/>
                <w:sz w:val="20"/>
              </w:rPr>
              <w:t>轻症重疾保险金</w:t>
            </w:r>
          </w:p>
        </w:tc>
        <w:tc>
          <w:tcPr>
            <w:tcW w:w="1760" w:type="dxa"/>
          </w:tcPr>
          <w:p>
            <w:pPr>
              <w:pStyle w:val="TableParagraph"/>
              <w:spacing w:line="254" w:lineRule="exact"/>
              <w:ind w:left="382" w:right="377"/>
              <w:jc w:val="center"/>
              <w:rPr>
                <w:sz w:val="20"/>
              </w:rPr>
            </w:pPr>
            <w:r>
              <w:rPr>
                <w:w w:val="95"/>
                <w:sz w:val="20"/>
              </w:rPr>
              <w:t>重疾保险金</w:t>
            </w:r>
          </w:p>
        </w:tc>
        <w:tc>
          <w:tcPr>
            <w:tcW w:w="1772" w:type="dxa"/>
          </w:tcPr>
          <w:p>
            <w:pPr>
              <w:pStyle w:val="TableParagraph"/>
              <w:spacing w:line="254" w:lineRule="exact"/>
              <w:ind w:left="199" w:right="192"/>
              <w:jc w:val="center"/>
              <w:rPr>
                <w:sz w:val="20"/>
              </w:rPr>
            </w:pPr>
            <w:r>
              <w:rPr>
                <w:w w:val="95"/>
                <w:sz w:val="20"/>
              </w:rPr>
              <w:t>轻症重疾保险金</w:t>
            </w:r>
          </w:p>
        </w:tc>
      </w:tr>
      <w:tr>
        <w:trPr>
          <w:trHeight w:val="311" w:hRule="atLeast"/>
        </w:trPr>
        <w:tc>
          <w:tcPr>
            <w:tcW w:w="1460" w:type="dxa"/>
          </w:tcPr>
          <w:p>
            <w:pPr>
              <w:pStyle w:val="TableParagraph"/>
              <w:spacing w:line="254" w:lineRule="exact"/>
              <w:ind w:left="259" w:right="251"/>
              <w:jc w:val="center"/>
              <w:rPr>
                <w:sz w:val="20"/>
              </w:rPr>
            </w:pPr>
            <w:r>
              <w:rPr>
                <w:sz w:val="20"/>
              </w:rPr>
              <w:t>18</w:t>
            </w:r>
          </w:p>
        </w:tc>
        <w:tc>
          <w:tcPr>
            <w:tcW w:w="1716" w:type="dxa"/>
          </w:tcPr>
          <w:p>
            <w:pPr>
              <w:pStyle w:val="TableParagraph"/>
              <w:spacing w:line="254" w:lineRule="exact"/>
              <w:ind w:left="361" w:right="350"/>
              <w:jc w:val="center"/>
              <w:rPr>
                <w:sz w:val="20"/>
              </w:rPr>
            </w:pPr>
            <w:r>
              <w:rPr>
                <w:sz w:val="20"/>
              </w:rPr>
              <w:t>0.93</w:t>
            </w:r>
          </w:p>
        </w:tc>
        <w:tc>
          <w:tcPr>
            <w:tcW w:w="1702" w:type="dxa"/>
          </w:tcPr>
          <w:p>
            <w:pPr>
              <w:pStyle w:val="TableParagraph"/>
              <w:spacing w:line="254" w:lineRule="exact"/>
              <w:ind w:left="164" w:right="153"/>
              <w:jc w:val="center"/>
              <w:rPr>
                <w:sz w:val="20"/>
              </w:rPr>
            </w:pPr>
            <w:r>
              <w:rPr>
                <w:sz w:val="20"/>
              </w:rPr>
              <w:t>0.02</w:t>
            </w:r>
          </w:p>
        </w:tc>
        <w:tc>
          <w:tcPr>
            <w:tcW w:w="1760" w:type="dxa"/>
          </w:tcPr>
          <w:p>
            <w:pPr>
              <w:pStyle w:val="TableParagraph"/>
              <w:spacing w:line="254" w:lineRule="exact"/>
              <w:ind w:left="382" w:right="372"/>
              <w:jc w:val="center"/>
              <w:rPr>
                <w:sz w:val="20"/>
              </w:rPr>
            </w:pPr>
            <w:r>
              <w:rPr>
                <w:sz w:val="20"/>
              </w:rPr>
              <w:t>0.92</w:t>
            </w:r>
          </w:p>
        </w:tc>
        <w:tc>
          <w:tcPr>
            <w:tcW w:w="1772" w:type="dxa"/>
          </w:tcPr>
          <w:p>
            <w:pPr>
              <w:pStyle w:val="TableParagraph"/>
              <w:spacing w:line="254" w:lineRule="exact"/>
              <w:ind w:left="199" w:right="187"/>
              <w:jc w:val="center"/>
              <w:rPr>
                <w:sz w:val="20"/>
              </w:rPr>
            </w:pPr>
            <w:r>
              <w:rPr>
                <w:sz w:val="20"/>
              </w:rPr>
              <w:t>0.02</w:t>
            </w:r>
          </w:p>
        </w:tc>
      </w:tr>
      <w:tr>
        <w:trPr>
          <w:trHeight w:val="311" w:hRule="atLeast"/>
        </w:trPr>
        <w:tc>
          <w:tcPr>
            <w:tcW w:w="1460" w:type="dxa"/>
          </w:tcPr>
          <w:p>
            <w:pPr>
              <w:pStyle w:val="TableParagraph"/>
              <w:spacing w:line="254" w:lineRule="exact"/>
              <w:ind w:left="259" w:right="251"/>
              <w:jc w:val="center"/>
              <w:rPr>
                <w:sz w:val="20"/>
              </w:rPr>
            </w:pPr>
            <w:r>
              <w:rPr>
                <w:sz w:val="20"/>
              </w:rPr>
              <w:t>19</w:t>
            </w:r>
          </w:p>
        </w:tc>
        <w:tc>
          <w:tcPr>
            <w:tcW w:w="1716" w:type="dxa"/>
          </w:tcPr>
          <w:p>
            <w:pPr>
              <w:pStyle w:val="TableParagraph"/>
              <w:spacing w:line="254" w:lineRule="exact"/>
              <w:ind w:left="361" w:right="350"/>
              <w:jc w:val="center"/>
              <w:rPr>
                <w:sz w:val="20"/>
              </w:rPr>
            </w:pPr>
            <w:r>
              <w:rPr>
                <w:sz w:val="20"/>
              </w:rPr>
              <w:t>0.98</w:t>
            </w:r>
          </w:p>
        </w:tc>
        <w:tc>
          <w:tcPr>
            <w:tcW w:w="1702" w:type="dxa"/>
          </w:tcPr>
          <w:p>
            <w:pPr>
              <w:pStyle w:val="TableParagraph"/>
              <w:spacing w:line="254" w:lineRule="exact"/>
              <w:ind w:left="164" w:right="153"/>
              <w:jc w:val="center"/>
              <w:rPr>
                <w:sz w:val="20"/>
              </w:rPr>
            </w:pPr>
            <w:r>
              <w:rPr>
                <w:sz w:val="20"/>
              </w:rPr>
              <w:t>0.02</w:t>
            </w:r>
          </w:p>
        </w:tc>
        <w:tc>
          <w:tcPr>
            <w:tcW w:w="1760" w:type="dxa"/>
          </w:tcPr>
          <w:p>
            <w:pPr>
              <w:pStyle w:val="TableParagraph"/>
              <w:spacing w:line="254" w:lineRule="exact"/>
              <w:ind w:left="382" w:right="372"/>
              <w:jc w:val="center"/>
              <w:rPr>
                <w:sz w:val="20"/>
              </w:rPr>
            </w:pPr>
            <w:r>
              <w:rPr>
                <w:sz w:val="20"/>
              </w:rPr>
              <w:t>0.97</w:t>
            </w:r>
          </w:p>
        </w:tc>
        <w:tc>
          <w:tcPr>
            <w:tcW w:w="1772" w:type="dxa"/>
          </w:tcPr>
          <w:p>
            <w:pPr>
              <w:pStyle w:val="TableParagraph"/>
              <w:spacing w:line="254" w:lineRule="exact"/>
              <w:ind w:left="199" w:right="187"/>
              <w:jc w:val="center"/>
              <w:rPr>
                <w:sz w:val="20"/>
              </w:rPr>
            </w:pPr>
            <w:r>
              <w:rPr>
                <w:sz w:val="20"/>
              </w:rPr>
              <w:t>0.03</w:t>
            </w:r>
          </w:p>
        </w:tc>
      </w:tr>
      <w:tr>
        <w:trPr>
          <w:trHeight w:val="311" w:hRule="atLeast"/>
        </w:trPr>
        <w:tc>
          <w:tcPr>
            <w:tcW w:w="1460" w:type="dxa"/>
          </w:tcPr>
          <w:p>
            <w:pPr>
              <w:pStyle w:val="TableParagraph"/>
              <w:spacing w:line="254" w:lineRule="exact"/>
              <w:ind w:left="259" w:right="251"/>
              <w:jc w:val="center"/>
              <w:rPr>
                <w:sz w:val="20"/>
              </w:rPr>
            </w:pPr>
            <w:r>
              <w:rPr>
                <w:sz w:val="20"/>
              </w:rPr>
              <w:t>20</w:t>
            </w:r>
          </w:p>
        </w:tc>
        <w:tc>
          <w:tcPr>
            <w:tcW w:w="1716" w:type="dxa"/>
          </w:tcPr>
          <w:p>
            <w:pPr>
              <w:pStyle w:val="TableParagraph"/>
              <w:spacing w:line="254" w:lineRule="exact"/>
              <w:ind w:left="361" w:right="350"/>
              <w:jc w:val="center"/>
              <w:rPr>
                <w:sz w:val="20"/>
              </w:rPr>
            </w:pPr>
            <w:r>
              <w:rPr>
                <w:sz w:val="20"/>
              </w:rPr>
              <w:t>1.03</w:t>
            </w:r>
          </w:p>
        </w:tc>
        <w:tc>
          <w:tcPr>
            <w:tcW w:w="1702" w:type="dxa"/>
          </w:tcPr>
          <w:p>
            <w:pPr>
              <w:pStyle w:val="TableParagraph"/>
              <w:spacing w:line="254" w:lineRule="exact"/>
              <w:ind w:left="164" w:right="153"/>
              <w:jc w:val="center"/>
              <w:rPr>
                <w:sz w:val="20"/>
              </w:rPr>
            </w:pPr>
            <w:r>
              <w:rPr>
                <w:sz w:val="20"/>
              </w:rPr>
              <w:t>0.02</w:t>
            </w:r>
          </w:p>
        </w:tc>
        <w:tc>
          <w:tcPr>
            <w:tcW w:w="1760" w:type="dxa"/>
          </w:tcPr>
          <w:p>
            <w:pPr>
              <w:pStyle w:val="TableParagraph"/>
              <w:spacing w:line="254" w:lineRule="exact"/>
              <w:ind w:left="382" w:right="372"/>
              <w:jc w:val="center"/>
              <w:rPr>
                <w:sz w:val="20"/>
              </w:rPr>
            </w:pPr>
            <w:r>
              <w:rPr>
                <w:sz w:val="20"/>
              </w:rPr>
              <w:t>1.01</w:t>
            </w:r>
          </w:p>
        </w:tc>
        <w:tc>
          <w:tcPr>
            <w:tcW w:w="1772" w:type="dxa"/>
          </w:tcPr>
          <w:p>
            <w:pPr>
              <w:pStyle w:val="TableParagraph"/>
              <w:spacing w:line="254" w:lineRule="exact"/>
              <w:ind w:left="199" w:right="187"/>
              <w:jc w:val="center"/>
              <w:rPr>
                <w:sz w:val="20"/>
              </w:rPr>
            </w:pPr>
            <w:r>
              <w:rPr>
                <w:sz w:val="20"/>
              </w:rPr>
              <w:t>0.04</w:t>
            </w:r>
          </w:p>
        </w:tc>
      </w:tr>
      <w:tr>
        <w:trPr>
          <w:trHeight w:val="311" w:hRule="atLeast"/>
        </w:trPr>
        <w:tc>
          <w:tcPr>
            <w:tcW w:w="1460" w:type="dxa"/>
          </w:tcPr>
          <w:p>
            <w:pPr>
              <w:pStyle w:val="TableParagraph"/>
              <w:spacing w:line="254" w:lineRule="exact"/>
              <w:ind w:left="259" w:right="251"/>
              <w:jc w:val="center"/>
              <w:rPr>
                <w:sz w:val="20"/>
              </w:rPr>
            </w:pPr>
            <w:r>
              <w:rPr>
                <w:sz w:val="20"/>
              </w:rPr>
              <w:t>21</w:t>
            </w:r>
          </w:p>
        </w:tc>
        <w:tc>
          <w:tcPr>
            <w:tcW w:w="1716" w:type="dxa"/>
          </w:tcPr>
          <w:p>
            <w:pPr>
              <w:pStyle w:val="TableParagraph"/>
              <w:spacing w:line="254" w:lineRule="exact"/>
              <w:ind w:left="361" w:right="350"/>
              <w:jc w:val="center"/>
              <w:rPr>
                <w:sz w:val="20"/>
              </w:rPr>
            </w:pPr>
            <w:r>
              <w:rPr>
                <w:sz w:val="20"/>
              </w:rPr>
              <w:t>1.07</w:t>
            </w:r>
          </w:p>
        </w:tc>
        <w:tc>
          <w:tcPr>
            <w:tcW w:w="1702" w:type="dxa"/>
          </w:tcPr>
          <w:p>
            <w:pPr>
              <w:pStyle w:val="TableParagraph"/>
              <w:spacing w:line="254" w:lineRule="exact"/>
              <w:ind w:left="164" w:right="153"/>
              <w:jc w:val="center"/>
              <w:rPr>
                <w:sz w:val="20"/>
              </w:rPr>
            </w:pPr>
            <w:r>
              <w:rPr>
                <w:sz w:val="20"/>
              </w:rPr>
              <w:t>0.02</w:t>
            </w:r>
          </w:p>
        </w:tc>
        <w:tc>
          <w:tcPr>
            <w:tcW w:w="1760" w:type="dxa"/>
          </w:tcPr>
          <w:p>
            <w:pPr>
              <w:pStyle w:val="TableParagraph"/>
              <w:spacing w:line="254" w:lineRule="exact"/>
              <w:ind w:left="382" w:right="372"/>
              <w:jc w:val="center"/>
              <w:rPr>
                <w:sz w:val="20"/>
              </w:rPr>
            </w:pPr>
            <w:r>
              <w:rPr>
                <w:sz w:val="20"/>
              </w:rPr>
              <w:t>1.04</w:t>
            </w:r>
          </w:p>
        </w:tc>
        <w:tc>
          <w:tcPr>
            <w:tcW w:w="1772" w:type="dxa"/>
          </w:tcPr>
          <w:p>
            <w:pPr>
              <w:pStyle w:val="TableParagraph"/>
              <w:spacing w:line="254" w:lineRule="exact"/>
              <w:ind w:left="199" w:right="187"/>
              <w:jc w:val="center"/>
              <w:rPr>
                <w:sz w:val="20"/>
              </w:rPr>
            </w:pPr>
            <w:r>
              <w:rPr>
                <w:sz w:val="20"/>
              </w:rPr>
              <w:t>0.05</w:t>
            </w:r>
          </w:p>
        </w:tc>
      </w:tr>
      <w:tr>
        <w:trPr>
          <w:trHeight w:val="314" w:hRule="atLeast"/>
        </w:trPr>
        <w:tc>
          <w:tcPr>
            <w:tcW w:w="1460" w:type="dxa"/>
          </w:tcPr>
          <w:p>
            <w:pPr>
              <w:pStyle w:val="TableParagraph"/>
              <w:spacing w:line="256" w:lineRule="exact"/>
              <w:ind w:left="259" w:right="251"/>
              <w:jc w:val="center"/>
              <w:rPr>
                <w:sz w:val="20"/>
              </w:rPr>
            </w:pPr>
            <w:r>
              <w:rPr>
                <w:sz w:val="20"/>
              </w:rPr>
              <w:t>22</w:t>
            </w:r>
          </w:p>
        </w:tc>
        <w:tc>
          <w:tcPr>
            <w:tcW w:w="1716" w:type="dxa"/>
          </w:tcPr>
          <w:p>
            <w:pPr>
              <w:pStyle w:val="TableParagraph"/>
              <w:spacing w:line="256" w:lineRule="exact"/>
              <w:ind w:left="361" w:right="350"/>
              <w:jc w:val="center"/>
              <w:rPr>
                <w:sz w:val="20"/>
              </w:rPr>
            </w:pPr>
            <w:r>
              <w:rPr>
                <w:sz w:val="20"/>
              </w:rPr>
              <w:t>1.11</w:t>
            </w:r>
          </w:p>
        </w:tc>
        <w:tc>
          <w:tcPr>
            <w:tcW w:w="1702" w:type="dxa"/>
          </w:tcPr>
          <w:p>
            <w:pPr>
              <w:pStyle w:val="TableParagraph"/>
              <w:spacing w:line="256" w:lineRule="exact"/>
              <w:ind w:left="164" w:right="153"/>
              <w:jc w:val="center"/>
              <w:rPr>
                <w:sz w:val="20"/>
              </w:rPr>
            </w:pPr>
            <w:r>
              <w:rPr>
                <w:sz w:val="20"/>
              </w:rPr>
              <w:t>0.02</w:t>
            </w:r>
          </w:p>
        </w:tc>
        <w:tc>
          <w:tcPr>
            <w:tcW w:w="1760" w:type="dxa"/>
          </w:tcPr>
          <w:p>
            <w:pPr>
              <w:pStyle w:val="TableParagraph"/>
              <w:spacing w:line="256" w:lineRule="exact"/>
              <w:ind w:left="382" w:right="372"/>
              <w:jc w:val="center"/>
              <w:rPr>
                <w:sz w:val="20"/>
              </w:rPr>
            </w:pPr>
            <w:r>
              <w:rPr>
                <w:sz w:val="20"/>
              </w:rPr>
              <w:t>1.06</w:t>
            </w:r>
          </w:p>
        </w:tc>
        <w:tc>
          <w:tcPr>
            <w:tcW w:w="1772" w:type="dxa"/>
          </w:tcPr>
          <w:p>
            <w:pPr>
              <w:pStyle w:val="TableParagraph"/>
              <w:spacing w:line="256" w:lineRule="exact"/>
              <w:ind w:left="199" w:right="187"/>
              <w:jc w:val="center"/>
              <w:rPr>
                <w:sz w:val="20"/>
              </w:rPr>
            </w:pPr>
            <w:r>
              <w:rPr>
                <w:sz w:val="20"/>
              </w:rPr>
              <w:t>0.06</w:t>
            </w:r>
          </w:p>
        </w:tc>
      </w:tr>
      <w:tr>
        <w:trPr>
          <w:trHeight w:val="311" w:hRule="atLeast"/>
        </w:trPr>
        <w:tc>
          <w:tcPr>
            <w:tcW w:w="1460" w:type="dxa"/>
          </w:tcPr>
          <w:p>
            <w:pPr>
              <w:pStyle w:val="TableParagraph"/>
              <w:spacing w:line="254" w:lineRule="exact"/>
              <w:ind w:left="259" w:right="251"/>
              <w:jc w:val="center"/>
              <w:rPr>
                <w:sz w:val="20"/>
              </w:rPr>
            </w:pPr>
            <w:r>
              <w:rPr>
                <w:sz w:val="20"/>
              </w:rPr>
              <w:t>23</w:t>
            </w:r>
          </w:p>
        </w:tc>
        <w:tc>
          <w:tcPr>
            <w:tcW w:w="1716" w:type="dxa"/>
          </w:tcPr>
          <w:p>
            <w:pPr>
              <w:pStyle w:val="TableParagraph"/>
              <w:spacing w:line="254" w:lineRule="exact"/>
              <w:ind w:left="361" w:right="350"/>
              <w:jc w:val="center"/>
              <w:rPr>
                <w:sz w:val="20"/>
              </w:rPr>
            </w:pPr>
            <w:r>
              <w:rPr>
                <w:sz w:val="20"/>
              </w:rPr>
              <w:t>1.17</w:t>
            </w:r>
          </w:p>
        </w:tc>
        <w:tc>
          <w:tcPr>
            <w:tcW w:w="1702" w:type="dxa"/>
          </w:tcPr>
          <w:p>
            <w:pPr>
              <w:pStyle w:val="TableParagraph"/>
              <w:spacing w:line="254" w:lineRule="exact"/>
              <w:ind w:left="164" w:right="153"/>
              <w:jc w:val="center"/>
              <w:rPr>
                <w:sz w:val="20"/>
              </w:rPr>
            </w:pPr>
            <w:r>
              <w:rPr>
                <w:sz w:val="20"/>
              </w:rPr>
              <w:t>0.02</w:t>
            </w:r>
          </w:p>
        </w:tc>
        <w:tc>
          <w:tcPr>
            <w:tcW w:w="1760" w:type="dxa"/>
          </w:tcPr>
          <w:p>
            <w:pPr>
              <w:pStyle w:val="TableParagraph"/>
              <w:spacing w:line="254" w:lineRule="exact"/>
              <w:ind w:left="382" w:right="372"/>
              <w:jc w:val="center"/>
              <w:rPr>
                <w:sz w:val="20"/>
              </w:rPr>
            </w:pPr>
            <w:r>
              <w:rPr>
                <w:sz w:val="20"/>
              </w:rPr>
              <w:t>1.11</w:t>
            </w:r>
          </w:p>
        </w:tc>
        <w:tc>
          <w:tcPr>
            <w:tcW w:w="1772" w:type="dxa"/>
          </w:tcPr>
          <w:p>
            <w:pPr>
              <w:pStyle w:val="TableParagraph"/>
              <w:spacing w:line="254" w:lineRule="exact"/>
              <w:ind w:left="199" w:right="187"/>
              <w:jc w:val="center"/>
              <w:rPr>
                <w:sz w:val="20"/>
              </w:rPr>
            </w:pPr>
            <w:r>
              <w:rPr>
                <w:sz w:val="20"/>
              </w:rPr>
              <w:t>0.07</w:t>
            </w:r>
          </w:p>
        </w:tc>
      </w:tr>
      <w:tr>
        <w:trPr>
          <w:trHeight w:val="312" w:hRule="atLeast"/>
        </w:trPr>
        <w:tc>
          <w:tcPr>
            <w:tcW w:w="1460" w:type="dxa"/>
          </w:tcPr>
          <w:p>
            <w:pPr>
              <w:pStyle w:val="TableParagraph"/>
              <w:spacing w:line="254" w:lineRule="exact"/>
              <w:ind w:left="259" w:right="251"/>
              <w:jc w:val="center"/>
              <w:rPr>
                <w:sz w:val="20"/>
              </w:rPr>
            </w:pPr>
            <w:r>
              <w:rPr>
                <w:sz w:val="20"/>
              </w:rPr>
              <w:t>24</w:t>
            </w:r>
          </w:p>
        </w:tc>
        <w:tc>
          <w:tcPr>
            <w:tcW w:w="1716" w:type="dxa"/>
          </w:tcPr>
          <w:p>
            <w:pPr>
              <w:pStyle w:val="TableParagraph"/>
              <w:spacing w:line="254" w:lineRule="exact"/>
              <w:ind w:left="361" w:right="350"/>
              <w:jc w:val="center"/>
              <w:rPr>
                <w:sz w:val="20"/>
              </w:rPr>
            </w:pPr>
            <w:r>
              <w:rPr>
                <w:sz w:val="20"/>
              </w:rPr>
              <w:t>1.23</w:t>
            </w:r>
          </w:p>
        </w:tc>
        <w:tc>
          <w:tcPr>
            <w:tcW w:w="1702" w:type="dxa"/>
          </w:tcPr>
          <w:p>
            <w:pPr>
              <w:pStyle w:val="TableParagraph"/>
              <w:spacing w:line="254" w:lineRule="exact"/>
              <w:ind w:left="164" w:right="153"/>
              <w:jc w:val="center"/>
              <w:rPr>
                <w:sz w:val="20"/>
              </w:rPr>
            </w:pPr>
            <w:r>
              <w:rPr>
                <w:sz w:val="20"/>
              </w:rPr>
              <w:t>0.02</w:t>
            </w:r>
          </w:p>
        </w:tc>
        <w:tc>
          <w:tcPr>
            <w:tcW w:w="1760" w:type="dxa"/>
          </w:tcPr>
          <w:p>
            <w:pPr>
              <w:pStyle w:val="TableParagraph"/>
              <w:spacing w:line="254" w:lineRule="exact"/>
              <w:ind w:left="382" w:right="372"/>
              <w:jc w:val="center"/>
              <w:rPr>
                <w:sz w:val="20"/>
              </w:rPr>
            </w:pPr>
            <w:r>
              <w:rPr>
                <w:sz w:val="20"/>
              </w:rPr>
              <w:t>1.15</w:t>
            </w:r>
          </w:p>
        </w:tc>
        <w:tc>
          <w:tcPr>
            <w:tcW w:w="1772" w:type="dxa"/>
          </w:tcPr>
          <w:p>
            <w:pPr>
              <w:pStyle w:val="TableParagraph"/>
              <w:spacing w:line="254" w:lineRule="exact"/>
              <w:ind w:left="199" w:right="187"/>
              <w:jc w:val="center"/>
              <w:rPr>
                <w:sz w:val="20"/>
              </w:rPr>
            </w:pPr>
            <w:r>
              <w:rPr>
                <w:sz w:val="20"/>
              </w:rPr>
              <w:t>0.09</w:t>
            </w:r>
          </w:p>
        </w:tc>
      </w:tr>
      <w:tr>
        <w:trPr>
          <w:trHeight w:val="311" w:hRule="atLeast"/>
        </w:trPr>
        <w:tc>
          <w:tcPr>
            <w:tcW w:w="1460" w:type="dxa"/>
          </w:tcPr>
          <w:p>
            <w:pPr>
              <w:pStyle w:val="TableParagraph"/>
              <w:spacing w:line="254" w:lineRule="exact"/>
              <w:ind w:left="259" w:right="251"/>
              <w:jc w:val="center"/>
              <w:rPr>
                <w:sz w:val="20"/>
              </w:rPr>
            </w:pPr>
            <w:r>
              <w:rPr>
                <w:sz w:val="20"/>
              </w:rPr>
              <w:t>25</w:t>
            </w:r>
          </w:p>
        </w:tc>
        <w:tc>
          <w:tcPr>
            <w:tcW w:w="1716" w:type="dxa"/>
          </w:tcPr>
          <w:p>
            <w:pPr>
              <w:pStyle w:val="TableParagraph"/>
              <w:spacing w:line="254" w:lineRule="exact"/>
              <w:ind w:left="361" w:right="350"/>
              <w:jc w:val="center"/>
              <w:rPr>
                <w:sz w:val="20"/>
              </w:rPr>
            </w:pPr>
            <w:r>
              <w:rPr>
                <w:sz w:val="20"/>
              </w:rPr>
              <w:t>1.28</w:t>
            </w:r>
          </w:p>
        </w:tc>
        <w:tc>
          <w:tcPr>
            <w:tcW w:w="1702" w:type="dxa"/>
          </w:tcPr>
          <w:p>
            <w:pPr>
              <w:pStyle w:val="TableParagraph"/>
              <w:spacing w:line="254" w:lineRule="exact"/>
              <w:ind w:left="164" w:right="153"/>
              <w:jc w:val="center"/>
              <w:rPr>
                <w:sz w:val="20"/>
              </w:rPr>
            </w:pPr>
            <w:r>
              <w:rPr>
                <w:sz w:val="20"/>
              </w:rPr>
              <w:t>0.02</w:t>
            </w:r>
          </w:p>
        </w:tc>
        <w:tc>
          <w:tcPr>
            <w:tcW w:w="1760" w:type="dxa"/>
          </w:tcPr>
          <w:p>
            <w:pPr>
              <w:pStyle w:val="TableParagraph"/>
              <w:spacing w:line="254" w:lineRule="exact"/>
              <w:ind w:left="382" w:right="372"/>
              <w:jc w:val="center"/>
              <w:rPr>
                <w:sz w:val="20"/>
              </w:rPr>
            </w:pPr>
            <w:r>
              <w:rPr>
                <w:sz w:val="20"/>
              </w:rPr>
              <w:t>1.20</w:t>
            </w:r>
          </w:p>
        </w:tc>
        <w:tc>
          <w:tcPr>
            <w:tcW w:w="1772" w:type="dxa"/>
          </w:tcPr>
          <w:p>
            <w:pPr>
              <w:pStyle w:val="TableParagraph"/>
              <w:spacing w:line="254" w:lineRule="exact"/>
              <w:ind w:left="199" w:right="187"/>
              <w:jc w:val="center"/>
              <w:rPr>
                <w:sz w:val="20"/>
              </w:rPr>
            </w:pPr>
            <w:r>
              <w:rPr>
                <w:sz w:val="20"/>
              </w:rPr>
              <w:t>0.11</w:t>
            </w:r>
          </w:p>
        </w:tc>
      </w:tr>
      <w:tr>
        <w:trPr>
          <w:trHeight w:val="311" w:hRule="atLeast"/>
        </w:trPr>
        <w:tc>
          <w:tcPr>
            <w:tcW w:w="1460" w:type="dxa"/>
          </w:tcPr>
          <w:p>
            <w:pPr>
              <w:pStyle w:val="TableParagraph"/>
              <w:spacing w:line="254" w:lineRule="exact"/>
              <w:ind w:left="259" w:right="251"/>
              <w:jc w:val="center"/>
              <w:rPr>
                <w:sz w:val="20"/>
              </w:rPr>
            </w:pPr>
            <w:r>
              <w:rPr>
                <w:sz w:val="20"/>
              </w:rPr>
              <w:t>26</w:t>
            </w:r>
          </w:p>
        </w:tc>
        <w:tc>
          <w:tcPr>
            <w:tcW w:w="1716" w:type="dxa"/>
          </w:tcPr>
          <w:p>
            <w:pPr>
              <w:pStyle w:val="TableParagraph"/>
              <w:spacing w:line="254" w:lineRule="exact"/>
              <w:ind w:left="361" w:right="350"/>
              <w:jc w:val="center"/>
              <w:rPr>
                <w:sz w:val="20"/>
              </w:rPr>
            </w:pPr>
            <w:r>
              <w:rPr>
                <w:sz w:val="20"/>
              </w:rPr>
              <w:t>1.35</w:t>
            </w:r>
          </w:p>
        </w:tc>
        <w:tc>
          <w:tcPr>
            <w:tcW w:w="1702" w:type="dxa"/>
          </w:tcPr>
          <w:p>
            <w:pPr>
              <w:pStyle w:val="TableParagraph"/>
              <w:spacing w:line="254" w:lineRule="exact"/>
              <w:ind w:left="164" w:right="153"/>
              <w:jc w:val="center"/>
              <w:rPr>
                <w:sz w:val="20"/>
              </w:rPr>
            </w:pPr>
            <w:r>
              <w:rPr>
                <w:sz w:val="20"/>
              </w:rPr>
              <w:t>0.02</w:t>
            </w:r>
          </w:p>
        </w:tc>
        <w:tc>
          <w:tcPr>
            <w:tcW w:w="1760" w:type="dxa"/>
          </w:tcPr>
          <w:p>
            <w:pPr>
              <w:pStyle w:val="TableParagraph"/>
              <w:spacing w:line="254" w:lineRule="exact"/>
              <w:ind w:left="382" w:right="372"/>
              <w:jc w:val="center"/>
              <w:rPr>
                <w:sz w:val="20"/>
              </w:rPr>
            </w:pPr>
            <w:r>
              <w:rPr>
                <w:sz w:val="20"/>
              </w:rPr>
              <w:t>1.23</w:t>
            </w:r>
          </w:p>
        </w:tc>
        <w:tc>
          <w:tcPr>
            <w:tcW w:w="1772" w:type="dxa"/>
          </w:tcPr>
          <w:p>
            <w:pPr>
              <w:pStyle w:val="TableParagraph"/>
              <w:spacing w:line="254" w:lineRule="exact"/>
              <w:ind w:left="199" w:right="187"/>
              <w:jc w:val="center"/>
              <w:rPr>
                <w:sz w:val="20"/>
              </w:rPr>
            </w:pPr>
            <w:r>
              <w:rPr>
                <w:sz w:val="20"/>
              </w:rPr>
              <w:t>0.13</w:t>
            </w:r>
          </w:p>
        </w:tc>
      </w:tr>
      <w:tr>
        <w:trPr>
          <w:trHeight w:val="311" w:hRule="atLeast"/>
        </w:trPr>
        <w:tc>
          <w:tcPr>
            <w:tcW w:w="1460" w:type="dxa"/>
          </w:tcPr>
          <w:p>
            <w:pPr>
              <w:pStyle w:val="TableParagraph"/>
              <w:spacing w:line="254" w:lineRule="exact"/>
              <w:ind w:left="259" w:right="251"/>
              <w:jc w:val="center"/>
              <w:rPr>
                <w:sz w:val="20"/>
              </w:rPr>
            </w:pPr>
            <w:r>
              <w:rPr>
                <w:sz w:val="20"/>
              </w:rPr>
              <w:t>27</w:t>
            </w:r>
          </w:p>
        </w:tc>
        <w:tc>
          <w:tcPr>
            <w:tcW w:w="1716" w:type="dxa"/>
          </w:tcPr>
          <w:p>
            <w:pPr>
              <w:pStyle w:val="TableParagraph"/>
              <w:spacing w:line="254" w:lineRule="exact"/>
              <w:ind w:left="361" w:right="350"/>
              <w:jc w:val="center"/>
              <w:rPr>
                <w:sz w:val="20"/>
              </w:rPr>
            </w:pPr>
            <w:r>
              <w:rPr>
                <w:sz w:val="20"/>
              </w:rPr>
              <w:t>1.42</w:t>
            </w:r>
          </w:p>
        </w:tc>
        <w:tc>
          <w:tcPr>
            <w:tcW w:w="1702" w:type="dxa"/>
          </w:tcPr>
          <w:p>
            <w:pPr>
              <w:pStyle w:val="TableParagraph"/>
              <w:spacing w:line="254" w:lineRule="exact"/>
              <w:ind w:left="164" w:right="153"/>
              <w:jc w:val="center"/>
              <w:rPr>
                <w:sz w:val="20"/>
              </w:rPr>
            </w:pPr>
            <w:r>
              <w:rPr>
                <w:sz w:val="20"/>
              </w:rPr>
              <w:t>0.02</w:t>
            </w:r>
          </w:p>
        </w:tc>
        <w:tc>
          <w:tcPr>
            <w:tcW w:w="1760" w:type="dxa"/>
          </w:tcPr>
          <w:p>
            <w:pPr>
              <w:pStyle w:val="TableParagraph"/>
              <w:spacing w:line="254" w:lineRule="exact"/>
              <w:ind w:left="382" w:right="372"/>
              <w:jc w:val="center"/>
              <w:rPr>
                <w:sz w:val="20"/>
              </w:rPr>
            </w:pPr>
            <w:r>
              <w:rPr>
                <w:sz w:val="20"/>
              </w:rPr>
              <w:t>1.29</w:t>
            </w:r>
          </w:p>
        </w:tc>
        <w:tc>
          <w:tcPr>
            <w:tcW w:w="1772" w:type="dxa"/>
          </w:tcPr>
          <w:p>
            <w:pPr>
              <w:pStyle w:val="TableParagraph"/>
              <w:spacing w:line="254" w:lineRule="exact"/>
              <w:ind w:left="199" w:right="187"/>
              <w:jc w:val="center"/>
              <w:rPr>
                <w:sz w:val="20"/>
              </w:rPr>
            </w:pPr>
            <w:r>
              <w:rPr>
                <w:sz w:val="20"/>
              </w:rPr>
              <w:t>0.15</w:t>
            </w:r>
          </w:p>
        </w:tc>
      </w:tr>
      <w:tr>
        <w:trPr>
          <w:trHeight w:val="313" w:hRule="atLeast"/>
        </w:trPr>
        <w:tc>
          <w:tcPr>
            <w:tcW w:w="1460" w:type="dxa"/>
          </w:tcPr>
          <w:p>
            <w:pPr>
              <w:pStyle w:val="TableParagraph"/>
              <w:spacing w:line="256" w:lineRule="exact"/>
              <w:ind w:left="259" w:right="251"/>
              <w:jc w:val="center"/>
              <w:rPr>
                <w:sz w:val="20"/>
              </w:rPr>
            </w:pPr>
            <w:r>
              <w:rPr>
                <w:sz w:val="20"/>
              </w:rPr>
              <w:t>28</w:t>
            </w:r>
          </w:p>
        </w:tc>
        <w:tc>
          <w:tcPr>
            <w:tcW w:w="1716" w:type="dxa"/>
          </w:tcPr>
          <w:p>
            <w:pPr>
              <w:pStyle w:val="TableParagraph"/>
              <w:spacing w:line="256" w:lineRule="exact"/>
              <w:ind w:left="361" w:right="350"/>
              <w:jc w:val="center"/>
              <w:rPr>
                <w:sz w:val="20"/>
              </w:rPr>
            </w:pPr>
            <w:r>
              <w:rPr>
                <w:sz w:val="20"/>
              </w:rPr>
              <w:t>1.49</w:t>
            </w:r>
          </w:p>
        </w:tc>
        <w:tc>
          <w:tcPr>
            <w:tcW w:w="1702" w:type="dxa"/>
          </w:tcPr>
          <w:p>
            <w:pPr>
              <w:pStyle w:val="TableParagraph"/>
              <w:spacing w:line="256" w:lineRule="exact"/>
              <w:ind w:left="164" w:right="153"/>
              <w:jc w:val="center"/>
              <w:rPr>
                <w:sz w:val="20"/>
              </w:rPr>
            </w:pPr>
            <w:r>
              <w:rPr>
                <w:sz w:val="20"/>
              </w:rPr>
              <w:t>0.03</w:t>
            </w:r>
          </w:p>
        </w:tc>
        <w:tc>
          <w:tcPr>
            <w:tcW w:w="1760" w:type="dxa"/>
          </w:tcPr>
          <w:p>
            <w:pPr>
              <w:pStyle w:val="TableParagraph"/>
              <w:spacing w:line="256" w:lineRule="exact"/>
              <w:ind w:left="382" w:right="372"/>
              <w:jc w:val="center"/>
              <w:rPr>
                <w:sz w:val="20"/>
              </w:rPr>
            </w:pPr>
            <w:r>
              <w:rPr>
                <w:sz w:val="20"/>
              </w:rPr>
              <w:t>1.37</w:t>
            </w:r>
          </w:p>
        </w:tc>
        <w:tc>
          <w:tcPr>
            <w:tcW w:w="1772" w:type="dxa"/>
          </w:tcPr>
          <w:p>
            <w:pPr>
              <w:pStyle w:val="TableParagraph"/>
              <w:spacing w:line="256" w:lineRule="exact"/>
              <w:ind w:left="199" w:right="187"/>
              <w:jc w:val="center"/>
              <w:rPr>
                <w:sz w:val="20"/>
              </w:rPr>
            </w:pPr>
            <w:r>
              <w:rPr>
                <w:sz w:val="20"/>
              </w:rPr>
              <w:t>0.17</w:t>
            </w:r>
          </w:p>
        </w:tc>
      </w:tr>
      <w:tr>
        <w:trPr>
          <w:trHeight w:val="311" w:hRule="atLeast"/>
        </w:trPr>
        <w:tc>
          <w:tcPr>
            <w:tcW w:w="1460" w:type="dxa"/>
          </w:tcPr>
          <w:p>
            <w:pPr>
              <w:pStyle w:val="TableParagraph"/>
              <w:spacing w:line="254" w:lineRule="exact"/>
              <w:ind w:left="259" w:right="251"/>
              <w:jc w:val="center"/>
              <w:rPr>
                <w:sz w:val="20"/>
              </w:rPr>
            </w:pPr>
            <w:r>
              <w:rPr>
                <w:sz w:val="20"/>
              </w:rPr>
              <w:t>29</w:t>
            </w:r>
          </w:p>
        </w:tc>
        <w:tc>
          <w:tcPr>
            <w:tcW w:w="1716" w:type="dxa"/>
          </w:tcPr>
          <w:p>
            <w:pPr>
              <w:pStyle w:val="TableParagraph"/>
              <w:spacing w:line="254" w:lineRule="exact"/>
              <w:ind w:left="361" w:right="350"/>
              <w:jc w:val="center"/>
              <w:rPr>
                <w:sz w:val="20"/>
              </w:rPr>
            </w:pPr>
            <w:r>
              <w:rPr>
                <w:sz w:val="20"/>
              </w:rPr>
              <w:t>1.56</w:t>
            </w:r>
          </w:p>
        </w:tc>
        <w:tc>
          <w:tcPr>
            <w:tcW w:w="1702" w:type="dxa"/>
          </w:tcPr>
          <w:p>
            <w:pPr>
              <w:pStyle w:val="TableParagraph"/>
              <w:spacing w:line="254" w:lineRule="exact"/>
              <w:ind w:left="164" w:right="153"/>
              <w:jc w:val="center"/>
              <w:rPr>
                <w:sz w:val="20"/>
              </w:rPr>
            </w:pPr>
            <w:r>
              <w:rPr>
                <w:sz w:val="20"/>
              </w:rPr>
              <w:t>0.03</w:t>
            </w:r>
          </w:p>
        </w:tc>
        <w:tc>
          <w:tcPr>
            <w:tcW w:w="1760" w:type="dxa"/>
          </w:tcPr>
          <w:p>
            <w:pPr>
              <w:pStyle w:val="TableParagraph"/>
              <w:spacing w:line="254" w:lineRule="exact"/>
              <w:ind w:left="382" w:right="372"/>
              <w:jc w:val="center"/>
              <w:rPr>
                <w:sz w:val="20"/>
              </w:rPr>
            </w:pPr>
            <w:r>
              <w:rPr>
                <w:sz w:val="20"/>
              </w:rPr>
              <w:t>1.48</w:t>
            </w:r>
          </w:p>
        </w:tc>
        <w:tc>
          <w:tcPr>
            <w:tcW w:w="1772" w:type="dxa"/>
          </w:tcPr>
          <w:p>
            <w:pPr>
              <w:pStyle w:val="TableParagraph"/>
              <w:spacing w:line="254" w:lineRule="exact"/>
              <w:ind w:left="199" w:right="187"/>
              <w:jc w:val="center"/>
              <w:rPr>
                <w:sz w:val="20"/>
              </w:rPr>
            </w:pPr>
            <w:r>
              <w:rPr>
                <w:sz w:val="20"/>
              </w:rPr>
              <w:t>0.20</w:t>
            </w:r>
          </w:p>
        </w:tc>
      </w:tr>
      <w:tr>
        <w:trPr>
          <w:trHeight w:val="311" w:hRule="atLeast"/>
        </w:trPr>
        <w:tc>
          <w:tcPr>
            <w:tcW w:w="1460" w:type="dxa"/>
          </w:tcPr>
          <w:p>
            <w:pPr>
              <w:pStyle w:val="TableParagraph"/>
              <w:spacing w:line="254" w:lineRule="exact"/>
              <w:ind w:left="259" w:right="251"/>
              <w:jc w:val="center"/>
              <w:rPr>
                <w:sz w:val="20"/>
              </w:rPr>
            </w:pPr>
            <w:r>
              <w:rPr>
                <w:sz w:val="20"/>
              </w:rPr>
              <w:t>30</w:t>
            </w:r>
          </w:p>
        </w:tc>
        <w:tc>
          <w:tcPr>
            <w:tcW w:w="1716" w:type="dxa"/>
          </w:tcPr>
          <w:p>
            <w:pPr>
              <w:pStyle w:val="TableParagraph"/>
              <w:spacing w:line="254" w:lineRule="exact"/>
              <w:ind w:left="361" w:right="350"/>
              <w:jc w:val="center"/>
              <w:rPr>
                <w:sz w:val="20"/>
              </w:rPr>
            </w:pPr>
            <w:r>
              <w:rPr>
                <w:sz w:val="20"/>
              </w:rPr>
              <w:t>1.66</w:t>
            </w:r>
          </w:p>
        </w:tc>
        <w:tc>
          <w:tcPr>
            <w:tcW w:w="1702" w:type="dxa"/>
          </w:tcPr>
          <w:p>
            <w:pPr>
              <w:pStyle w:val="TableParagraph"/>
              <w:spacing w:line="254" w:lineRule="exact"/>
              <w:ind w:left="164" w:right="153"/>
              <w:jc w:val="center"/>
              <w:rPr>
                <w:sz w:val="20"/>
              </w:rPr>
            </w:pPr>
            <w:r>
              <w:rPr>
                <w:sz w:val="20"/>
              </w:rPr>
              <w:t>0.03</w:t>
            </w:r>
          </w:p>
        </w:tc>
        <w:tc>
          <w:tcPr>
            <w:tcW w:w="1760" w:type="dxa"/>
          </w:tcPr>
          <w:p>
            <w:pPr>
              <w:pStyle w:val="TableParagraph"/>
              <w:spacing w:line="254" w:lineRule="exact"/>
              <w:ind w:left="382" w:right="372"/>
              <w:jc w:val="center"/>
              <w:rPr>
                <w:sz w:val="20"/>
              </w:rPr>
            </w:pPr>
            <w:r>
              <w:rPr>
                <w:sz w:val="20"/>
              </w:rPr>
              <w:t>1.60</w:t>
            </w:r>
          </w:p>
        </w:tc>
        <w:tc>
          <w:tcPr>
            <w:tcW w:w="1772" w:type="dxa"/>
          </w:tcPr>
          <w:p>
            <w:pPr>
              <w:pStyle w:val="TableParagraph"/>
              <w:spacing w:line="254" w:lineRule="exact"/>
              <w:ind w:left="199" w:right="187"/>
              <w:jc w:val="center"/>
              <w:rPr>
                <w:sz w:val="20"/>
              </w:rPr>
            </w:pPr>
            <w:r>
              <w:rPr>
                <w:sz w:val="20"/>
              </w:rPr>
              <w:t>0.24</w:t>
            </w:r>
          </w:p>
        </w:tc>
      </w:tr>
      <w:tr>
        <w:trPr>
          <w:trHeight w:val="311" w:hRule="atLeast"/>
        </w:trPr>
        <w:tc>
          <w:tcPr>
            <w:tcW w:w="1460" w:type="dxa"/>
          </w:tcPr>
          <w:p>
            <w:pPr>
              <w:pStyle w:val="TableParagraph"/>
              <w:spacing w:line="254" w:lineRule="exact"/>
              <w:ind w:left="259" w:right="251"/>
              <w:jc w:val="center"/>
              <w:rPr>
                <w:sz w:val="20"/>
              </w:rPr>
            </w:pPr>
            <w:r>
              <w:rPr>
                <w:sz w:val="20"/>
              </w:rPr>
              <w:t>31</w:t>
            </w:r>
          </w:p>
        </w:tc>
        <w:tc>
          <w:tcPr>
            <w:tcW w:w="1716" w:type="dxa"/>
          </w:tcPr>
          <w:p>
            <w:pPr>
              <w:pStyle w:val="TableParagraph"/>
              <w:spacing w:line="254" w:lineRule="exact"/>
              <w:ind w:left="361" w:right="350"/>
              <w:jc w:val="center"/>
              <w:rPr>
                <w:sz w:val="20"/>
              </w:rPr>
            </w:pPr>
            <w:r>
              <w:rPr>
                <w:sz w:val="20"/>
              </w:rPr>
              <w:t>1.74</w:t>
            </w:r>
          </w:p>
        </w:tc>
        <w:tc>
          <w:tcPr>
            <w:tcW w:w="1702" w:type="dxa"/>
          </w:tcPr>
          <w:p>
            <w:pPr>
              <w:pStyle w:val="TableParagraph"/>
              <w:spacing w:line="254" w:lineRule="exact"/>
              <w:ind w:left="164" w:right="153"/>
              <w:jc w:val="center"/>
              <w:rPr>
                <w:sz w:val="20"/>
              </w:rPr>
            </w:pPr>
            <w:r>
              <w:rPr>
                <w:sz w:val="20"/>
              </w:rPr>
              <w:t>0.03</w:t>
            </w:r>
          </w:p>
        </w:tc>
        <w:tc>
          <w:tcPr>
            <w:tcW w:w="1760" w:type="dxa"/>
          </w:tcPr>
          <w:p>
            <w:pPr>
              <w:pStyle w:val="TableParagraph"/>
              <w:spacing w:line="254" w:lineRule="exact"/>
              <w:ind w:left="382" w:right="372"/>
              <w:jc w:val="center"/>
              <w:rPr>
                <w:sz w:val="20"/>
              </w:rPr>
            </w:pPr>
            <w:r>
              <w:rPr>
                <w:sz w:val="20"/>
              </w:rPr>
              <w:t>1.72</w:t>
            </w:r>
          </w:p>
        </w:tc>
        <w:tc>
          <w:tcPr>
            <w:tcW w:w="1772" w:type="dxa"/>
          </w:tcPr>
          <w:p>
            <w:pPr>
              <w:pStyle w:val="TableParagraph"/>
              <w:spacing w:line="254" w:lineRule="exact"/>
              <w:ind w:left="199" w:right="187"/>
              <w:jc w:val="center"/>
              <w:rPr>
                <w:sz w:val="20"/>
              </w:rPr>
            </w:pPr>
            <w:r>
              <w:rPr>
                <w:sz w:val="20"/>
              </w:rPr>
              <w:t>0.27</w:t>
            </w:r>
          </w:p>
        </w:tc>
      </w:tr>
      <w:tr>
        <w:trPr>
          <w:trHeight w:val="311" w:hRule="atLeast"/>
        </w:trPr>
        <w:tc>
          <w:tcPr>
            <w:tcW w:w="1460" w:type="dxa"/>
          </w:tcPr>
          <w:p>
            <w:pPr>
              <w:pStyle w:val="TableParagraph"/>
              <w:spacing w:line="254" w:lineRule="exact"/>
              <w:ind w:left="259" w:right="251"/>
              <w:jc w:val="center"/>
              <w:rPr>
                <w:sz w:val="20"/>
              </w:rPr>
            </w:pPr>
            <w:r>
              <w:rPr>
                <w:sz w:val="20"/>
              </w:rPr>
              <w:t>32</w:t>
            </w:r>
          </w:p>
        </w:tc>
        <w:tc>
          <w:tcPr>
            <w:tcW w:w="1716" w:type="dxa"/>
          </w:tcPr>
          <w:p>
            <w:pPr>
              <w:pStyle w:val="TableParagraph"/>
              <w:spacing w:line="254" w:lineRule="exact"/>
              <w:ind w:left="361" w:right="350"/>
              <w:jc w:val="center"/>
              <w:rPr>
                <w:sz w:val="20"/>
              </w:rPr>
            </w:pPr>
            <w:r>
              <w:rPr>
                <w:sz w:val="20"/>
              </w:rPr>
              <w:t>1.83</w:t>
            </w:r>
          </w:p>
        </w:tc>
        <w:tc>
          <w:tcPr>
            <w:tcW w:w="1702" w:type="dxa"/>
          </w:tcPr>
          <w:p>
            <w:pPr>
              <w:pStyle w:val="TableParagraph"/>
              <w:spacing w:line="254" w:lineRule="exact"/>
              <w:ind w:left="164" w:right="153"/>
              <w:jc w:val="center"/>
              <w:rPr>
                <w:sz w:val="20"/>
              </w:rPr>
            </w:pPr>
            <w:r>
              <w:rPr>
                <w:sz w:val="20"/>
              </w:rPr>
              <w:t>0.03</w:t>
            </w:r>
          </w:p>
        </w:tc>
        <w:tc>
          <w:tcPr>
            <w:tcW w:w="1760" w:type="dxa"/>
          </w:tcPr>
          <w:p>
            <w:pPr>
              <w:pStyle w:val="TableParagraph"/>
              <w:spacing w:line="254" w:lineRule="exact"/>
              <w:ind w:left="382" w:right="372"/>
              <w:jc w:val="center"/>
              <w:rPr>
                <w:sz w:val="20"/>
              </w:rPr>
            </w:pPr>
            <w:r>
              <w:rPr>
                <w:sz w:val="20"/>
              </w:rPr>
              <w:t>1.86</w:t>
            </w:r>
          </w:p>
        </w:tc>
        <w:tc>
          <w:tcPr>
            <w:tcW w:w="1772" w:type="dxa"/>
          </w:tcPr>
          <w:p>
            <w:pPr>
              <w:pStyle w:val="TableParagraph"/>
              <w:spacing w:line="254" w:lineRule="exact"/>
              <w:ind w:left="199" w:right="187"/>
              <w:jc w:val="center"/>
              <w:rPr>
                <w:sz w:val="20"/>
              </w:rPr>
            </w:pPr>
            <w:r>
              <w:rPr>
                <w:sz w:val="20"/>
              </w:rPr>
              <w:t>0.30</w:t>
            </w:r>
          </w:p>
        </w:tc>
      </w:tr>
      <w:tr>
        <w:trPr>
          <w:trHeight w:val="311" w:hRule="atLeast"/>
        </w:trPr>
        <w:tc>
          <w:tcPr>
            <w:tcW w:w="1460" w:type="dxa"/>
          </w:tcPr>
          <w:p>
            <w:pPr>
              <w:pStyle w:val="TableParagraph"/>
              <w:spacing w:line="254" w:lineRule="exact"/>
              <w:ind w:left="259" w:right="251"/>
              <w:jc w:val="center"/>
              <w:rPr>
                <w:sz w:val="20"/>
              </w:rPr>
            </w:pPr>
            <w:r>
              <w:rPr>
                <w:sz w:val="20"/>
              </w:rPr>
              <w:t>33</w:t>
            </w:r>
          </w:p>
        </w:tc>
        <w:tc>
          <w:tcPr>
            <w:tcW w:w="1716" w:type="dxa"/>
          </w:tcPr>
          <w:p>
            <w:pPr>
              <w:pStyle w:val="TableParagraph"/>
              <w:spacing w:line="254" w:lineRule="exact"/>
              <w:ind w:left="361" w:right="350"/>
              <w:jc w:val="center"/>
              <w:rPr>
                <w:sz w:val="20"/>
              </w:rPr>
            </w:pPr>
            <w:r>
              <w:rPr>
                <w:sz w:val="20"/>
              </w:rPr>
              <w:t>1.94</w:t>
            </w:r>
          </w:p>
        </w:tc>
        <w:tc>
          <w:tcPr>
            <w:tcW w:w="1702" w:type="dxa"/>
          </w:tcPr>
          <w:p>
            <w:pPr>
              <w:pStyle w:val="TableParagraph"/>
              <w:spacing w:line="254" w:lineRule="exact"/>
              <w:ind w:left="164" w:right="153"/>
              <w:jc w:val="center"/>
              <w:rPr>
                <w:sz w:val="20"/>
              </w:rPr>
            </w:pPr>
            <w:r>
              <w:rPr>
                <w:sz w:val="20"/>
              </w:rPr>
              <w:t>0.03</w:t>
            </w:r>
          </w:p>
        </w:tc>
        <w:tc>
          <w:tcPr>
            <w:tcW w:w="1760" w:type="dxa"/>
          </w:tcPr>
          <w:p>
            <w:pPr>
              <w:pStyle w:val="TableParagraph"/>
              <w:spacing w:line="254" w:lineRule="exact"/>
              <w:ind w:left="382" w:right="372"/>
              <w:jc w:val="center"/>
              <w:rPr>
                <w:sz w:val="20"/>
              </w:rPr>
            </w:pPr>
            <w:r>
              <w:rPr>
                <w:sz w:val="20"/>
              </w:rPr>
              <w:t>2.01</w:t>
            </w:r>
          </w:p>
        </w:tc>
        <w:tc>
          <w:tcPr>
            <w:tcW w:w="1772" w:type="dxa"/>
          </w:tcPr>
          <w:p>
            <w:pPr>
              <w:pStyle w:val="TableParagraph"/>
              <w:spacing w:line="254" w:lineRule="exact"/>
              <w:ind w:left="199" w:right="187"/>
              <w:jc w:val="center"/>
              <w:rPr>
                <w:sz w:val="20"/>
              </w:rPr>
            </w:pPr>
            <w:r>
              <w:rPr>
                <w:sz w:val="20"/>
              </w:rPr>
              <w:t>0.33</w:t>
            </w:r>
          </w:p>
        </w:tc>
      </w:tr>
      <w:tr>
        <w:trPr>
          <w:trHeight w:val="313" w:hRule="atLeast"/>
        </w:trPr>
        <w:tc>
          <w:tcPr>
            <w:tcW w:w="1460" w:type="dxa"/>
          </w:tcPr>
          <w:p>
            <w:pPr>
              <w:pStyle w:val="TableParagraph"/>
              <w:spacing w:line="256" w:lineRule="exact"/>
              <w:ind w:left="259" w:right="251"/>
              <w:jc w:val="center"/>
              <w:rPr>
                <w:sz w:val="20"/>
              </w:rPr>
            </w:pPr>
            <w:r>
              <w:rPr>
                <w:sz w:val="20"/>
              </w:rPr>
              <w:t>34</w:t>
            </w:r>
          </w:p>
        </w:tc>
        <w:tc>
          <w:tcPr>
            <w:tcW w:w="1716" w:type="dxa"/>
          </w:tcPr>
          <w:p>
            <w:pPr>
              <w:pStyle w:val="TableParagraph"/>
              <w:spacing w:line="256" w:lineRule="exact"/>
              <w:ind w:left="361" w:right="350"/>
              <w:jc w:val="center"/>
              <w:rPr>
                <w:sz w:val="20"/>
              </w:rPr>
            </w:pPr>
            <w:r>
              <w:rPr>
                <w:sz w:val="20"/>
              </w:rPr>
              <w:t>2.08</w:t>
            </w:r>
          </w:p>
        </w:tc>
        <w:tc>
          <w:tcPr>
            <w:tcW w:w="1702" w:type="dxa"/>
          </w:tcPr>
          <w:p>
            <w:pPr>
              <w:pStyle w:val="TableParagraph"/>
              <w:spacing w:line="256" w:lineRule="exact"/>
              <w:ind w:left="164" w:right="153"/>
              <w:jc w:val="center"/>
              <w:rPr>
                <w:sz w:val="20"/>
              </w:rPr>
            </w:pPr>
            <w:r>
              <w:rPr>
                <w:sz w:val="20"/>
              </w:rPr>
              <w:t>0.04</w:t>
            </w:r>
          </w:p>
        </w:tc>
        <w:tc>
          <w:tcPr>
            <w:tcW w:w="1760" w:type="dxa"/>
          </w:tcPr>
          <w:p>
            <w:pPr>
              <w:pStyle w:val="TableParagraph"/>
              <w:spacing w:line="256" w:lineRule="exact"/>
              <w:ind w:left="382" w:right="372"/>
              <w:jc w:val="center"/>
              <w:rPr>
                <w:sz w:val="20"/>
              </w:rPr>
            </w:pPr>
            <w:r>
              <w:rPr>
                <w:sz w:val="20"/>
              </w:rPr>
              <w:t>2.19</w:t>
            </w:r>
          </w:p>
        </w:tc>
        <w:tc>
          <w:tcPr>
            <w:tcW w:w="1772" w:type="dxa"/>
          </w:tcPr>
          <w:p>
            <w:pPr>
              <w:pStyle w:val="TableParagraph"/>
              <w:spacing w:line="256" w:lineRule="exact"/>
              <w:ind w:left="199" w:right="187"/>
              <w:jc w:val="center"/>
              <w:rPr>
                <w:sz w:val="20"/>
              </w:rPr>
            </w:pPr>
            <w:r>
              <w:rPr>
                <w:sz w:val="20"/>
              </w:rPr>
              <w:t>0.35</w:t>
            </w:r>
          </w:p>
        </w:tc>
      </w:tr>
      <w:tr>
        <w:trPr>
          <w:trHeight w:val="311" w:hRule="atLeast"/>
        </w:trPr>
        <w:tc>
          <w:tcPr>
            <w:tcW w:w="1460" w:type="dxa"/>
          </w:tcPr>
          <w:p>
            <w:pPr>
              <w:pStyle w:val="TableParagraph"/>
              <w:spacing w:line="254" w:lineRule="exact"/>
              <w:ind w:left="259" w:right="251"/>
              <w:jc w:val="center"/>
              <w:rPr>
                <w:sz w:val="20"/>
              </w:rPr>
            </w:pPr>
            <w:r>
              <w:rPr>
                <w:sz w:val="20"/>
              </w:rPr>
              <w:t>35</w:t>
            </w:r>
          </w:p>
        </w:tc>
        <w:tc>
          <w:tcPr>
            <w:tcW w:w="1716" w:type="dxa"/>
          </w:tcPr>
          <w:p>
            <w:pPr>
              <w:pStyle w:val="TableParagraph"/>
              <w:spacing w:line="254" w:lineRule="exact"/>
              <w:ind w:left="361" w:right="350"/>
              <w:jc w:val="center"/>
              <w:rPr>
                <w:sz w:val="20"/>
              </w:rPr>
            </w:pPr>
            <w:r>
              <w:rPr>
                <w:sz w:val="20"/>
              </w:rPr>
              <w:t>2.2</w:t>
            </w:r>
          </w:p>
        </w:tc>
        <w:tc>
          <w:tcPr>
            <w:tcW w:w="1702" w:type="dxa"/>
          </w:tcPr>
          <w:p>
            <w:pPr>
              <w:pStyle w:val="TableParagraph"/>
              <w:spacing w:line="254" w:lineRule="exact"/>
              <w:ind w:left="164" w:right="153"/>
              <w:jc w:val="center"/>
              <w:rPr>
                <w:sz w:val="20"/>
              </w:rPr>
            </w:pPr>
            <w:r>
              <w:rPr>
                <w:sz w:val="20"/>
              </w:rPr>
              <w:t>0.04</w:t>
            </w:r>
          </w:p>
        </w:tc>
        <w:tc>
          <w:tcPr>
            <w:tcW w:w="1760" w:type="dxa"/>
          </w:tcPr>
          <w:p>
            <w:pPr>
              <w:pStyle w:val="TableParagraph"/>
              <w:spacing w:line="254" w:lineRule="exact"/>
              <w:ind w:left="382" w:right="372"/>
              <w:jc w:val="center"/>
              <w:rPr>
                <w:sz w:val="20"/>
              </w:rPr>
            </w:pPr>
            <w:r>
              <w:rPr>
                <w:sz w:val="20"/>
              </w:rPr>
              <w:t>2.33</w:t>
            </w:r>
          </w:p>
        </w:tc>
        <w:tc>
          <w:tcPr>
            <w:tcW w:w="1772" w:type="dxa"/>
          </w:tcPr>
          <w:p>
            <w:pPr>
              <w:pStyle w:val="TableParagraph"/>
              <w:spacing w:line="254" w:lineRule="exact"/>
              <w:ind w:left="199" w:right="187"/>
              <w:jc w:val="center"/>
              <w:rPr>
                <w:sz w:val="20"/>
              </w:rPr>
            </w:pPr>
            <w:r>
              <w:rPr>
                <w:sz w:val="20"/>
              </w:rPr>
              <w:t>0.37</w:t>
            </w:r>
          </w:p>
        </w:tc>
      </w:tr>
      <w:tr>
        <w:trPr>
          <w:trHeight w:val="311" w:hRule="atLeast"/>
        </w:trPr>
        <w:tc>
          <w:tcPr>
            <w:tcW w:w="1460" w:type="dxa"/>
          </w:tcPr>
          <w:p>
            <w:pPr>
              <w:pStyle w:val="TableParagraph"/>
              <w:spacing w:line="254" w:lineRule="exact"/>
              <w:ind w:left="259" w:right="251"/>
              <w:jc w:val="center"/>
              <w:rPr>
                <w:sz w:val="20"/>
              </w:rPr>
            </w:pPr>
            <w:r>
              <w:rPr>
                <w:sz w:val="20"/>
              </w:rPr>
              <w:t>36</w:t>
            </w:r>
          </w:p>
        </w:tc>
        <w:tc>
          <w:tcPr>
            <w:tcW w:w="1716" w:type="dxa"/>
          </w:tcPr>
          <w:p>
            <w:pPr>
              <w:pStyle w:val="TableParagraph"/>
              <w:spacing w:line="254" w:lineRule="exact"/>
              <w:ind w:left="361" w:right="350"/>
              <w:jc w:val="center"/>
              <w:rPr>
                <w:sz w:val="20"/>
              </w:rPr>
            </w:pPr>
            <w:r>
              <w:rPr>
                <w:sz w:val="20"/>
              </w:rPr>
              <w:t>2.33</w:t>
            </w:r>
          </w:p>
        </w:tc>
        <w:tc>
          <w:tcPr>
            <w:tcW w:w="1702" w:type="dxa"/>
          </w:tcPr>
          <w:p>
            <w:pPr>
              <w:pStyle w:val="TableParagraph"/>
              <w:spacing w:line="254" w:lineRule="exact"/>
              <w:ind w:left="164" w:right="153"/>
              <w:jc w:val="center"/>
              <w:rPr>
                <w:sz w:val="20"/>
              </w:rPr>
            </w:pPr>
            <w:r>
              <w:rPr>
                <w:sz w:val="20"/>
              </w:rPr>
              <w:t>0.04</w:t>
            </w:r>
          </w:p>
        </w:tc>
        <w:tc>
          <w:tcPr>
            <w:tcW w:w="1760" w:type="dxa"/>
          </w:tcPr>
          <w:p>
            <w:pPr>
              <w:pStyle w:val="TableParagraph"/>
              <w:spacing w:line="254" w:lineRule="exact"/>
              <w:ind w:left="382" w:right="372"/>
              <w:jc w:val="center"/>
              <w:rPr>
                <w:sz w:val="20"/>
              </w:rPr>
            </w:pPr>
            <w:r>
              <w:rPr>
                <w:sz w:val="20"/>
              </w:rPr>
              <w:t>2.52</w:t>
            </w:r>
          </w:p>
        </w:tc>
        <w:tc>
          <w:tcPr>
            <w:tcW w:w="1772" w:type="dxa"/>
          </w:tcPr>
          <w:p>
            <w:pPr>
              <w:pStyle w:val="TableParagraph"/>
              <w:spacing w:line="254" w:lineRule="exact"/>
              <w:ind w:left="199" w:right="187"/>
              <w:jc w:val="center"/>
              <w:rPr>
                <w:sz w:val="20"/>
              </w:rPr>
            </w:pPr>
            <w:r>
              <w:rPr>
                <w:sz w:val="20"/>
              </w:rPr>
              <w:t>0.39</w:t>
            </w:r>
          </w:p>
        </w:tc>
      </w:tr>
      <w:tr>
        <w:trPr>
          <w:trHeight w:val="311" w:hRule="atLeast"/>
        </w:trPr>
        <w:tc>
          <w:tcPr>
            <w:tcW w:w="1460" w:type="dxa"/>
          </w:tcPr>
          <w:p>
            <w:pPr>
              <w:pStyle w:val="TableParagraph"/>
              <w:spacing w:line="254" w:lineRule="exact"/>
              <w:ind w:left="259" w:right="251"/>
              <w:jc w:val="center"/>
              <w:rPr>
                <w:sz w:val="20"/>
              </w:rPr>
            </w:pPr>
            <w:r>
              <w:rPr>
                <w:sz w:val="20"/>
              </w:rPr>
              <w:t>37</w:t>
            </w:r>
          </w:p>
        </w:tc>
        <w:tc>
          <w:tcPr>
            <w:tcW w:w="1716" w:type="dxa"/>
          </w:tcPr>
          <w:p>
            <w:pPr>
              <w:pStyle w:val="TableParagraph"/>
              <w:spacing w:line="254" w:lineRule="exact"/>
              <w:ind w:left="361" w:right="350"/>
              <w:jc w:val="center"/>
              <w:rPr>
                <w:sz w:val="20"/>
              </w:rPr>
            </w:pPr>
            <w:r>
              <w:rPr>
                <w:sz w:val="20"/>
              </w:rPr>
              <w:t>2.54</w:t>
            </w:r>
          </w:p>
        </w:tc>
        <w:tc>
          <w:tcPr>
            <w:tcW w:w="1702" w:type="dxa"/>
          </w:tcPr>
          <w:p>
            <w:pPr>
              <w:pStyle w:val="TableParagraph"/>
              <w:spacing w:line="254" w:lineRule="exact"/>
              <w:ind w:left="164" w:right="153"/>
              <w:jc w:val="center"/>
              <w:rPr>
                <w:sz w:val="20"/>
              </w:rPr>
            </w:pPr>
            <w:r>
              <w:rPr>
                <w:sz w:val="20"/>
              </w:rPr>
              <w:t>0.04</w:t>
            </w:r>
          </w:p>
        </w:tc>
        <w:tc>
          <w:tcPr>
            <w:tcW w:w="1760" w:type="dxa"/>
          </w:tcPr>
          <w:p>
            <w:pPr>
              <w:pStyle w:val="TableParagraph"/>
              <w:spacing w:line="254" w:lineRule="exact"/>
              <w:ind w:left="382" w:right="372"/>
              <w:jc w:val="center"/>
              <w:rPr>
                <w:sz w:val="20"/>
              </w:rPr>
            </w:pPr>
            <w:r>
              <w:rPr>
                <w:sz w:val="20"/>
              </w:rPr>
              <w:t>2.75</w:t>
            </w:r>
          </w:p>
        </w:tc>
        <w:tc>
          <w:tcPr>
            <w:tcW w:w="1772" w:type="dxa"/>
          </w:tcPr>
          <w:p>
            <w:pPr>
              <w:pStyle w:val="TableParagraph"/>
              <w:spacing w:line="254" w:lineRule="exact"/>
              <w:ind w:left="199" w:right="187"/>
              <w:jc w:val="center"/>
              <w:rPr>
                <w:sz w:val="20"/>
              </w:rPr>
            </w:pPr>
            <w:r>
              <w:rPr>
                <w:sz w:val="20"/>
              </w:rPr>
              <w:t>0.41</w:t>
            </w:r>
          </w:p>
        </w:tc>
      </w:tr>
      <w:tr>
        <w:trPr>
          <w:trHeight w:val="311" w:hRule="atLeast"/>
        </w:trPr>
        <w:tc>
          <w:tcPr>
            <w:tcW w:w="1460" w:type="dxa"/>
          </w:tcPr>
          <w:p>
            <w:pPr>
              <w:pStyle w:val="TableParagraph"/>
              <w:spacing w:line="254" w:lineRule="exact"/>
              <w:ind w:left="259" w:right="251"/>
              <w:jc w:val="center"/>
              <w:rPr>
                <w:sz w:val="20"/>
              </w:rPr>
            </w:pPr>
            <w:r>
              <w:rPr>
                <w:sz w:val="20"/>
              </w:rPr>
              <w:t>38</w:t>
            </w:r>
          </w:p>
        </w:tc>
        <w:tc>
          <w:tcPr>
            <w:tcW w:w="1716" w:type="dxa"/>
          </w:tcPr>
          <w:p>
            <w:pPr>
              <w:pStyle w:val="TableParagraph"/>
              <w:spacing w:line="254" w:lineRule="exact"/>
              <w:ind w:left="361" w:right="350"/>
              <w:jc w:val="center"/>
              <w:rPr>
                <w:sz w:val="20"/>
              </w:rPr>
            </w:pPr>
            <w:r>
              <w:rPr>
                <w:sz w:val="20"/>
              </w:rPr>
              <w:t>2.75</w:t>
            </w:r>
          </w:p>
        </w:tc>
        <w:tc>
          <w:tcPr>
            <w:tcW w:w="1702" w:type="dxa"/>
          </w:tcPr>
          <w:p>
            <w:pPr>
              <w:pStyle w:val="TableParagraph"/>
              <w:spacing w:line="254" w:lineRule="exact"/>
              <w:ind w:left="164" w:right="153"/>
              <w:jc w:val="center"/>
              <w:rPr>
                <w:sz w:val="20"/>
              </w:rPr>
            </w:pPr>
            <w:r>
              <w:rPr>
                <w:sz w:val="20"/>
              </w:rPr>
              <w:t>0.05</w:t>
            </w:r>
          </w:p>
        </w:tc>
        <w:tc>
          <w:tcPr>
            <w:tcW w:w="1760" w:type="dxa"/>
          </w:tcPr>
          <w:p>
            <w:pPr>
              <w:pStyle w:val="TableParagraph"/>
              <w:spacing w:line="254" w:lineRule="exact"/>
              <w:ind w:left="382" w:right="372"/>
              <w:jc w:val="center"/>
              <w:rPr>
                <w:sz w:val="20"/>
              </w:rPr>
            </w:pPr>
            <w:r>
              <w:rPr>
                <w:sz w:val="20"/>
              </w:rPr>
              <w:t>3.00</w:t>
            </w:r>
          </w:p>
        </w:tc>
        <w:tc>
          <w:tcPr>
            <w:tcW w:w="1772" w:type="dxa"/>
          </w:tcPr>
          <w:p>
            <w:pPr>
              <w:pStyle w:val="TableParagraph"/>
              <w:spacing w:line="254" w:lineRule="exact"/>
              <w:ind w:left="199" w:right="187"/>
              <w:jc w:val="center"/>
              <w:rPr>
                <w:sz w:val="20"/>
              </w:rPr>
            </w:pPr>
            <w:r>
              <w:rPr>
                <w:sz w:val="20"/>
              </w:rPr>
              <w:t>0.43</w:t>
            </w:r>
          </w:p>
        </w:tc>
      </w:tr>
      <w:tr>
        <w:trPr>
          <w:trHeight w:val="311" w:hRule="atLeast"/>
        </w:trPr>
        <w:tc>
          <w:tcPr>
            <w:tcW w:w="1460" w:type="dxa"/>
          </w:tcPr>
          <w:p>
            <w:pPr>
              <w:pStyle w:val="TableParagraph"/>
              <w:spacing w:line="254" w:lineRule="exact"/>
              <w:ind w:left="259" w:right="251"/>
              <w:jc w:val="center"/>
              <w:rPr>
                <w:sz w:val="20"/>
              </w:rPr>
            </w:pPr>
            <w:r>
              <w:rPr>
                <w:sz w:val="20"/>
              </w:rPr>
              <w:t>39</w:t>
            </w:r>
          </w:p>
        </w:tc>
        <w:tc>
          <w:tcPr>
            <w:tcW w:w="1716" w:type="dxa"/>
          </w:tcPr>
          <w:p>
            <w:pPr>
              <w:pStyle w:val="TableParagraph"/>
              <w:spacing w:line="254" w:lineRule="exact"/>
              <w:ind w:left="361" w:right="350"/>
              <w:jc w:val="center"/>
              <w:rPr>
                <w:sz w:val="20"/>
              </w:rPr>
            </w:pPr>
            <w:r>
              <w:rPr>
                <w:sz w:val="20"/>
              </w:rPr>
              <w:t>2.96</w:t>
            </w:r>
          </w:p>
        </w:tc>
        <w:tc>
          <w:tcPr>
            <w:tcW w:w="1702" w:type="dxa"/>
          </w:tcPr>
          <w:p>
            <w:pPr>
              <w:pStyle w:val="TableParagraph"/>
              <w:spacing w:line="254" w:lineRule="exact"/>
              <w:ind w:left="164" w:right="153"/>
              <w:jc w:val="center"/>
              <w:rPr>
                <w:sz w:val="20"/>
              </w:rPr>
            </w:pPr>
            <w:r>
              <w:rPr>
                <w:sz w:val="20"/>
              </w:rPr>
              <w:t>0.06</w:t>
            </w:r>
          </w:p>
        </w:tc>
        <w:tc>
          <w:tcPr>
            <w:tcW w:w="1760" w:type="dxa"/>
          </w:tcPr>
          <w:p>
            <w:pPr>
              <w:pStyle w:val="TableParagraph"/>
              <w:spacing w:line="254" w:lineRule="exact"/>
              <w:ind w:left="382" w:right="372"/>
              <w:jc w:val="center"/>
              <w:rPr>
                <w:sz w:val="20"/>
              </w:rPr>
            </w:pPr>
            <w:r>
              <w:rPr>
                <w:sz w:val="20"/>
              </w:rPr>
              <w:t>3.22</w:t>
            </w:r>
          </w:p>
        </w:tc>
        <w:tc>
          <w:tcPr>
            <w:tcW w:w="1772" w:type="dxa"/>
          </w:tcPr>
          <w:p>
            <w:pPr>
              <w:pStyle w:val="TableParagraph"/>
              <w:spacing w:line="254" w:lineRule="exact"/>
              <w:ind w:left="199" w:right="187"/>
              <w:jc w:val="center"/>
              <w:rPr>
                <w:sz w:val="20"/>
              </w:rPr>
            </w:pPr>
            <w:r>
              <w:rPr>
                <w:sz w:val="20"/>
              </w:rPr>
              <w:t>0.45</w:t>
            </w:r>
          </w:p>
        </w:tc>
      </w:tr>
      <w:tr>
        <w:trPr>
          <w:trHeight w:val="314" w:hRule="atLeast"/>
        </w:trPr>
        <w:tc>
          <w:tcPr>
            <w:tcW w:w="1460" w:type="dxa"/>
          </w:tcPr>
          <w:p>
            <w:pPr>
              <w:pStyle w:val="TableParagraph"/>
              <w:spacing w:line="256" w:lineRule="exact"/>
              <w:ind w:left="259" w:right="251"/>
              <w:jc w:val="center"/>
              <w:rPr>
                <w:sz w:val="20"/>
              </w:rPr>
            </w:pPr>
            <w:r>
              <w:rPr>
                <w:sz w:val="20"/>
              </w:rPr>
              <w:t>40</w:t>
            </w:r>
          </w:p>
        </w:tc>
        <w:tc>
          <w:tcPr>
            <w:tcW w:w="1716" w:type="dxa"/>
          </w:tcPr>
          <w:p>
            <w:pPr>
              <w:pStyle w:val="TableParagraph"/>
              <w:spacing w:line="256" w:lineRule="exact"/>
              <w:ind w:left="361" w:right="350"/>
              <w:jc w:val="center"/>
              <w:rPr>
                <w:sz w:val="20"/>
              </w:rPr>
            </w:pPr>
            <w:r>
              <w:rPr>
                <w:sz w:val="20"/>
              </w:rPr>
              <w:t>3.23</w:t>
            </w:r>
          </w:p>
        </w:tc>
        <w:tc>
          <w:tcPr>
            <w:tcW w:w="1702" w:type="dxa"/>
          </w:tcPr>
          <w:p>
            <w:pPr>
              <w:pStyle w:val="TableParagraph"/>
              <w:spacing w:line="256" w:lineRule="exact"/>
              <w:ind w:left="164" w:right="153"/>
              <w:jc w:val="center"/>
              <w:rPr>
                <w:sz w:val="20"/>
              </w:rPr>
            </w:pPr>
            <w:r>
              <w:rPr>
                <w:sz w:val="20"/>
              </w:rPr>
              <w:t>0.06</w:t>
            </w:r>
          </w:p>
        </w:tc>
        <w:tc>
          <w:tcPr>
            <w:tcW w:w="1760" w:type="dxa"/>
          </w:tcPr>
          <w:p>
            <w:pPr>
              <w:pStyle w:val="TableParagraph"/>
              <w:spacing w:line="256" w:lineRule="exact"/>
              <w:ind w:left="382" w:right="372"/>
              <w:jc w:val="center"/>
              <w:rPr>
                <w:sz w:val="20"/>
              </w:rPr>
            </w:pPr>
            <w:r>
              <w:rPr>
                <w:sz w:val="20"/>
              </w:rPr>
              <w:t>3.49</w:t>
            </w:r>
          </w:p>
        </w:tc>
        <w:tc>
          <w:tcPr>
            <w:tcW w:w="1772" w:type="dxa"/>
          </w:tcPr>
          <w:p>
            <w:pPr>
              <w:pStyle w:val="TableParagraph"/>
              <w:spacing w:line="256" w:lineRule="exact"/>
              <w:ind w:left="199" w:right="187"/>
              <w:jc w:val="center"/>
              <w:rPr>
                <w:sz w:val="20"/>
              </w:rPr>
            </w:pPr>
            <w:r>
              <w:rPr>
                <w:sz w:val="20"/>
              </w:rPr>
              <w:t>0.48</w:t>
            </w:r>
          </w:p>
        </w:tc>
      </w:tr>
      <w:tr>
        <w:trPr>
          <w:trHeight w:val="311" w:hRule="atLeast"/>
        </w:trPr>
        <w:tc>
          <w:tcPr>
            <w:tcW w:w="1460" w:type="dxa"/>
          </w:tcPr>
          <w:p>
            <w:pPr>
              <w:pStyle w:val="TableParagraph"/>
              <w:spacing w:line="254" w:lineRule="exact"/>
              <w:ind w:left="259" w:right="251"/>
              <w:jc w:val="center"/>
              <w:rPr>
                <w:sz w:val="20"/>
              </w:rPr>
            </w:pPr>
            <w:r>
              <w:rPr>
                <w:sz w:val="20"/>
              </w:rPr>
              <w:t>41</w:t>
            </w:r>
          </w:p>
        </w:tc>
        <w:tc>
          <w:tcPr>
            <w:tcW w:w="1716" w:type="dxa"/>
          </w:tcPr>
          <w:p>
            <w:pPr>
              <w:pStyle w:val="TableParagraph"/>
              <w:spacing w:line="254" w:lineRule="exact"/>
              <w:ind w:left="361" w:right="350"/>
              <w:jc w:val="center"/>
              <w:rPr>
                <w:sz w:val="20"/>
              </w:rPr>
            </w:pPr>
            <w:r>
              <w:rPr>
                <w:sz w:val="20"/>
              </w:rPr>
              <w:t>3.53</w:t>
            </w:r>
          </w:p>
        </w:tc>
        <w:tc>
          <w:tcPr>
            <w:tcW w:w="1702" w:type="dxa"/>
          </w:tcPr>
          <w:p>
            <w:pPr>
              <w:pStyle w:val="TableParagraph"/>
              <w:spacing w:line="254" w:lineRule="exact"/>
              <w:ind w:left="164" w:right="153"/>
              <w:jc w:val="center"/>
              <w:rPr>
                <w:sz w:val="20"/>
              </w:rPr>
            </w:pPr>
            <w:r>
              <w:rPr>
                <w:sz w:val="20"/>
              </w:rPr>
              <w:t>0.07</w:t>
            </w:r>
          </w:p>
        </w:tc>
        <w:tc>
          <w:tcPr>
            <w:tcW w:w="1760" w:type="dxa"/>
          </w:tcPr>
          <w:p>
            <w:pPr>
              <w:pStyle w:val="TableParagraph"/>
              <w:spacing w:line="254" w:lineRule="exact"/>
              <w:ind w:left="382" w:right="372"/>
              <w:jc w:val="center"/>
              <w:rPr>
                <w:sz w:val="20"/>
              </w:rPr>
            </w:pPr>
            <w:r>
              <w:rPr>
                <w:sz w:val="20"/>
              </w:rPr>
              <w:t>3.79</w:t>
            </w:r>
          </w:p>
        </w:tc>
        <w:tc>
          <w:tcPr>
            <w:tcW w:w="1772" w:type="dxa"/>
          </w:tcPr>
          <w:p>
            <w:pPr>
              <w:pStyle w:val="TableParagraph"/>
              <w:spacing w:line="254" w:lineRule="exact"/>
              <w:ind w:left="199" w:right="187"/>
              <w:jc w:val="center"/>
              <w:rPr>
                <w:sz w:val="20"/>
              </w:rPr>
            </w:pPr>
            <w:r>
              <w:rPr>
                <w:sz w:val="20"/>
              </w:rPr>
              <w:t>0.50</w:t>
            </w:r>
          </w:p>
        </w:tc>
      </w:tr>
      <w:tr>
        <w:trPr>
          <w:trHeight w:val="311" w:hRule="atLeast"/>
        </w:trPr>
        <w:tc>
          <w:tcPr>
            <w:tcW w:w="1460" w:type="dxa"/>
          </w:tcPr>
          <w:p>
            <w:pPr>
              <w:pStyle w:val="TableParagraph"/>
              <w:spacing w:line="254" w:lineRule="exact"/>
              <w:ind w:left="259" w:right="251"/>
              <w:jc w:val="center"/>
              <w:rPr>
                <w:sz w:val="20"/>
              </w:rPr>
            </w:pPr>
            <w:r>
              <w:rPr>
                <w:sz w:val="20"/>
              </w:rPr>
              <w:t>42</w:t>
            </w:r>
          </w:p>
        </w:tc>
        <w:tc>
          <w:tcPr>
            <w:tcW w:w="1716" w:type="dxa"/>
          </w:tcPr>
          <w:p>
            <w:pPr>
              <w:pStyle w:val="TableParagraph"/>
              <w:spacing w:line="254" w:lineRule="exact"/>
              <w:ind w:left="361" w:right="350"/>
              <w:jc w:val="center"/>
              <w:rPr>
                <w:sz w:val="20"/>
              </w:rPr>
            </w:pPr>
            <w:r>
              <w:rPr>
                <w:sz w:val="20"/>
              </w:rPr>
              <w:t>3.89</w:t>
            </w:r>
          </w:p>
        </w:tc>
        <w:tc>
          <w:tcPr>
            <w:tcW w:w="1702" w:type="dxa"/>
          </w:tcPr>
          <w:p>
            <w:pPr>
              <w:pStyle w:val="TableParagraph"/>
              <w:spacing w:line="254" w:lineRule="exact"/>
              <w:ind w:left="164" w:right="153"/>
              <w:jc w:val="center"/>
              <w:rPr>
                <w:sz w:val="20"/>
              </w:rPr>
            </w:pPr>
            <w:r>
              <w:rPr>
                <w:sz w:val="20"/>
              </w:rPr>
              <w:t>0.08</w:t>
            </w:r>
          </w:p>
        </w:tc>
        <w:tc>
          <w:tcPr>
            <w:tcW w:w="1760" w:type="dxa"/>
          </w:tcPr>
          <w:p>
            <w:pPr>
              <w:pStyle w:val="TableParagraph"/>
              <w:spacing w:line="254" w:lineRule="exact"/>
              <w:ind w:left="382" w:right="372"/>
              <w:jc w:val="center"/>
              <w:rPr>
                <w:sz w:val="20"/>
              </w:rPr>
            </w:pPr>
            <w:r>
              <w:rPr>
                <w:sz w:val="20"/>
              </w:rPr>
              <w:t>4.09</w:t>
            </w:r>
          </w:p>
        </w:tc>
        <w:tc>
          <w:tcPr>
            <w:tcW w:w="1772" w:type="dxa"/>
          </w:tcPr>
          <w:p>
            <w:pPr>
              <w:pStyle w:val="TableParagraph"/>
              <w:spacing w:line="254" w:lineRule="exact"/>
              <w:ind w:left="199" w:right="187"/>
              <w:jc w:val="center"/>
              <w:rPr>
                <w:sz w:val="20"/>
              </w:rPr>
            </w:pPr>
            <w:r>
              <w:rPr>
                <w:sz w:val="20"/>
              </w:rPr>
              <w:t>0.51</w:t>
            </w:r>
          </w:p>
        </w:tc>
      </w:tr>
      <w:tr>
        <w:trPr>
          <w:trHeight w:val="311" w:hRule="atLeast"/>
        </w:trPr>
        <w:tc>
          <w:tcPr>
            <w:tcW w:w="1460" w:type="dxa"/>
          </w:tcPr>
          <w:p>
            <w:pPr>
              <w:pStyle w:val="TableParagraph"/>
              <w:spacing w:line="254" w:lineRule="exact"/>
              <w:ind w:left="259" w:right="251"/>
              <w:jc w:val="center"/>
              <w:rPr>
                <w:sz w:val="20"/>
              </w:rPr>
            </w:pPr>
            <w:r>
              <w:rPr>
                <w:sz w:val="20"/>
              </w:rPr>
              <w:t>43</w:t>
            </w:r>
          </w:p>
        </w:tc>
        <w:tc>
          <w:tcPr>
            <w:tcW w:w="1716" w:type="dxa"/>
          </w:tcPr>
          <w:p>
            <w:pPr>
              <w:pStyle w:val="TableParagraph"/>
              <w:spacing w:line="254" w:lineRule="exact"/>
              <w:ind w:left="361" w:right="350"/>
              <w:jc w:val="center"/>
              <w:rPr>
                <w:sz w:val="20"/>
              </w:rPr>
            </w:pPr>
            <w:r>
              <w:rPr>
                <w:sz w:val="20"/>
              </w:rPr>
              <w:t>4.22</w:t>
            </w:r>
          </w:p>
        </w:tc>
        <w:tc>
          <w:tcPr>
            <w:tcW w:w="1702" w:type="dxa"/>
          </w:tcPr>
          <w:p>
            <w:pPr>
              <w:pStyle w:val="TableParagraph"/>
              <w:spacing w:line="254" w:lineRule="exact"/>
              <w:ind w:left="164" w:right="153"/>
              <w:jc w:val="center"/>
              <w:rPr>
                <w:sz w:val="20"/>
              </w:rPr>
            </w:pPr>
            <w:r>
              <w:rPr>
                <w:sz w:val="20"/>
              </w:rPr>
              <w:t>0.09</w:t>
            </w:r>
          </w:p>
        </w:tc>
        <w:tc>
          <w:tcPr>
            <w:tcW w:w="1760" w:type="dxa"/>
          </w:tcPr>
          <w:p>
            <w:pPr>
              <w:pStyle w:val="TableParagraph"/>
              <w:spacing w:line="254" w:lineRule="exact"/>
              <w:ind w:left="382" w:right="372"/>
              <w:jc w:val="center"/>
              <w:rPr>
                <w:sz w:val="20"/>
              </w:rPr>
            </w:pPr>
            <w:r>
              <w:rPr>
                <w:sz w:val="20"/>
              </w:rPr>
              <w:t>4.44</w:t>
            </w:r>
          </w:p>
        </w:tc>
        <w:tc>
          <w:tcPr>
            <w:tcW w:w="1772" w:type="dxa"/>
          </w:tcPr>
          <w:p>
            <w:pPr>
              <w:pStyle w:val="TableParagraph"/>
              <w:spacing w:line="254" w:lineRule="exact"/>
              <w:ind w:left="199" w:right="187"/>
              <w:jc w:val="center"/>
              <w:rPr>
                <w:sz w:val="20"/>
              </w:rPr>
            </w:pPr>
            <w:r>
              <w:rPr>
                <w:sz w:val="20"/>
              </w:rPr>
              <w:t>0.53</w:t>
            </w:r>
          </w:p>
        </w:tc>
      </w:tr>
      <w:tr>
        <w:trPr>
          <w:trHeight w:val="311" w:hRule="atLeast"/>
        </w:trPr>
        <w:tc>
          <w:tcPr>
            <w:tcW w:w="1460" w:type="dxa"/>
          </w:tcPr>
          <w:p>
            <w:pPr>
              <w:pStyle w:val="TableParagraph"/>
              <w:spacing w:line="254" w:lineRule="exact"/>
              <w:ind w:left="259" w:right="251"/>
              <w:jc w:val="center"/>
              <w:rPr>
                <w:sz w:val="20"/>
              </w:rPr>
            </w:pPr>
            <w:r>
              <w:rPr>
                <w:sz w:val="20"/>
              </w:rPr>
              <w:t>44</w:t>
            </w:r>
          </w:p>
        </w:tc>
        <w:tc>
          <w:tcPr>
            <w:tcW w:w="1716" w:type="dxa"/>
          </w:tcPr>
          <w:p>
            <w:pPr>
              <w:pStyle w:val="TableParagraph"/>
              <w:spacing w:line="254" w:lineRule="exact"/>
              <w:ind w:left="361" w:right="350"/>
              <w:jc w:val="center"/>
              <w:rPr>
                <w:sz w:val="20"/>
              </w:rPr>
            </w:pPr>
            <w:r>
              <w:rPr>
                <w:sz w:val="20"/>
              </w:rPr>
              <w:t>4.78</w:t>
            </w:r>
          </w:p>
        </w:tc>
        <w:tc>
          <w:tcPr>
            <w:tcW w:w="1702" w:type="dxa"/>
          </w:tcPr>
          <w:p>
            <w:pPr>
              <w:pStyle w:val="TableParagraph"/>
              <w:spacing w:line="254" w:lineRule="exact"/>
              <w:ind w:left="164" w:right="153"/>
              <w:jc w:val="center"/>
              <w:rPr>
                <w:sz w:val="20"/>
              </w:rPr>
            </w:pPr>
            <w:r>
              <w:rPr>
                <w:sz w:val="20"/>
              </w:rPr>
              <w:t>0.09</w:t>
            </w:r>
          </w:p>
        </w:tc>
        <w:tc>
          <w:tcPr>
            <w:tcW w:w="1760" w:type="dxa"/>
          </w:tcPr>
          <w:p>
            <w:pPr>
              <w:pStyle w:val="TableParagraph"/>
              <w:spacing w:line="254" w:lineRule="exact"/>
              <w:ind w:left="382" w:right="372"/>
              <w:jc w:val="center"/>
              <w:rPr>
                <w:sz w:val="20"/>
              </w:rPr>
            </w:pPr>
            <w:r>
              <w:rPr>
                <w:sz w:val="20"/>
              </w:rPr>
              <w:t>4.83</w:t>
            </w:r>
          </w:p>
        </w:tc>
        <w:tc>
          <w:tcPr>
            <w:tcW w:w="1772" w:type="dxa"/>
          </w:tcPr>
          <w:p>
            <w:pPr>
              <w:pStyle w:val="TableParagraph"/>
              <w:spacing w:line="254" w:lineRule="exact"/>
              <w:ind w:left="199" w:right="187"/>
              <w:jc w:val="center"/>
              <w:rPr>
                <w:sz w:val="20"/>
              </w:rPr>
            </w:pPr>
            <w:r>
              <w:rPr>
                <w:sz w:val="20"/>
              </w:rPr>
              <w:t>0.54</w:t>
            </w:r>
          </w:p>
        </w:tc>
      </w:tr>
      <w:tr>
        <w:trPr>
          <w:trHeight w:val="311" w:hRule="atLeast"/>
        </w:trPr>
        <w:tc>
          <w:tcPr>
            <w:tcW w:w="1460" w:type="dxa"/>
          </w:tcPr>
          <w:p>
            <w:pPr>
              <w:pStyle w:val="TableParagraph"/>
              <w:spacing w:line="254" w:lineRule="exact"/>
              <w:ind w:left="259" w:right="251"/>
              <w:jc w:val="center"/>
              <w:rPr>
                <w:sz w:val="20"/>
              </w:rPr>
            </w:pPr>
            <w:r>
              <w:rPr>
                <w:sz w:val="20"/>
              </w:rPr>
              <w:t>45</w:t>
            </w:r>
          </w:p>
        </w:tc>
        <w:tc>
          <w:tcPr>
            <w:tcW w:w="1716" w:type="dxa"/>
          </w:tcPr>
          <w:p>
            <w:pPr>
              <w:pStyle w:val="TableParagraph"/>
              <w:spacing w:line="254" w:lineRule="exact"/>
              <w:ind w:left="361" w:right="350"/>
              <w:jc w:val="center"/>
              <w:rPr>
                <w:sz w:val="20"/>
              </w:rPr>
            </w:pPr>
            <w:r>
              <w:rPr>
                <w:sz w:val="20"/>
              </w:rPr>
              <w:t>5.31</w:t>
            </w:r>
          </w:p>
        </w:tc>
        <w:tc>
          <w:tcPr>
            <w:tcW w:w="1702" w:type="dxa"/>
          </w:tcPr>
          <w:p>
            <w:pPr>
              <w:pStyle w:val="TableParagraph"/>
              <w:spacing w:line="254" w:lineRule="exact"/>
              <w:ind w:left="164" w:right="153"/>
              <w:jc w:val="center"/>
              <w:rPr>
                <w:sz w:val="20"/>
              </w:rPr>
            </w:pPr>
            <w:r>
              <w:rPr>
                <w:sz w:val="20"/>
              </w:rPr>
              <w:t>0.11</w:t>
            </w:r>
          </w:p>
        </w:tc>
        <w:tc>
          <w:tcPr>
            <w:tcW w:w="1760" w:type="dxa"/>
          </w:tcPr>
          <w:p>
            <w:pPr>
              <w:pStyle w:val="TableParagraph"/>
              <w:spacing w:line="254" w:lineRule="exact"/>
              <w:ind w:left="382" w:right="372"/>
              <w:jc w:val="center"/>
              <w:rPr>
                <w:sz w:val="20"/>
              </w:rPr>
            </w:pPr>
            <w:r>
              <w:rPr>
                <w:sz w:val="20"/>
              </w:rPr>
              <w:t>5.24</w:t>
            </w:r>
          </w:p>
        </w:tc>
        <w:tc>
          <w:tcPr>
            <w:tcW w:w="1772" w:type="dxa"/>
          </w:tcPr>
          <w:p>
            <w:pPr>
              <w:pStyle w:val="TableParagraph"/>
              <w:spacing w:line="254" w:lineRule="exact"/>
              <w:ind w:left="199" w:right="187"/>
              <w:jc w:val="center"/>
              <w:rPr>
                <w:sz w:val="20"/>
              </w:rPr>
            </w:pPr>
            <w:r>
              <w:rPr>
                <w:sz w:val="20"/>
              </w:rPr>
              <w:t>0.54</w:t>
            </w:r>
          </w:p>
        </w:tc>
      </w:tr>
      <w:tr>
        <w:trPr>
          <w:trHeight w:val="313" w:hRule="atLeast"/>
        </w:trPr>
        <w:tc>
          <w:tcPr>
            <w:tcW w:w="1460" w:type="dxa"/>
          </w:tcPr>
          <w:p>
            <w:pPr>
              <w:pStyle w:val="TableParagraph"/>
              <w:spacing w:line="256" w:lineRule="exact"/>
              <w:ind w:left="259" w:right="251"/>
              <w:jc w:val="center"/>
              <w:rPr>
                <w:sz w:val="20"/>
              </w:rPr>
            </w:pPr>
            <w:r>
              <w:rPr>
                <w:sz w:val="20"/>
              </w:rPr>
              <w:t>46</w:t>
            </w:r>
          </w:p>
        </w:tc>
        <w:tc>
          <w:tcPr>
            <w:tcW w:w="1716" w:type="dxa"/>
          </w:tcPr>
          <w:p>
            <w:pPr>
              <w:pStyle w:val="TableParagraph"/>
              <w:spacing w:line="256" w:lineRule="exact"/>
              <w:ind w:left="361" w:right="350"/>
              <w:jc w:val="center"/>
              <w:rPr>
                <w:sz w:val="20"/>
              </w:rPr>
            </w:pPr>
            <w:r>
              <w:rPr>
                <w:sz w:val="20"/>
              </w:rPr>
              <w:t>5.91</w:t>
            </w:r>
          </w:p>
        </w:tc>
        <w:tc>
          <w:tcPr>
            <w:tcW w:w="1702" w:type="dxa"/>
          </w:tcPr>
          <w:p>
            <w:pPr>
              <w:pStyle w:val="TableParagraph"/>
              <w:spacing w:line="256" w:lineRule="exact"/>
              <w:ind w:left="164" w:right="153"/>
              <w:jc w:val="center"/>
              <w:rPr>
                <w:sz w:val="20"/>
              </w:rPr>
            </w:pPr>
            <w:r>
              <w:rPr>
                <w:sz w:val="20"/>
              </w:rPr>
              <w:t>0.12</w:t>
            </w:r>
          </w:p>
        </w:tc>
        <w:tc>
          <w:tcPr>
            <w:tcW w:w="1760" w:type="dxa"/>
          </w:tcPr>
          <w:p>
            <w:pPr>
              <w:pStyle w:val="TableParagraph"/>
              <w:spacing w:line="256" w:lineRule="exact"/>
              <w:ind w:left="382" w:right="372"/>
              <w:jc w:val="center"/>
              <w:rPr>
                <w:sz w:val="20"/>
              </w:rPr>
            </w:pPr>
            <w:r>
              <w:rPr>
                <w:sz w:val="20"/>
              </w:rPr>
              <w:t>5.67</w:t>
            </w:r>
          </w:p>
        </w:tc>
        <w:tc>
          <w:tcPr>
            <w:tcW w:w="1772" w:type="dxa"/>
          </w:tcPr>
          <w:p>
            <w:pPr>
              <w:pStyle w:val="TableParagraph"/>
              <w:spacing w:line="256" w:lineRule="exact"/>
              <w:ind w:left="199" w:right="187"/>
              <w:jc w:val="center"/>
              <w:rPr>
                <w:sz w:val="20"/>
              </w:rPr>
            </w:pPr>
            <w:r>
              <w:rPr>
                <w:sz w:val="20"/>
              </w:rPr>
              <w:t>0.55</w:t>
            </w:r>
          </w:p>
        </w:tc>
      </w:tr>
      <w:tr>
        <w:trPr>
          <w:trHeight w:val="312" w:hRule="atLeast"/>
        </w:trPr>
        <w:tc>
          <w:tcPr>
            <w:tcW w:w="1460" w:type="dxa"/>
          </w:tcPr>
          <w:p>
            <w:pPr>
              <w:pStyle w:val="TableParagraph"/>
              <w:spacing w:line="254" w:lineRule="exact"/>
              <w:ind w:left="259" w:right="251"/>
              <w:jc w:val="center"/>
              <w:rPr>
                <w:sz w:val="20"/>
              </w:rPr>
            </w:pPr>
            <w:r>
              <w:rPr>
                <w:sz w:val="20"/>
              </w:rPr>
              <w:t>47</w:t>
            </w:r>
          </w:p>
        </w:tc>
        <w:tc>
          <w:tcPr>
            <w:tcW w:w="1716" w:type="dxa"/>
          </w:tcPr>
          <w:p>
            <w:pPr>
              <w:pStyle w:val="TableParagraph"/>
              <w:spacing w:line="254" w:lineRule="exact"/>
              <w:ind w:left="361" w:right="350"/>
              <w:jc w:val="center"/>
              <w:rPr>
                <w:sz w:val="20"/>
              </w:rPr>
            </w:pPr>
            <w:r>
              <w:rPr>
                <w:sz w:val="20"/>
              </w:rPr>
              <w:t>6.56</w:t>
            </w:r>
          </w:p>
        </w:tc>
        <w:tc>
          <w:tcPr>
            <w:tcW w:w="1702" w:type="dxa"/>
          </w:tcPr>
          <w:p>
            <w:pPr>
              <w:pStyle w:val="TableParagraph"/>
              <w:spacing w:line="254" w:lineRule="exact"/>
              <w:ind w:left="164" w:right="153"/>
              <w:jc w:val="center"/>
              <w:rPr>
                <w:sz w:val="20"/>
              </w:rPr>
            </w:pPr>
            <w:r>
              <w:rPr>
                <w:sz w:val="20"/>
              </w:rPr>
              <w:t>0.13</w:t>
            </w:r>
          </w:p>
        </w:tc>
        <w:tc>
          <w:tcPr>
            <w:tcW w:w="1760" w:type="dxa"/>
          </w:tcPr>
          <w:p>
            <w:pPr>
              <w:pStyle w:val="TableParagraph"/>
              <w:spacing w:line="254" w:lineRule="exact"/>
              <w:ind w:left="382" w:right="372"/>
              <w:jc w:val="center"/>
              <w:rPr>
                <w:sz w:val="20"/>
              </w:rPr>
            </w:pPr>
            <w:r>
              <w:rPr>
                <w:sz w:val="20"/>
              </w:rPr>
              <w:t>6.11</w:t>
            </w:r>
          </w:p>
        </w:tc>
        <w:tc>
          <w:tcPr>
            <w:tcW w:w="1772" w:type="dxa"/>
          </w:tcPr>
          <w:p>
            <w:pPr>
              <w:pStyle w:val="TableParagraph"/>
              <w:spacing w:line="254" w:lineRule="exact"/>
              <w:ind w:left="199" w:right="187"/>
              <w:jc w:val="center"/>
              <w:rPr>
                <w:sz w:val="20"/>
              </w:rPr>
            </w:pPr>
            <w:r>
              <w:rPr>
                <w:sz w:val="20"/>
              </w:rPr>
              <w:t>0.55</w:t>
            </w:r>
          </w:p>
        </w:tc>
      </w:tr>
      <w:tr>
        <w:trPr>
          <w:trHeight w:val="311" w:hRule="atLeast"/>
        </w:trPr>
        <w:tc>
          <w:tcPr>
            <w:tcW w:w="1460" w:type="dxa"/>
          </w:tcPr>
          <w:p>
            <w:pPr>
              <w:pStyle w:val="TableParagraph"/>
              <w:spacing w:line="254" w:lineRule="exact"/>
              <w:ind w:left="259" w:right="251"/>
              <w:jc w:val="center"/>
              <w:rPr>
                <w:sz w:val="20"/>
              </w:rPr>
            </w:pPr>
            <w:r>
              <w:rPr>
                <w:sz w:val="20"/>
              </w:rPr>
              <w:t>48</w:t>
            </w:r>
          </w:p>
        </w:tc>
        <w:tc>
          <w:tcPr>
            <w:tcW w:w="1716" w:type="dxa"/>
          </w:tcPr>
          <w:p>
            <w:pPr>
              <w:pStyle w:val="TableParagraph"/>
              <w:spacing w:line="254" w:lineRule="exact"/>
              <w:ind w:left="361" w:right="350"/>
              <w:jc w:val="center"/>
              <w:rPr>
                <w:sz w:val="20"/>
              </w:rPr>
            </w:pPr>
            <w:r>
              <w:rPr>
                <w:sz w:val="20"/>
              </w:rPr>
              <w:t>7.35</w:t>
            </w:r>
          </w:p>
        </w:tc>
        <w:tc>
          <w:tcPr>
            <w:tcW w:w="1702" w:type="dxa"/>
          </w:tcPr>
          <w:p>
            <w:pPr>
              <w:pStyle w:val="TableParagraph"/>
              <w:spacing w:line="254" w:lineRule="exact"/>
              <w:ind w:left="164" w:right="153"/>
              <w:jc w:val="center"/>
              <w:rPr>
                <w:sz w:val="20"/>
              </w:rPr>
            </w:pPr>
            <w:r>
              <w:rPr>
                <w:sz w:val="20"/>
              </w:rPr>
              <w:t>0.14</w:t>
            </w:r>
          </w:p>
        </w:tc>
        <w:tc>
          <w:tcPr>
            <w:tcW w:w="1760" w:type="dxa"/>
          </w:tcPr>
          <w:p>
            <w:pPr>
              <w:pStyle w:val="TableParagraph"/>
              <w:spacing w:line="254" w:lineRule="exact"/>
              <w:ind w:left="382" w:right="372"/>
              <w:jc w:val="center"/>
              <w:rPr>
                <w:sz w:val="20"/>
              </w:rPr>
            </w:pPr>
            <w:r>
              <w:rPr>
                <w:sz w:val="20"/>
              </w:rPr>
              <w:t>6.64</w:t>
            </w:r>
          </w:p>
        </w:tc>
        <w:tc>
          <w:tcPr>
            <w:tcW w:w="1772" w:type="dxa"/>
          </w:tcPr>
          <w:p>
            <w:pPr>
              <w:pStyle w:val="TableParagraph"/>
              <w:spacing w:line="254" w:lineRule="exact"/>
              <w:ind w:left="199" w:right="187"/>
              <w:jc w:val="center"/>
              <w:rPr>
                <w:sz w:val="20"/>
              </w:rPr>
            </w:pPr>
            <w:r>
              <w:rPr>
                <w:sz w:val="20"/>
              </w:rPr>
              <w:t>0.56</w:t>
            </w:r>
          </w:p>
        </w:tc>
      </w:tr>
      <w:tr>
        <w:trPr>
          <w:trHeight w:val="311" w:hRule="atLeast"/>
        </w:trPr>
        <w:tc>
          <w:tcPr>
            <w:tcW w:w="1460" w:type="dxa"/>
          </w:tcPr>
          <w:p>
            <w:pPr>
              <w:pStyle w:val="TableParagraph"/>
              <w:spacing w:line="254" w:lineRule="exact"/>
              <w:ind w:left="259" w:right="251"/>
              <w:jc w:val="center"/>
              <w:rPr>
                <w:sz w:val="20"/>
              </w:rPr>
            </w:pPr>
            <w:r>
              <w:rPr>
                <w:sz w:val="20"/>
              </w:rPr>
              <w:t>49</w:t>
            </w:r>
          </w:p>
        </w:tc>
        <w:tc>
          <w:tcPr>
            <w:tcW w:w="1716" w:type="dxa"/>
          </w:tcPr>
          <w:p>
            <w:pPr>
              <w:pStyle w:val="TableParagraph"/>
              <w:spacing w:line="254" w:lineRule="exact"/>
              <w:ind w:left="361" w:right="350"/>
              <w:jc w:val="center"/>
              <w:rPr>
                <w:sz w:val="20"/>
              </w:rPr>
            </w:pPr>
            <w:r>
              <w:rPr>
                <w:sz w:val="20"/>
              </w:rPr>
              <w:t>8.15</w:t>
            </w:r>
          </w:p>
        </w:tc>
        <w:tc>
          <w:tcPr>
            <w:tcW w:w="1702" w:type="dxa"/>
          </w:tcPr>
          <w:p>
            <w:pPr>
              <w:pStyle w:val="TableParagraph"/>
              <w:spacing w:line="254" w:lineRule="exact"/>
              <w:ind w:left="164" w:right="153"/>
              <w:jc w:val="center"/>
              <w:rPr>
                <w:sz w:val="20"/>
              </w:rPr>
            </w:pPr>
            <w:r>
              <w:rPr>
                <w:sz w:val="20"/>
              </w:rPr>
              <w:t>0.16</w:t>
            </w:r>
          </w:p>
        </w:tc>
        <w:tc>
          <w:tcPr>
            <w:tcW w:w="1760" w:type="dxa"/>
          </w:tcPr>
          <w:p>
            <w:pPr>
              <w:pStyle w:val="TableParagraph"/>
              <w:spacing w:line="254" w:lineRule="exact"/>
              <w:ind w:left="382" w:right="372"/>
              <w:jc w:val="center"/>
              <w:rPr>
                <w:sz w:val="20"/>
              </w:rPr>
            </w:pPr>
            <w:r>
              <w:rPr>
                <w:sz w:val="20"/>
              </w:rPr>
              <w:t>7.15</w:t>
            </w:r>
          </w:p>
        </w:tc>
        <w:tc>
          <w:tcPr>
            <w:tcW w:w="1772" w:type="dxa"/>
          </w:tcPr>
          <w:p>
            <w:pPr>
              <w:pStyle w:val="TableParagraph"/>
              <w:spacing w:line="254" w:lineRule="exact"/>
              <w:ind w:left="199" w:right="187"/>
              <w:jc w:val="center"/>
              <w:rPr>
                <w:sz w:val="20"/>
              </w:rPr>
            </w:pPr>
            <w:r>
              <w:rPr>
                <w:sz w:val="20"/>
              </w:rPr>
              <w:t>0.56</w:t>
            </w:r>
          </w:p>
        </w:tc>
      </w:tr>
      <w:tr>
        <w:trPr>
          <w:trHeight w:val="311" w:hRule="atLeast"/>
        </w:trPr>
        <w:tc>
          <w:tcPr>
            <w:tcW w:w="1460" w:type="dxa"/>
          </w:tcPr>
          <w:p>
            <w:pPr>
              <w:pStyle w:val="TableParagraph"/>
              <w:spacing w:line="254" w:lineRule="exact"/>
              <w:ind w:left="259" w:right="251"/>
              <w:jc w:val="center"/>
              <w:rPr>
                <w:sz w:val="20"/>
              </w:rPr>
            </w:pPr>
            <w:r>
              <w:rPr>
                <w:sz w:val="20"/>
              </w:rPr>
              <w:t>50</w:t>
            </w:r>
          </w:p>
        </w:tc>
        <w:tc>
          <w:tcPr>
            <w:tcW w:w="1716" w:type="dxa"/>
          </w:tcPr>
          <w:p>
            <w:pPr>
              <w:pStyle w:val="TableParagraph"/>
              <w:spacing w:line="254" w:lineRule="exact"/>
              <w:ind w:left="361" w:right="350"/>
              <w:jc w:val="center"/>
              <w:rPr>
                <w:sz w:val="20"/>
              </w:rPr>
            </w:pPr>
            <w:r>
              <w:rPr>
                <w:sz w:val="20"/>
              </w:rPr>
              <w:t>9.12</w:t>
            </w:r>
          </w:p>
        </w:tc>
        <w:tc>
          <w:tcPr>
            <w:tcW w:w="1702" w:type="dxa"/>
          </w:tcPr>
          <w:p>
            <w:pPr>
              <w:pStyle w:val="TableParagraph"/>
              <w:spacing w:line="254" w:lineRule="exact"/>
              <w:ind w:left="164" w:right="153"/>
              <w:jc w:val="center"/>
              <w:rPr>
                <w:sz w:val="20"/>
              </w:rPr>
            </w:pPr>
            <w:r>
              <w:rPr>
                <w:sz w:val="20"/>
              </w:rPr>
              <w:t>0.17</w:t>
            </w:r>
          </w:p>
        </w:tc>
        <w:tc>
          <w:tcPr>
            <w:tcW w:w="1760" w:type="dxa"/>
          </w:tcPr>
          <w:p>
            <w:pPr>
              <w:pStyle w:val="TableParagraph"/>
              <w:spacing w:line="254" w:lineRule="exact"/>
              <w:ind w:left="382" w:right="372"/>
              <w:jc w:val="center"/>
              <w:rPr>
                <w:sz w:val="20"/>
              </w:rPr>
            </w:pPr>
            <w:r>
              <w:rPr>
                <w:sz w:val="20"/>
              </w:rPr>
              <w:t>7.75</w:t>
            </w:r>
          </w:p>
        </w:tc>
        <w:tc>
          <w:tcPr>
            <w:tcW w:w="1772" w:type="dxa"/>
          </w:tcPr>
          <w:p>
            <w:pPr>
              <w:pStyle w:val="TableParagraph"/>
              <w:spacing w:line="254" w:lineRule="exact"/>
              <w:ind w:left="199" w:right="187"/>
              <w:jc w:val="center"/>
              <w:rPr>
                <w:sz w:val="20"/>
              </w:rPr>
            </w:pPr>
            <w:r>
              <w:rPr>
                <w:sz w:val="20"/>
              </w:rPr>
              <w:t>0.57</w:t>
            </w:r>
          </w:p>
        </w:tc>
      </w:tr>
      <w:tr>
        <w:trPr>
          <w:trHeight w:val="311" w:hRule="atLeast"/>
        </w:trPr>
        <w:tc>
          <w:tcPr>
            <w:tcW w:w="1460" w:type="dxa"/>
          </w:tcPr>
          <w:p>
            <w:pPr>
              <w:pStyle w:val="TableParagraph"/>
              <w:spacing w:line="254" w:lineRule="exact"/>
              <w:ind w:left="259" w:right="251"/>
              <w:jc w:val="center"/>
              <w:rPr>
                <w:sz w:val="20"/>
              </w:rPr>
            </w:pPr>
            <w:r>
              <w:rPr>
                <w:sz w:val="20"/>
              </w:rPr>
              <w:t>51</w:t>
            </w:r>
          </w:p>
        </w:tc>
        <w:tc>
          <w:tcPr>
            <w:tcW w:w="1716" w:type="dxa"/>
          </w:tcPr>
          <w:p>
            <w:pPr>
              <w:pStyle w:val="TableParagraph"/>
              <w:spacing w:line="254" w:lineRule="exact"/>
              <w:ind w:left="361" w:right="349"/>
              <w:jc w:val="center"/>
              <w:rPr>
                <w:sz w:val="20"/>
              </w:rPr>
            </w:pPr>
            <w:r>
              <w:rPr>
                <w:sz w:val="20"/>
              </w:rPr>
              <w:t>10.05</w:t>
            </w:r>
          </w:p>
        </w:tc>
        <w:tc>
          <w:tcPr>
            <w:tcW w:w="1702" w:type="dxa"/>
          </w:tcPr>
          <w:p>
            <w:pPr>
              <w:pStyle w:val="TableParagraph"/>
              <w:spacing w:line="254" w:lineRule="exact"/>
              <w:ind w:left="164" w:right="153"/>
              <w:jc w:val="center"/>
              <w:rPr>
                <w:sz w:val="20"/>
              </w:rPr>
            </w:pPr>
            <w:r>
              <w:rPr>
                <w:sz w:val="20"/>
              </w:rPr>
              <w:t>0.19</w:t>
            </w:r>
          </w:p>
        </w:tc>
        <w:tc>
          <w:tcPr>
            <w:tcW w:w="1760" w:type="dxa"/>
          </w:tcPr>
          <w:p>
            <w:pPr>
              <w:pStyle w:val="TableParagraph"/>
              <w:spacing w:line="254" w:lineRule="exact"/>
              <w:ind w:left="382" w:right="372"/>
              <w:jc w:val="center"/>
              <w:rPr>
                <w:sz w:val="20"/>
              </w:rPr>
            </w:pPr>
            <w:r>
              <w:rPr>
                <w:sz w:val="20"/>
              </w:rPr>
              <w:t>8.26</w:t>
            </w:r>
          </w:p>
        </w:tc>
        <w:tc>
          <w:tcPr>
            <w:tcW w:w="1772" w:type="dxa"/>
          </w:tcPr>
          <w:p>
            <w:pPr>
              <w:pStyle w:val="TableParagraph"/>
              <w:spacing w:line="254" w:lineRule="exact"/>
              <w:ind w:left="199" w:right="187"/>
              <w:jc w:val="center"/>
              <w:rPr>
                <w:sz w:val="20"/>
              </w:rPr>
            </w:pPr>
            <w:r>
              <w:rPr>
                <w:sz w:val="20"/>
              </w:rPr>
              <w:t>0.57</w:t>
            </w:r>
          </w:p>
        </w:tc>
      </w:tr>
      <w:tr>
        <w:trPr>
          <w:trHeight w:val="313" w:hRule="atLeast"/>
        </w:trPr>
        <w:tc>
          <w:tcPr>
            <w:tcW w:w="1460" w:type="dxa"/>
          </w:tcPr>
          <w:p>
            <w:pPr>
              <w:pStyle w:val="TableParagraph"/>
              <w:spacing w:line="256" w:lineRule="exact"/>
              <w:ind w:left="259" w:right="251"/>
              <w:jc w:val="center"/>
              <w:rPr>
                <w:sz w:val="20"/>
              </w:rPr>
            </w:pPr>
            <w:r>
              <w:rPr>
                <w:sz w:val="20"/>
              </w:rPr>
              <w:t>52</w:t>
            </w:r>
          </w:p>
        </w:tc>
        <w:tc>
          <w:tcPr>
            <w:tcW w:w="1716" w:type="dxa"/>
          </w:tcPr>
          <w:p>
            <w:pPr>
              <w:pStyle w:val="TableParagraph"/>
              <w:spacing w:line="256" w:lineRule="exact"/>
              <w:ind w:left="361" w:right="349"/>
              <w:jc w:val="center"/>
              <w:rPr>
                <w:sz w:val="20"/>
              </w:rPr>
            </w:pPr>
            <w:r>
              <w:rPr>
                <w:sz w:val="20"/>
              </w:rPr>
              <w:t>11.16</w:t>
            </w:r>
          </w:p>
        </w:tc>
        <w:tc>
          <w:tcPr>
            <w:tcW w:w="1702" w:type="dxa"/>
          </w:tcPr>
          <w:p>
            <w:pPr>
              <w:pStyle w:val="TableParagraph"/>
              <w:spacing w:line="256" w:lineRule="exact"/>
              <w:ind w:left="164" w:right="153"/>
              <w:jc w:val="center"/>
              <w:rPr>
                <w:sz w:val="20"/>
              </w:rPr>
            </w:pPr>
            <w:r>
              <w:rPr>
                <w:sz w:val="20"/>
              </w:rPr>
              <w:t>0.2</w:t>
            </w:r>
          </w:p>
        </w:tc>
        <w:tc>
          <w:tcPr>
            <w:tcW w:w="1760" w:type="dxa"/>
          </w:tcPr>
          <w:p>
            <w:pPr>
              <w:pStyle w:val="TableParagraph"/>
              <w:spacing w:line="256" w:lineRule="exact"/>
              <w:ind w:left="382" w:right="372"/>
              <w:jc w:val="center"/>
              <w:rPr>
                <w:sz w:val="20"/>
              </w:rPr>
            </w:pPr>
            <w:r>
              <w:rPr>
                <w:sz w:val="20"/>
              </w:rPr>
              <w:t>8.86</w:t>
            </w:r>
          </w:p>
        </w:tc>
        <w:tc>
          <w:tcPr>
            <w:tcW w:w="1772" w:type="dxa"/>
          </w:tcPr>
          <w:p>
            <w:pPr>
              <w:pStyle w:val="TableParagraph"/>
              <w:spacing w:line="256" w:lineRule="exact"/>
              <w:ind w:left="199" w:right="187"/>
              <w:jc w:val="center"/>
              <w:rPr>
                <w:sz w:val="20"/>
              </w:rPr>
            </w:pPr>
            <w:r>
              <w:rPr>
                <w:sz w:val="20"/>
              </w:rPr>
              <w:t>0.58</w:t>
            </w:r>
          </w:p>
        </w:tc>
      </w:tr>
      <w:tr>
        <w:trPr>
          <w:trHeight w:val="311" w:hRule="atLeast"/>
        </w:trPr>
        <w:tc>
          <w:tcPr>
            <w:tcW w:w="1460" w:type="dxa"/>
          </w:tcPr>
          <w:p>
            <w:pPr>
              <w:pStyle w:val="TableParagraph"/>
              <w:spacing w:line="254" w:lineRule="exact"/>
              <w:ind w:left="259" w:right="251"/>
              <w:jc w:val="center"/>
              <w:rPr>
                <w:sz w:val="20"/>
              </w:rPr>
            </w:pPr>
            <w:r>
              <w:rPr>
                <w:sz w:val="20"/>
              </w:rPr>
              <w:t>53</w:t>
            </w:r>
          </w:p>
        </w:tc>
        <w:tc>
          <w:tcPr>
            <w:tcW w:w="1716" w:type="dxa"/>
          </w:tcPr>
          <w:p>
            <w:pPr>
              <w:pStyle w:val="TableParagraph"/>
              <w:spacing w:line="254" w:lineRule="exact"/>
              <w:ind w:left="361" w:right="350"/>
              <w:jc w:val="center"/>
              <w:rPr>
                <w:sz w:val="20"/>
              </w:rPr>
            </w:pPr>
            <w:r>
              <w:rPr>
                <w:sz w:val="20"/>
              </w:rPr>
              <w:t>12.2</w:t>
            </w:r>
          </w:p>
        </w:tc>
        <w:tc>
          <w:tcPr>
            <w:tcW w:w="1702" w:type="dxa"/>
          </w:tcPr>
          <w:p>
            <w:pPr>
              <w:pStyle w:val="TableParagraph"/>
              <w:spacing w:line="254" w:lineRule="exact"/>
              <w:ind w:left="164" w:right="153"/>
              <w:jc w:val="center"/>
              <w:rPr>
                <w:sz w:val="20"/>
              </w:rPr>
            </w:pPr>
            <w:r>
              <w:rPr>
                <w:sz w:val="20"/>
              </w:rPr>
              <w:t>0.22</w:t>
            </w:r>
          </w:p>
        </w:tc>
        <w:tc>
          <w:tcPr>
            <w:tcW w:w="1760" w:type="dxa"/>
          </w:tcPr>
          <w:p>
            <w:pPr>
              <w:pStyle w:val="TableParagraph"/>
              <w:spacing w:line="254" w:lineRule="exact"/>
              <w:ind w:left="382" w:right="372"/>
              <w:jc w:val="center"/>
              <w:rPr>
                <w:sz w:val="20"/>
              </w:rPr>
            </w:pPr>
            <w:r>
              <w:rPr>
                <w:sz w:val="20"/>
              </w:rPr>
              <w:t>9.39</w:t>
            </w:r>
          </w:p>
        </w:tc>
        <w:tc>
          <w:tcPr>
            <w:tcW w:w="1772" w:type="dxa"/>
          </w:tcPr>
          <w:p>
            <w:pPr>
              <w:pStyle w:val="TableParagraph"/>
              <w:spacing w:line="254" w:lineRule="exact"/>
              <w:ind w:left="199" w:right="187"/>
              <w:jc w:val="center"/>
              <w:rPr>
                <w:sz w:val="20"/>
              </w:rPr>
            </w:pPr>
            <w:r>
              <w:rPr>
                <w:sz w:val="20"/>
              </w:rPr>
              <w:t>0.59</w:t>
            </w:r>
          </w:p>
        </w:tc>
      </w:tr>
      <w:tr>
        <w:trPr>
          <w:trHeight w:val="311" w:hRule="atLeast"/>
        </w:trPr>
        <w:tc>
          <w:tcPr>
            <w:tcW w:w="1460" w:type="dxa"/>
          </w:tcPr>
          <w:p>
            <w:pPr>
              <w:pStyle w:val="TableParagraph"/>
              <w:spacing w:line="254" w:lineRule="exact"/>
              <w:ind w:left="259" w:right="251"/>
              <w:jc w:val="center"/>
              <w:rPr>
                <w:sz w:val="20"/>
              </w:rPr>
            </w:pPr>
            <w:r>
              <w:rPr>
                <w:sz w:val="20"/>
              </w:rPr>
              <w:t>54</w:t>
            </w:r>
          </w:p>
        </w:tc>
        <w:tc>
          <w:tcPr>
            <w:tcW w:w="1716" w:type="dxa"/>
          </w:tcPr>
          <w:p>
            <w:pPr>
              <w:pStyle w:val="TableParagraph"/>
              <w:spacing w:line="254" w:lineRule="exact"/>
              <w:ind w:left="361" w:right="349"/>
              <w:jc w:val="center"/>
              <w:rPr>
                <w:sz w:val="20"/>
              </w:rPr>
            </w:pPr>
            <w:r>
              <w:rPr>
                <w:sz w:val="20"/>
              </w:rPr>
              <w:t>13.53</w:t>
            </w:r>
          </w:p>
        </w:tc>
        <w:tc>
          <w:tcPr>
            <w:tcW w:w="1702" w:type="dxa"/>
          </w:tcPr>
          <w:p>
            <w:pPr>
              <w:pStyle w:val="TableParagraph"/>
              <w:spacing w:line="254" w:lineRule="exact"/>
              <w:ind w:left="164" w:right="153"/>
              <w:jc w:val="center"/>
              <w:rPr>
                <w:sz w:val="20"/>
              </w:rPr>
            </w:pPr>
            <w:r>
              <w:rPr>
                <w:sz w:val="20"/>
              </w:rPr>
              <w:t>0.24</w:t>
            </w:r>
          </w:p>
        </w:tc>
        <w:tc>
          <w:tcPr>
            <w:tcW w:w="1760" w:type="dxa"/>
          </w:tcPr>
          <w:p>
            <w:pPr>
              <w:pStyle w:val="TableParagraph"/>
              <w:spacing w:line="254" w:lineRule="exact"/>
              <w:ind w:left="382" w:right="371"/>
              <w:jc w:val="center"/>
              <w:rPr>
                <w:sz w:val="20"/>
              </w:rPr>
            </w:pPr>
            <w:r>
              <w:rPr>
                <w:sz w:val="20"/>
              </w:rPr>
              <w:t>10.06</w:t>
            </w:r>
          </w:p>
        </w:tc>
        <w:tc>
          <w:tcPr>
            <w:tcW w:w="1772" w:type="dxa"/>
          </w:tcPr>
          <w:p>
            <w:pPr>
              <w:pStyle w:val="TableParagraph"/>
              <w:spacing w:line="254" w:lineRule="exact"/>
              <w:ind w:left="199" w:right="187"/>
              <w:jc w:val="center"/>
              <w:rPr>
                <w:sz w:val="20"/>
              </w:rPr>
            </w:pPr>
            <w:r>
              <w:rPr>
                <w:sz w:val="20"/>
              </w:rPr>
              <w:t>0.60</w:t>
            </w:r>
          </w:p>
        </w:tc>
      </w:tr>
    </w:tbl>
    <w:p>
      <w:pPr>
        <w:spacing w:after="0" w:line="254" w:lineRule="exact"/>
        <w:jc w:val="center"/>
        <w:rPr>
          <w:sz w:val="20"/>
        </w:rPr>
        <w:sectPr>
          <w:type w:val="continuous"/>
          <w:pgSz w:w="11910" w:h="16840"/>
          <w:pgMar w:top="1080" w:bottom="280" w:left="920" w:right="1420"/>
        </w:sectPr>
      </w:pPr>
    </w:p>
    <w:p>
      <w:pPr>
        <w:pStyle w:val="BodyText"/>
        <w:spacing w:before="3" w:after="1"/>
        <w:rPr>
          <w:sz w:val="25"/>
        </w:rPr>
      </w:pPr>
    </w:p>
    <w:tbl>
      <w:tblPr>
        <w:tblW w:w="0" w:type="auto"/>
        <w:jc w:val="lef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0"/>
        <w:gridCol w:w="1716"/>
        <w:gridCol w:w="1702"/>
        <w:gridCol w:w="1760"/>
        <w:gridCol w:w="1772"/>
      </w:tblGrid>
      <w:tr>
        <w:trPr>
          <w:trHeight w:val="313" w:hRule="atLeast"/>
        </w:trPr>
        <w:tc>
          <w:tcPr>
            <w:tcW w:w="1460" w:type="dxa"/>
          </w:tcPr>
          <w:p>
            <w:pPr>
              <w:pStyle w:val="TableParagraph"/>
              <w:spacing w:line="256" w:lineRule="exact"/>
              <w:ind w:left="259" w:right="251"/>
              <w:jc w:val="center"/>
              <w:rPr>
                <w:sz w:val="20"/>
              </w:rPr>
            </w:pPr>
            <w:r>
              <w:rPr>
                <w:sz w:val="20"/>
              </w:rPr>
              <w:t>55</w:t>
            </w:r>
          </w:p>
        </w:tc>
        <w:tc>
          <w:tcPr>
            <w:tcW w:w="1716" w:type="dxa"/>
          </w:tcPr>
          <w:p>
            <w:pPr>
              <w:pStyle w:val="TableParagraph"/>
              <w:spacing w:line="256" w:lineRule="exact"/>
              <w:ind w:left="657"/>
              <w:rPr>
                <w:sz w:val="20"/>
              </w:rPr>
            </w:pPr>
            <w:r>
              <w:rPr>
                <w:sz w:val="20"/>
              </w:rPr>
              <w:t>14.8</w:t>
            </w:r>
          </w:p>
        </w:tc>
        <w:tc>
          <w:tcPr>
            <w:tcW w:w="1702" w:type="dxa"/>
          </w:tcPr>
          <w:p>
            <w:pPr>
              <w:pStyle w:val="TableParagraph"/>
              <w:spacing w:line="256" w:lineRule="exact"/>
              <w:ind w:left="164" w:right="153"/>
              <w:jc w:val="center"/>
              <w:rPr>
                <w:sz w:val="20"/>
              </w:rPr>
            </w:pPr>
            <w:r>
              <w:rPr>
                <w:sz w:val="20"/>
              </w:rPr>
              <w:t>0.26</w:t>
            </w:r>
          </w:p>
        </w:tc>
        <w:tc>
          <w:tcPr>
            <w:tcW w:w="1760" w:type="dxa"/>
          </w:tcPr>
          <w:p>
            <w:pPr>
              <w:pStyle w:val="TableParagraph"/>
              <w:spacing w:line="256" w:lineRule="exact"/>
              <w:ind w:left="382" w:right="371"/>
              <w:jc w:val="center"/>
              <w:rPr>
                <w:sz w:val="20"/>
              </w:rPr>
            </w:pPr>
            <w:r>
              <w:rPr>
                <w:sz w:val="20"/>
              </w:rPr>
              <w:t>10.67</w:t>
            </w:r>
          </w:p>
        </w:tc>
        <w:tc>
          <w:tcPr>
            <w:tcW w:w="1772" w:type="dxa"/>
          </w:tcPr>
          <w:p>
            <w:pPr>
              <w:pStyle w:val="TableParagraph"/>
              <w:spacing w:line="256" w:lineRule="exact"/>
              <w:ind w:right="671"/>
              <w:jc w:val="right"/>
              <w:rPr>
                <w:sz w:val="20"/>
              </w:rPr>
            </w:pPr>
            <w:r>
              <w:rPr>
                <w:sz w:val="20"/>
              </w:rPr>
              <w:t>0.60</w:t>
            </w:r>
          </w:p>
        </w:tc>
      </w:tr>
      <w:tr>
        <w:trPr>
          <w:trHeight w:val="311" w:hRule="atLeast"/>
        </w:trPr>
        <w:tc>
          <w:tcPr>
            <w:tcW w:w="1460" w:type="dxa"/>
          </w:tcPr>
          <w:p>
            <w:pPr>
              <w:pStyle w:val="TableParagraph"/>
              <w:spacing w:line="254" w:lineRule="exact"/>
              <w:ind w:left="259" w:right="251"/>
              <w:jc w:val="center"/>
              <w:rPr>
                <w:sz w:val="20"/>
              </w:rPr>
            </w:pPr>
            <w:r>
              <w:rPr>
                <w:sz w:val="20"/>
              </w:rPr>
              <w:t>56</w:t>
            </w:r>
          </w:p>
        </w:tc>
        <w:tc>
          <w:tcPr>
            <w:tcW w:w="1716" w:type="dxa"/>
          </w:tcPr>
          <w:p>
            <w:pPr>
              <w:pStyle w:val="TableParagraph"/>
              <w:spacing w:line="254" w:lineRule="exact"/>
              <w:ind w:left="609"/>
              <w:rPr>
                <w:sz w:val="20"/>
              </w:rPr>
            </w:pPr>
            <w:r>
              <w:rPr>
                <w:sz w:val="20"/>
              </w:rPr>
              <w:t>16.32</w:t>
            </w:r>
          </w:p>
        </w:tc>
        <w:tc>
          <w:tcPr>
            <w:tcW w:w="1702" w:type="dxa"/>
          </w:tcPr>
          <w:p>
            <w:pPr>
              <w:pStyle w:val="TableParagraph"/>
              <w:spacing w:line="254" w:lineRule="exact"/>
              <w:ind w:left="164" w:right="153"/>
              <w:jc w:val="center"/>
              <w:rPr>
                <w:sz w:val="20"/>
              </w:rPr>
            </w:pPr>
            <w:r>
              <w:rPr>
                <w:sz w:val="20"/>
              </w:rPr>
              <w:t>0.28</w:t>
            </w:r>
          </w:p>
        </w:tc>
        <w:tc>
          <w:tcPr>
            <w:tcW w:w="1760" w:type="dxa"/>
          </w:tcPr>
          <w:p>
            <w:pPr>
              <w:pStyle w:val="TableParagraph"/>
              <w:spacing w:line="254" w:lineRule="exact"/>
              <w:ind w:left="382" w:right="371"/>
              <w:jc w:val="center"/>
              <w:rPr>
                <w:sz w:val="20"/>
              </w:rPr>
            </w:pPr>
            <w:r>
              <w:rPr>
                <w:sz w:val="20"/>
              </w:rPr>
              <w:t>11.40</w:t>
            </w:r>
          </w:p>
        </w:tc>
        <w:tc>
          <w:tcPr>
            <w:tcW w:w="1772" w:type="dxa"/>
          </w:tcPr>
          <w:p>
            <w:pPr>
              <w:pStyle w:val="TableParagraph"/>
              <w:spacing w:line="254" w:lineRule="exact"/>
              <w:ind w:right="671"/>
              <w:jc w:val="right"/>
              <w:rPr>
                <w:sz w:val="20"/>
              </w:rPr>
            </w:pPr>
            <w:r>
              <w:rPr>
                <w:sz w:val="20"/>
              </w:rPr>
              <w:t>0.61</w:t>
            </w:r>
          </w:p>
        </w:tc>
      </w:tr>
      <w:tr>
        <w:trPr>
          <w:trHeight w:val="312" w:hRule="atLeast"/>
        </w:trPr>
        <w:tc>
          <w:tcPr>
            <w:tcW w:w="1460" w:type="dxa"/>
          </w:tcPr>
          <w:p>
            <w:pPr>
              <w:pStyle w:val="TableParagraph"/>
              <w:spacing w:line="254" w:lineRule="exact"/>
              <w:ind w:left="259" w:right="251"/>
              <w:jc w:val="center"/>
              <w:rPr>
                <w:sz w:val="20"/>
              </w:rPr>
            </w:pPr>
            <w:r>
              <w:rPr>
                <w:sz w:val="20"/>
              </w:rPr>
              <w:t>57</w:t>
            </w:r>
          </w:p>
        </w:tc>
        <w:tc>
          <w:tcPr>
            <w:tcW w:w="1716" w:type="dxa"/>
          </w:tcPr>
          <w:p>
            <w:pPr>
              <w:pStyle w:val="TableParagraph"/>
              <w:spacing w:line="254" w:lineRule="exact"/>
              <w:ind w:left="657"/>
              <w:rPr>
                <w:sz w:val="20"/>
              </w:rPr>
            </w:pPr>
            <w:r>
              <w:rPr>
                <w:sz w:val="20"/>
              </w:rPr>
              <w:t>17.7</w:t>
            </w:r>
          </w:p>
        </w:tc>
        <w:tc>
          <w:tcPr>
            <w:tcW w:w="1702" w:type="dxa"/>
          </w:tcPr>
          <w:p>
            <w:pPr>
              <w:pStyle w:val="TableParagraph"/>
              <w:spacing w:line="254" w:lineRule="exact"/>
              <w:ind w:left="164" w:right="153"/>
              <w:jc w:val="center"/>
              <w:rPr>
                <w:sz w:val="20"/>
              </w:rPr>
            </w:pPr>
            <w:r>
              <w:rPr>
                <w:sz w:val="20"/>
              </w:rPr>
              <w:t>0.3</w:t>
            </w:r>
          </w:p>
        </w:tc>
        <w:tc>
          <w:tcPr>
            <w:tcW w:w="1760" w:type="dxa"/>
          </w:tcPr>
          <w:p>
            <w:pPr>
              <w:pStyle w:val="TableParagraph"/>
              <w:spacing w:line="254" w:lineRule="exact"/>
              <w:ind w:left="382" w:right="371"/>
              <w:jc w:val="center"/>
              <w:rPr>
                <w:sz w:val="20"/>
              </w:rPr>
            </w:pPr>
            <w:r>
              <w:rPr>
                <w:sz w:val="20"/>
              </w:rPr>
              <w:t>12.01</w:t>
            </w:r>
          </w:p>
        </w:tc>
        <w:tc>
          <w:tcPr>
            <w:tcW w:w="1772" w:type="dxa"/>
          </w:tcPr>
          <w:p>
            <w:pPr>
              <w:pStyle w:val="TableParagraph"/>
              <w:spacing w:line="254" w:lineRule="exact"/>
              <w:ind w:right="671"/>
              <w:jc w:val="right"/>
              <w:rPr>
                <w:sz w:val="20"/>
              </w:rPr>
            </w:pPr>
            <w:r>
              <w:rPr>
                <w:sz w:val="20"/>
              </w:rPr>
              <w:t>0.62</w:t>
            </w:r>
          </w:p>
        </w:tc>
      </w:tr>
      <w:tr>
        <w:trPr>
          <w:trHeight w:val="311" w:hRule="atLeast"/>
        </w:trPr>
        <w:tc>
          <w:tcPr>
            <w:tcW w:w="1460" w:type="dxa"/>
          </w:tcPr>
          <w:p>
            <w:pPr>
              <w:pStyle w:val="TableParagraph"/>
              <w:spacing w:line="254" w:lineRule="exact"/>
              <w:ind w:left="259" w:right="251"/>
              <w:jc w:val="center"/>
              <w:rPr>
                <w:sz w:val="20"/>
              </w:rPr>
            </w:pPr>
            <w:r>
              <w:rPr>
                <w:sz w:val="20"/>
              </w:rPr>
              <w:t>58</w:t>
            </w:r>
          </w:p>
        </w:tc>
        <w:tc>
          <w:tcPr>
            <w:tcW w:w="1716" w:type="dxa"/>
          </w:tcPr>
          <w:p>
            <w:pPr>
              <w:pStyle w:val="TableParagraph"/>
              <w:spacing w:line="254" w:lineRule="exact"/>
              <w:ind w:left="657"/>
              <w:rPr>
                <w:sz w:val="20"/>
              </w:rPr>
            </w:pPr>
            <w:r>
              <w:rPr>
                <w:sz w:val="20"/>
              </w:rPr>
              <w:t>19.4</w:t>
            </w:r>
          </w:p>
        </w:tc>
        <w:tc>
          <w:tcPr>
            <w:tcW w:w="1702" w:type="dxa"/>
          </w:tcPr>
          <w:p>
            <w:pPr>
              <w:pStyle w:val="TableParagraph"/>
              <w:spacing w:line="254" w:lineRule="exact"/>
              <w:ind w:left="164" w:right="153"/>
              <w:jc w:val="center"/>
              <w:rPr>
                <w:sz w:val="20"/>
              </w:rPr>
            </w:pPr>
            <w:r>
              <w:rPr>
                <w:sz w:val="20"/>
              </w:rPr>
              <w:t>0.32</w:t>
            </w:r>
          </w:p>
        </w:tc>
        <w:tc>
          <w:tcPr>
            <w:tcW w:w="1760" w:type="dxa"/>
          </w:tcPr>
          <w:p>
            <w:pPr>
              <w:pStyle w:val="TableParagraph"/>
              <w:spacing w:line="254" w:lineRule="exact"/>
              <w:ind w:left="382" w:right="371"/>
              <w:jc w:val="center"/>
              <w:rPr>
                <w:sz w:val="20"/>
              </w:rPr>
            </w:pPr>
            <w:r>
              <w:rPr>
                <w:sz w:val="20"/>
              </w:rPr>
              <w:t>12.89</w:t>
            </w:r>
          </w:p>
        </w:tc>
        <w:tc>
          <w:tcPr>
            <w:tcW w:w="1772" w:type="dxa"/>
          </w:tcPr>
          <w:p>
            <w:pPr>
              <w:pStyle w:val="TableParagraph"/>
              <w:spacing w:line="254" w:lineRule="exact"/>
              <w:ind w:right="671"/>
              <w:jc w:val="right"/>
              <w:rPr>
                <w:sz w:val="20"/>
              </w:rPr>
            </w:pPr>
            <w:r>
              <w:rPr>
                <w:sz w:val="20"/>
              </w:rPr>
              <w:t>0.63</w:t>
            </w:r>
          </w:p>
        </w:tc>
      </w:tr>
      <w:tr>
        <w:trPr>
          <w:trHeight w:val="311" w:hRule="atLeast"/>
        </w:trPr>
        <w:tc>
          <w:tcPr>
            <w:tcW w:w="1460" w:type="dxa"/>
          </w:tcPr>
          <w:p>
            <w:pPr>
              <w:pStyle w:val="TableParagraph"/>
              <w:spacing w:line="254" w:lineRule="exact"/>
              <w:ind w:left="259" w:right="251"/>
              <w:jc w:val="center"/>
              <w:rPr>
                <w:sz w:val="20"/>
              </w:rPr>
            </w:pPr>
            <w:r>
              <w:rPr>
                <w:sz w:val="20"/>
              </w:rPr>
              <w:t>59</w:t>
            </w:r>
          </w:p>
        </w:tc>
        <w:tc>
          <w:tcPr>
            <w:tcW w:w="1716" w:type="dxa"/>
          </w:tcPr>
          <w:p>
            <w:pPr>
              <w:pStyle w:val="TableParagraph"/>
              <w:spacing w:line="254" w:lineRule="exact"/>
              <w:ind w:left="609"/>
              <w:rPr>
                <w:sz w:val="20"/>
              </w:rPr>
            </w:pPr>
            <w:r>
              <w:rPr>
                <w:sz w:val="20"/>
              </w:rPr>
              <w:t>21.55</w:t>
            </w:r>
          </w:p>
        </w:tc>
        <w:tc>
          <w:tcPr>
            <w:tcW w:w="1702" w:type="dxa"/>
          </w:tcPr>
          <w:p>
            <w:pPr>
              <w:pStyle w:val="TableParagraph"/>
              <w:spacing w:line="254" w:lineRule="exact"/>
              <w:ind w:left="164" w:right="153"/>
              <w:jc w:val="center"/>
              <w:rPr>
                <w:sz w:val="20"/>
              </w:rPr>
            </w:pPr>
            <w:r>
              <w:rPr>
                <w:sz w:val="20"/>
              </w:rPr>
              <w:t>0.34</w:t>
            </w:r>
          </w:p>
        </w:tc>
        <w:tc>
          <w:tcPr>
            <w:tcW w:w="1760" w:type="dxa"/>
          </w:tcPr>
          <w:p>
            <w:pPr>
              <w:pStyle w:val="TableParagraph"/>
              <w:spacing w:line="254" w:lineRule="exact"/>
              <w:ind w:left="382" w:right="371"/>
              <w:jc w:val="center"/>
              <w:rPr>
                <w:sz w:val="20"/>
              </w:rPr>
            </w:pPr>
            <w:r>
              <w:rPr>
                <w:sz w:val="20"/>
              </w:rPr>
              <w:t>14.02</w:t>
            </w:r>
          </w:p>
        </w:tc>
        <w:tc>
          <w:tcPr>
            <w:tcW w:w="1772" w:type="dxa"/>
          </w:tcPr>
          <w:p>
            <w:pPr>
              <w:pStyle w:val="TableParagraph"/>
              <w:spacing w:line="254" w:lineRule="exact"/>
              <w:ind w:right="671"/>
              <w:jc w:val="right"/>
              <w:rPr>
                <w:sz w:val="20"/>
              </w:rPr>
            </w:pPr>
            <w:r>
              <w:rPr>
                <w:sz w:val="20"/>
              </w:rPr>
              <w:t>0.64</w:t>
            </w:r>
          </w:p>
        </w:tc>
      </w:tr>
      <w:tr>
        <w:trPr>
          <w:trHeight w:val="311" w:hRule="atLeast"/>
        </w:trPr>
        <w:tc>
          <w:tcPr>
            <w:tcW w:w="1460" w:type="dxa"/>
          </w:tcPr>
          <w:p>
            <w:pPr>
              <w:pStyle w:val="TableParagraph"/>
              <w:spacing w:line="254" w:lineRule="exact"/>
              <w:ind w:left="259" w:right="251"/>
              <w:jc w:val="center"/>
              <w:rPr>
                <w:sz w:val="20"/>
              </w:rPr>
            </w:pPr>
            <w:r>
              <w:rPr>
                <w:sz w:val="20"/>
              </w:rPr>
              <w:t>60</w:t>
            </w:r>
          </w:p>
        </w:tc>
        <w:tc>
          <w:tcPr>
            <w:tcW w:w="1716" w:type="dxa"/>
          </w:tcPr>
          <w:p>
            <w:pPr>
              <w:pStyle w:val="TableParagraph"/>
              <w:spacing w:line="254" w:lineRule="exact"/>
              <w:ind w:left="609"/>
              <w:rPr>
                <w:sz w:val="20"/>
              </w:rPr>
            </w:pPr>
            <w:r>
              <w:rPr>
                <w:sz w:val="20"/>
              </w:rPr>
              <w:t>23.88</w:t>
            </w:r>
          </w:p>
        </w:tc>
        <w:tc>
          <w:tcPr>
            <w:tcW w:w="1702" w:type="dxa"/>
          </w:tcPr>
          <w:p>
            <w:pPr>
              <w:pStyle w:val="TableParagraph"/>
              <w:spacing w:line="254" w:lineRule="exact"/>
              <w:ind w:left="164" w:right="153"/>
              <w:jc w:val="center"/>
              <w:rPr>
                <w:sz w:val="20"/>
              </w:rPr>
            </w:pPr>
            <w:r>
              <w:rPr>
                <w:sz w:val="20"/>
              </w:rPr>
              <w:t>0.37</w:t>
            </w:r>
          </w:p>
        </w:tc>
        <w:tc>
          <w:tcPr>
            <w:tcW w:w="1760" w:type="dxa"/>
          </w:tcPr>
          <w:p>
            <w:pPr>
              <w:pStyle w:val="TableParagraph"/>
              <w:spacing w:line="254" w:lineRule="exact"/>
              <w:ind w:left="382" w:right="371"/>
              <w:jc w:val="center"/>
              <w:rPr>
                <w:sz w:val="20"/>
              </w:rPr>
            </w:pPr>
            <w:r>
              <w:rPr>
                <w:sz w:val="20"/>
              </w:rPr>
              <w:t>15.23</w:t>
            </w:r>
          </w:p>
        </w:tc>
        <w:tc>
          <w:tcPr>
            <w:tcW w:w="1772" w:type="dxa"/>
          </w:tcPr>
          <w:p>
            <w:pPr>
              <w:pStyle w:val="TableParagraph"/>
              <w:spacing w:line="254" w:lineRule="exact"/>
              <w:ind w:right="671"/>
              <w:jc w:val="right"/>
              <w:rPr>
                <w:sz w:val="20"/>
              </w:rPr>
            </w:pPr>
            <w:r>
              <w:rPr>
                <w:sz w:val="20"/>
              </w:rPr>
              <w:t>0.66</w:t>
            </w:r>
          </w:p>
        </w:tc>
      </w:tr>
      <w:tr>
        <w:trPr>
          <w:trHeight w:val="313" w:hRule="atLeast"/>
        </w:trPr>
        <w:tc>
          <w:tcPr>
            <w:tcW w:w="1460" w:type="dxa"/>
          </w:tcPr>
          <w:p>
            <w:pPr>
              <w:pStyle w:val="TableParagraph"/>
              <w:spacing w:line="256" w:lineRule="exact"/>
              <w:ind w:left="259" w:right="251"/>
              <w:jc w:val="center"/>
              <w:rPr>
                <w:sz w:val="20"/>
              </w:rPr>
            </w:pPr>
            <w:r>
              <w:rPr>
                <w:sz w:val="20"/>
              </w:rPr>
              <w:t>61</w:t>
            </w:r>
          </w:p>
        </w:tc>
        <w:tc>
          <w:tcPr>
            <w:tcW w:w="1716" w:type="dxa"/>
          </w:tcPr>
          <w:p>
            <w:pPr>
              <w:pStyle w:val="TableParagraph"/>
              <w:spacing w:line="256" w:lineRule="exact"/>
              <w:ind w:left="609"/>
              <w:rPr>
                <w:sz w:val="20"/>
              </w:rPr>
            </w:pPr>
            <w:r>
              <w:rPr>
                <w:sz w:val="20"/>
              </w:rPr>
              <w:t>26.12</w:t>
            </w:r>
          </w:p>
        </w:tc>
        <w:tc>
          <w:tcPr>
            <w:tcW w:w="1702" w:type="dxa"/>
          </w:tcPr>
          <w:p>
            <w:pPr>
              <w:pStyle w:val="TableParagraph"/>
              <w:spacing w:line="256" w:lineRule="exact"/>
              <w:ind w:left="164" w:right="153"/>
              <w:jc w:val="center"/>
              <w:rPr>
                <w:sz w:val="20"/>
              </w:rPr>
            </w:pPr>
            <w:r>
              <w:rPr>
                <w:sz w:val="20"/>
              </w:rPr>
              <w:t>0.4</w:t>
            </w:r>
          </w:p>
        </w:tc>
        <w:tc>
          <w:tcPr>
            <w:tcW w:w="1760" w:type="dxa"/>
          </w:tcPr>
          <w:p>
            <w:pPr>
              <w:pStyle w:val="TableParagraph"/>
              <w:spacing w:line="256" w:lineRule="exact"/>
              <w:ind w:left="382" w:right="371"/>
              <w:jc w:val="center"/>
              <w:rPr>
                <w:sz w:val="20"/>
              </w:rPr>
            </w:pPr>
            <w:r>
              <w:rPr>
                <w:sz w:val="20"/>
              </w:rPr>
              <w:t>16.17</w:t>
            </w:r>
          </w:p>
        </w:tc>
        <w:tc>
          <w:tcPr>
            <w:tcW w:w="1772" w:type="dxa"/>
          </w:tcPr>
          <w:p>
            <w:pPr>
              <w:pStyle w:val="TableParagraph"/>
              <w:spacing w:line="256" w:lineRule="exact"/>
              <w:ind w:right="671"/>
              <w:jc w:val="right"/>
              <w:rPr>
                <w:sz w:val="20"/>
              </w:rPr>
            </w:pPr>
            <w:r>
              <w:rPr>
                <w:sz w:val="20"/>
              </w:rPr>
              <w:t>0.68</w:t>
            </w:r>
          </w:p>
        </w:tc>
      </w:tr>
      <w:tr>
        <w:trPr>
          <w:trHeight w:val="311" w:hRule="atLeast"/>
        </w:trPr>
        <w:tc>
          <w:tcPr>
            <w:tcW w:w="1460" w:type="dxa"/>
          </w:tcPr>
          <w:p>
            <w:pPr>
              <w:pStyle w:val="TableParagraph"/>
              <w:spacing w:line="254" w:lineRule="exact"/>
              <w:ind w:left="259" w:right="251"/>
              <w:jc w:val="center"/>
              <w:rPr>
                <w:sz w:val="20"/>
              </w:rPr>
            </w:pPr>
            <w:r>
              <w:rPr>
                <w:sz w:val="20"/>
              </w:rPr>
              <w:t>62</w:t>
            </w:r>
          </w:p>
        </w:tc>
        <w:tc>
          <w:tcPr>
            <w:tcW w:w="1716" w:type="dxa"/>
          </w:tcPr>
          <w:p>
            <w:pPr>
              <w:pStyle w:val="TableParagraph"/>
              <w:spacing w:line="254" w:lineRule="exact"/>
              <w:ind w:left="609"/>
              <w:rPr>
                <w:sz w:val="20"/>
              </w:rPr>
            </w:pPr>
            <w:r>
              <w:rPr>
                <w:sz w:val="20"/>
              </w:rPr>
              <w:t>27.63</w:t>
            </w:r>
          </w:p>
        </w:tc>
        <w:tc>
          <w:tcPr>
            <w:tcW w:w="1702" w:type="dxa"/>
          </w:tcPr>
          <w:p>
            <w:pPr>
              <w:pStyle w:val="TableParagraph"/>
              <w:spacing w:line="254" w:lineRule="exact"/>
              <w:ind w:left="164" w:right="153"/>
              <w:jc w:val="center"/>
              <w:rPr>
                <w:sz w:val="20"/>
              </w:rPr>
            </w:pPr>
            <w:r>
              <w:rPr>
                <w:sz w:val="20"/>
              </w:rPr>
              <w:t>0.43</w:t>
            </w:r>
          </w:p>
        </w:tc>
        <w:tc>
          <w:tcPr>
            <w:tcW w:w="1760" w:type="dxa"/>
          </w:tcPr>
          <w:p>
            <w:pPr>
              <w:pStyle w:val="TableParagraph"/>
              <w:spacing w:line="254" w:lineRule="exact"/>
              <w:ind w:left="382" w:right="371"/>
              <w:jc w:val="center"/>
              <w:rPr>
                <w:sz w:val="20"/>
              </w:rPr>
            </w:pPr>
            <w:r>
              <w:rPr>
                <w:sz w:val="20"/>
              </w:rPr>
              <w:t>17.16</w:t>
            </w:r>
          </w:p>
        </w:tc>
        <w:tc>
          <w:tcPr>
            <w:tcW w:w="1772" w:type="dxa"/>
          </w:tcPr>
          <w:p>
            <w:pPr>
              <w:pStyle w:val="TableParagraph"/>
              <w:spacing w:line="254" w:lineRule="exact"/>
              <w:ind w:right="671"/>
              <w:jc w:val="right"/>
              <w:rPr>
                <w:sz w:val="20"/>
              </w:rPr>
            </w:pPr>
            <w:r>
              <w:rPr>
                <w:sz w:val="20"/>
              </w:rPr>
              <w:t>0.70</w:t>
            </w:r>
          </w:p>
        </w:tc>
      </w:tr>
      <w:tr>
        <w:trPr>
          <w:trHeight w:val="311" w:hRule="atLeast"/>
        </w:trPr>
        <w:tc>
          <w:tcPr>
            <w:tcW w:w="1460" w:type="dxa"/>
          </w:tcPr>
          <w:p>
            <w:pPr>
              <w:pStyle w:val="TableParagraph"/>
              <w:spacing w:line="254" w:lineRule="exact"/>
              <w:ind w:left="259" w:right="251"/>
              <w:jc w:val="center"/>
              <w:rPr>
                <w:sz w:val="20"/>
              </w:rPr>
            </w:pPr>
            <w:r>
              <w:rPr>
                <w:sz w:val="20"/>
              </w:rPr>
              <w:t>63</w:t>
            </w:r>
          </w:p>
        </w:tc>
        <w:tc>
          <w:tcPr>
            <w:tcW w:w="1716" w:type="dxa"/>
          </w:tcPr>
          <w:p>
            <w:pPr>
              <w:pStyle w:val="TableParagraph"/>
              <w:spacing w:line="254" w:lineRule="exact"/>
              <w:ind w:left="609"/>
              <w:rPr>
                <w:sz w:val="20"/>
              </w:rPr>
            </w:pPr>
            <w:r>
              <w:rPr>
                <w:sz w:val="20"/>
              </w:rPr>
              <w:t>28.81</w:t>
            </w:r>
          </w:p>
        </w:tc>
        <w:tc>
          <w:tcPr>
            <w:tcW w:w="1702" w:type="dxa"/>
          </w:tcPr>
          <w:p>
            <w:pPr>
              <w:pStyle w:val="TableParagraph"/>
              <w:spacing w:line="254" w:lineRule="exact"/>
              <w:ind w:left="164" w:right="153"/>
              <w:jc w:val="center"/>
              <w:rPr>
                <w:sz w:val="20"/>
              </w:rPr>
            </w:pPr>
            <w:r>
              <w:rPr>
                <w:sz w:val="20"/>
              </w:rPr>
              <w:t>0.46</w:t>
            </w:r>
          </w:p>
        </w:tc>
        <w:tc>
          <w:tcPr>
            <w:tcW w:w="1760" w:type="dxa"/>
          </w:tcPr>
          <w:p>
            <w:pPr>
              <w:pStyle w:val="TableParagraph"/>
              <w:spacing w:line="254" w:lineRule="exact"/>
              <w:ind w:left="382" w:right="371"/>
              <w:jc w:val="center"/>
              <w:rPr>
                <w:sz w:val="20"/>
              </w:rPr>
            </w:pPr>
            <w:r>
              <w:rPr>
                <w:sz w:val="20"/>
              </w:rPr>
              <w:t>18.09</w:t>
            </w:r>
          </w:p>
        </w:tc>
        <w:tc>
          <w:tcPr>
            <w:tcW w:w="1772" w:type="dxa"/>
          </w:tcPr>
          <w:p>
            <w:pPr>
              <w:pStyle w:val="TableParagraph"/>
              <w:spacing w:line="254" w:lineRule="exact"/>
              <w:ind w:right="671"/>
              <w:jc w:val="right"/>
              <w:rPr>
                <w:sz w:val="20"/>
              </w:rPr>
            </w:pPr>
            <w:r>
              <w:rPr>
                <w:sz w:val="20"/>
              </w:rPr>
              <w:t>0.73</w:t>
            </w:r>
          </w:p>
        </w:tc>
      </w:tr>
      <w:tr>
        <w:trPr>
          <w:trHeight w:val="311" w:hRule="atLeast"/>
        </w:trPr>
        <w:tc>
          <w:tcPr>
            <w:tcW w:w="1460" w:type="dxa"/>
          </w:tcPr>
          <w:p>
            <w:pPr>
              <w:pStyle w:val="TableParagraph"/>
              <w:spacing w:line="254" w:lineRule="exact"/>
              <w:ind w:left="259" w:right="251"/>
              <w:jc w:val="center"/>
              <w:rPr>
                <w:sz w:val="20"/>
              </w:rPr>
            </w:pPr>
            <w:r>
              <w:rPr>
                <w:sz w:val="20"/>
              </w:rPr>
              <w:t>64</w:t>
            </w:r>
          </w:p>
        </w:tc>
        <w:tc>
          <w:tcPr>
            <w:tcW w:w="1716" w:type="dxa"/>
          </w:tcPr>
          <w:p>
            <w:pPr>
              <w:pStyle w:val="TableParagraph"/>
              <w:spacing w:line="254" w:lineRule="exact"/>
              <w:ind w:left="657"/>
              <w:rPr>
                <w:sz w:val="20"/>
              </w:rPr>
            </w:pPr>
            <w:r>
              <w:rPr>
                <w:sz w:val="20"/>
              </w:rPr>
              <w:t>30.4</w:t>
            </w:r>
          </w:p>
        </w:tc>
        <w:tc>
          <w:tcPr>
            <w:tcW w:w="1702" w:type="dxa"/>
          </w:tcPr>
          <w:p>
            <w:pPr>
              <w:pStyle w:val="TableParagraph"/>
              <w:spacing w:line="254" w:lineRule="exact"/>
              <w:ind w:left="164" w:right="153"/>
              <w:jc w:val="center"/>
              <w:rPr>
                <w:sz w:val="20"/>
              </w:rPr>
            </w:pPr>
            <w:r>
              <w:rPr>
                <w:sz w:val="20"/>
              </w:rPr>
              <w:t>0.5</w:t>
            </w:r>
          </w:p>
        </w:tc>
        <w:tc>
          <w:tcPr>
            <w:tcW w:w="1760" w:type="dxa"/>
          </w:tcPr>
          <w:p>
            <w:pPr>
              <w:pStyle w:val="TableParagraph"/>
              <w:spacing w:line="254" w:lineRule="exact"/>
              <w:ind w:left="382" w:right="371"/>
              <w:jc w:val="center"/>
              <w:rPr>
                <w:sz w:val="20"/>
              </w:rPr>
            </w:pPr>
            <w:r>
              <w:rPr>
                <w:sz w:val="20"/>
              </w:rPr>
              <w:t>18.69</w:t>
            </w:r>
          </w:p>
        </w:tc>
        <w:tc>
          <w:tcPr>
            <w:tcW w:w="1772" w:type="dxa"/>
          </w:tcPr>
          <w:p>
            <w:pPr>
              <w:pStyle w:val="TableParagraph"/>
              <w:spacing w:line="254" w:lineRule="exact"/>
              <w:ind w:right="671"/>
              <w:jc w:val="right"/>
              <w:rPr>
                <w:sz w:val="20"/>
              </w:rPr>
            </w:pPr>
            <w:r>
              <w:rPr>
                <w:sz w:val="20"/>
              </w:rPr>
              <w:t>0.75</w:t>
            </w:r>
          </w:p>
        </w:tc>
      </w:tr>
      <w:tr>
        <w:trPr>
          <w:trHeight w:val="311" w:hRule="atLeast"/>
        </w:trPr>
        <w:tc>
          <w:tcPr>
            <w:tcW w:w="1460" w:type="dxa"/>
          </w:tcPr>
          <w:p>
            <w:pPr>
              <w:pStyle w:val="TableParagraph"/>
              <w:spacing w:line="254" w:lineRule="exact"/>
              <w:ind w:left="259" w:right="251"/>
              <w:jc w:val="center"/>
              <w:rPr>
                <w:sz w:val="20"/>
              </w:rPr>
            </w:pPr>
            <w:r>
              <w:rPr>
                <w:sz w:val="20"/>
              </w:rPr>
              <w:t>65</w:t>
            </w:r>
          </w:p>
        </w:tc>
        <w:tc>
          <w:tcPr>
            <w:tcW w:w="1716" w:type="dxa"/>
          </w:tcPr>
          <w:p>
            <w:pPr>
              <w:pStyle w:val="TableParagraph"/>
              <w:spacing w:line="254" w:lineRule="exact"/>
              <w:ind w:left="609"/>
              <w:rPr>
                <w:sz w:val="20"/>
              </w:rPr>
            </w:pPr>
            <w:r>
              <w:rPr>
                <w:sz w:val="20"/>
              </w:rPr>
              <w:t>31.52</w:t>
            </w:r>
          </w:p>
        </w:tc>
        <w:tc>
          <w:tcPr>
            <w:tcW w:w="1702" w:type="dxa"/>
          </w:tcPr>
          <w:p>
            <w:pPr>
              <w:pStyle w:val="TableParagraph"/>
              <w:spacing w:line="254" w:lineRule="exact"/>
              <w:ind w:left="164" w:right="153"/>
              <w:jc w:val="center"/>
              <w:rPr>
                <w:sz w:val="20"/>
              </w:rPr>
            </w:pPr>
            <w:r>
              <w:rPr>
                <w:sz w:val="20"/>
              </w:rPr>
              <w:t>0.53</w:t>
            </w:r>
          </w:p>
        </w:tc>
        <w:tc>
          <w:tcPr>
            <w:tcW w:w="1760" w:type="dxa"/>
          </w:tcPr>
          <w:p>
            <w:pPr>
              <w:pStyle w:val="TableParagraph"/>
              <w:spacing w:line="254" w:lineRule="exact"/>
              <w:ind w:left="382" w:right="371"/>
              <w:jc w:val="center"/>
              <w:rPr>
                <w:sz w:val="20"/>
              </w:rPr>
            </w:pPr>
            <w:r>
              <w:rPr>
                <w:sz w:val="20"/>
              </w:rPr>
              <w:t>19.09</w:t>
            </w:r>
          </w:p>
        </w:tc>
        <w:tc>
          <w:tcPr>
            <w:tcW w:w="1772" w:type="dxa"/>
          </w:tcPr>
          <w:p>
            <w:pPr>
              <w:pStyle w:val="TableParagraph"/>
              <w:spacing w:line="254" w:lineRule="exact"/>
              <w:ind w:right="671"/>
              <w:jc w:val="right"/>
              <w:rPr>
                <w:sz w:val="20"/>
              </w:rPr>
            </w:pPr>
            <w:r>
              <w:rPr>
                <w:sz w:val="20"/>
              </w:rPr>
              <w:t>0.79</w:t>
            </w:r>
          </w:p>
        </w:tc>
      </w:tr>
      <w:tr>
        <w:trPr>
          <w:trHeight w:val="311" w:hRule="atLeast"/>
        </w:trPr>
        <w:tc>
          <w:tcPr>
            <w:tcW w:w="1460" w:type="dxa"/>
          </w:tcPr>
          <w:p>
            <w:pPr>
              <w:pStyle w:val="TableParagraph"/>
              <w:spacing w:line="254" w:lineRule="exact"/>
              <w:ind w:left="259" w:right="251"/>
              <w:jc w:val="center"/>
              <w:rPr>
                <w:sz w:val="20"/>
              </w:rPr>
            </w:pPr>
            <w:r>
              <w:rPr>
                <w:sz w:val="20"/>
              </w:rPr>
              <w:t>66</w:t>
            </w:r>
          </w:p>
        </w:tc>
        <w:tc>
          <w:tcPr>
            <w:tcW w:w="1716" w:type="dxa"/>
          </w:tcPr>
          <w:p>
            <w:pPr>
              <w:pStyle w:val="TableParagraph"/>
              <w:spacing w:line="254" w:lineRule="exact"/>
              <w:ind w:left="609"/>
              <w:rPr>
                <w:sz w:val="20"/>
              </w:rPr>
            </w:pPr>
            <w:r>
              <w:rPr>
                <w:sz w:val="20"/>
              </w:rPr>
              <w:t>33.09</w:t>
            </w:r>
          </w:p>
        </w:tc>
        <w:tc>
          <w:tcPr>
            <w:tcW w:w="1702" w:type="dxa"/>
          </w:tcPr>
          <w:p>
            <w:pPr>
              <w:pStyle w:val="TableParagraph"/>
              <w:spacing w:line="254" w:lineRule="exact"/>
              <w:ind w:left="164" w:right="153"/>
              <w:jc w:val="center"/>
              <w:rPr>
                <w:sz w:val="20"/>
              </w:rPr>
            </w:pPr>
            <w:r>
              <w:rPr>
                <w:sz w:val="20"/>
              </w:rPr>
              <w:t>0.57</w:t>
            </w:r>
          </w:p>
        </w:tc>
        <w:tc>
          <w:tcPr>
            <w:tcW w:w="1760" w:type="dxa"/>
          </w:tcPr>
          <w:p>
            <w:pPr>
              <w:pStyle w:val="TableParagraph"/>
              <w:spacing w:line="254" w:lineRule="exact"/>
              <w:ind w:left="382" w:right="371"/>
              <w:jc w:val="center"/>
              <w:rPr>
                <w:sz w:val="20"/>
              </w:rPr>
            </w:pPr>
            <w:r>
              <w:rPr>
                <w:sz w:val="20"/>
              </w:rPr>
              <w:t>19.69</w:t>
            </w:r>
          </w:p>
        </w:tc>
        <w:tc>
          <w:tcPr>
            <w:tcW w:w="1772" w:type="dxa"/>
          </w:tcPr>
          <w:p>
            <w:pPr>
              <w:pStyle w:val="TableParagraph"/>
              <w:spacing w:line="254" w:lineRule="exact"/>
              <w:ind w:right="671"/>
              <w:jc w:val="right"/>
              <w:rPr>
                <w:sz w:val="20"/>
              </w:rPr>
            </w:pPr>
            <w:r>
              <w:rPr>
                <w:sz w:val="20"/>
              </w:rPr>
              <w:t>0.81</w:t>
            </w:r>
          </w:p>
        </w:tc>
      </w:tr>
      <w:tr>
        <w:trPr>
          <w:trHeight w:val="314" w:hRule="atLeast"/>
        </w:trPr>
        <w:tc>
          <w:tcPr>
            <w:tcW w:w="1460" w:type="dxa"/>
          </w:tcPr>
          <w:p>
            <w:pPr>
              <w:pStyle w:val="TableParagraph"/>
              <w:spacing w:line="256" w:lineRule="exact"/>
              <w:ind w:left="259" w:right="251"/>
              <w:jc w:val="center"/>
              <w:rPr>
                <w:sz w:val="20"/>
              </w:rPr>
            </w:pPr>
            <w:r>
              <w:rPr>
                <w:sz w:val="20"/>
              </w:rPr>
              <w:t>67</w:t>
            </w:r>
          </w:p>
        </w:tc>
        <w:tc>
          <w:tcPr>
            <w:tcW w:w="1716" w:type="dxa"/>
          </w:tcPr>
          <w:p>
            <w:pPr>
              <w:pStyle w:val="TableParagraph"/>
              <w:spacing w:line="256" w:lineRule="exact"/>
              <w:ind w:left="609"/>
              <w:rPr>
                <w:sz w:val="20"/>
              </w:rPr>
            </w:pPr>
            <w:r>
              <w:rPr>
                <w:sz w:val="20"/>
              </w:rPr>
              <w:t>34.64</w:t>
            </w:r>
          </w:p>
        </w:tc>
        <w:tc>
          <w:tcPr>
            <w:tcW w:w="1702" w:type="dxa"/>
          </w:tcPr>
          <w:p>
            <w:pPr>
              <w:pStyle w:val="TableParagraph"/>
              <w:spacing w:line="256" w:lineRule="exact"/>
              <w:ind w:left="164" w:right="153"/>
              <w:jc w:val="center"/>
              <w:rPr>
                <w:sz w:val="20"/>
              </w:rPr>
            </w:pPr>
            <w:r>
              <w:rPr>
                <w:sz w:val="20"/>
              </w:rPr>
              <w:t>0.61</w:t>
            </w:r>
          </w:p>
        </w:tc>
        <w:tc>
          <w:tcPr>
            <w:tcW w:w="1760" w:type="dxa"/>
          </w:tcPr>
          <w:p>
            <w:pPr>
              <w:pStyle w:val="TableParagraph"/>
              <w:spacing w:line="256" w:lineRule="exact"/>
              <w:ind w:left="382" w:right="371"/>
              <w:jc w:val="center"/>
              <w:rPr>
                <w:sz w:val="20"/>
              </w:rPr>
            </w:pPr>
            <w:r>
              <w:rPr>
                <w:sz w:val="20"/>
              </w:rPr>
              <w:t>20.29</w:t>
            </w:r>
          </w:p>
        </w:tc>
        <w:tc>
          <w:tcPr>
            <w:tcW w:w="1772" w:type="dxa"/>
          </w:tcPr>
          <w:p>
            <w:pPr>
              <w:pStyle w:val="TableParagraph"/>
              <w:spacing w:line="256" w:lineRule="exact"/>
              <w:ind w:right="671"/>
              <w:jc w:val="right"/>
              <w:rPr>
                <w:sz w:val="20"/>
              </w:rPr>
            </w:pPr>
            <w:r>
              <w:rPr>
                <w:sz w:val="20"/>
              </w:rPr>
              <w:t>0.83</w:t>
            </w:r>
          </w:p>
        </w:tc>
      </w:tr>
      <w:tr>
        <w:trPr>
          <w:trHeight w:val="312" w:hRule="atLeast"/>
        </w:trPr>
        <w:tc>
          <w:tcPr>
            <w:tcW w:w="1460" w:type="dxa"/>
          </w:tcPr>
          <w:p>
            <w:pPr>
              <w:pStyle w:val="TableParagraph"/>
              <w:spacing w:line="254" w:lineRule="exact"/>
              <w:ind w:left="259" w:right="251"/>
              <w:jc w:val="center"/>
              <w:rPr>
                <w:sz w:val="20"/>
              </w:rPr>
            </w:pPr>
            <w:r>
              <w:rPr>
                <w:sz w:val="20"/>
              </w:rPr>
              <w:t>68</w:t>
            </w:r>
          </w:p>
        </w:tc>
        <w:tc>
          <w:tcPr>
            <w:tcW w:w="1716" w:type="dxa"/>
          </w:tcPr>
          <w:p>
            <w:pPr>
              <w:pStyle w:val="TableParagraph"/>
              <w:spacing w:line="254" w:lineRule="exact"/>
              <w:ind w:left="609"/>
              <w:rPr>
                <w:sz w:val="20"/>
              </w:rPr>
            </w:pPr>
            <w:r>
              <w:rPr>
                <w:sz w:val="20"/>
              </w:rPr>
              <w:t>36.61</w:t>
            </w:r>
          </w:p>
        </w:tc>
        <w:tc>
          <w:tcPr>
            <w:tcW w:w="1702" w:type="dxa"/>
          </w:tcPr>
          <w:p>
            <w:pPr>
              <w:pStyle w:val="TableParagraph"/>
              <w:spacing w:line="254" w:lineRule="exact"/>
              <w:ind w:left="164" w:right="153"/>
              <w:jc w:val="center"/>
              <w:rPr>
                <w:sz w:val="20"/>
              </w:rPr>
            </w:pPr>
            <w:r>
              <w:rPr>
                <w:sz w:val="20"/>
              </w:rPr>
              <w:t>0.66</w:t>
            </w:r>
          </w:p>
        </w:tc>
        <w:tc>
          <w:tcPr>
            <w:tcW w:w="1760" w:type="dxa"/>
          </w:tcPr>
          <w:p>
            <w:pPr>
              <w:pStyle w:val="TableParagraph"/>
              <w:spacing w:line="254" w:lineRule="exact"/>
              <w:ind w:left="382" w:right="371"/>
              <w:jc w:val="center"/>
              <w:rPr>
                <w:sz w:val="20"/>
              </w:rPr>
            </w:pPr>
            <w:r>
              <w:rPr>
                <w:sz w:val="20"/>
              </w:rPr>
              <w:t>21.33</w:t>
            </w:r>
          </w:p>
        </w:tc>
        <w:tc>
          <w:tcPr>
            <w:tcW w:w="1772" w:type="dxa"/>
          </w:tcPr>
          <w:p>
            <w:pPr>
              <w:pStyle w:val="TableParagraph"/>
              <w:spacing w:line="254" w:lineRule="exact"/>
              <w:ind w:right="671"/>
              <w:jc w:val="right"/>
              <w:rPr>
                <w:sz w:val="20"/>
              </w:rPr>
            </w:pPr>
            <w:r>
              <w:rPr>
                <w:sz w:val="20"/>
              </w:rPr>
              <w:t>0.84</w:t>
            </w:r>
          </w:p>
        </w:tc>
      </w:tr>
      <w:tr>
        <w:trPr>
          <w:trHeight w:val="311" w:hRule="atLeast"/>
        </w:trPr>
        <w:tc>
          <w:tcPr>
            <w:tcW w:w="1460" w:type="dxa"/>
          </w:tcPr>
          <w:p>
            <w:pPr>
              <w:pStyle w:val="TableParagraph"/>
              <w:spacing w:line="254" w:lineRule="exact"/>
              <w:ind w:left="259" w:right="251"/>
              <w:jc w:val="center"/>
              <w:rPr>
                <w:sz w:val="20"/>
              </w:rPr>
            </w:pPr>
            <w:r>
              <w:rPr>
                <w:sz w:val="20"/>
              </w:rPr>
              <w:t>69</w:t>
            </w:r>
          </w:p>
        </w:tc>
        <w:tc>
          <w:tcPr>
            <w:tcW w:w="1716" w:type="dxa"/>
          </w:tcPr>
          <w:p>
            <w:pPr>
              <w:pStyle w:val="TableParagraph"/>
              <w:spacing w:line="254" w:lineRule="exact"/>
              <w:ind w:left="609"/>
              <w:rPr>
                <w:sz w:val="20"/>
              </w:rPr>
            </w:pPr>
            <w:r>
              <w:rPr>
                <w:sz w:val="20"/>
              </w:rPr>
              <w:t>39.16</w:t>
            </w:r>
          </w:p>
        </w:tc>
        <w:tc>
          <w:tcPr>
            <w:tcW w:w="1702" w:type="dxa"/>
          </w:tcPr>
          <w:p>
            <w:pPr>
              <w:pStyle w:val="TableParagraph"/>
              <w:spacing w:line="254" w:lineRule="exact"/>
              <w:ind w:left="164" w:right="153"/>
              <w:jc w:val="center"/>
              <w:rPr>
                <w:sz w:val="20"/>
              </w:rPr>
            </w:pPr>
            <w:r>
              <w:rPr>
                <w:sz w:val="20"/>
              </w:rPr>
              <w:t>0.7</w:t>
            </w:r>
          </w:p>
        </w:tc>
        <w:tc>
          <w:tcPr>
            <w:tcW w:w="1760" w:type="dxa"/>
          </w:tcPr>
          <w:p>
            <w:pPr>
              <w:pStyle w:val="TableParagraph"/>
              <w:spacing w:line="254" w:lineRule="exact"/>
              <w:ind w:left="382" w:right="371"/>
              <w:jc w:val="center"/>
              <w:rPr>
                <w:sz w:val="20"/>
              </w:rPr>
            </w:pPr>
            <w:r>
              <w:rPr>
                <w:sz w:val="20"/>
              </w:rPr>
              <w:t>23.01</w:t>
            </w:r>
          </w:p>
        </w:tc>
        <w:tc>
          <w:tcPr>
            <w:tcW w:w="1772" w:type="dxa"/>
          </w:tcPr>
          <w:p>
            <w:pPr>
              <w:pStyle w:val="TableParagraph"/>
              <w:spacing w:line="254" w:lineRule="exact"/>
              <w:ind w:right="671"/>
              <w:jc w:val="right"/>
              <w:rPr>
                <w:sz w:val="20"/>
              </w:rPr>
            </w:pPr>
            <w:r>
              <w:rPr>
                <w:sz w:val="20"/>
              </w:rPr>
              <w:t>0.84</w:t>
            </w:r>
          </w:p>
        </w:tc>
      </w:tr>
      <w:tr>
        <w:trPr>
          <w:trHeight w:val="311" w:hRule="atLeast"/>
        </w:trPr>
        <w:tc>
          <w:tcPr>
            <w:tcW w:w="1460" w:type="dxa"/>
          </w:tcPr>
          <w:p>
            <w:pPr>
              <w:pStyle w:val="TableParagraph"/>
              <w:spacing w:line="254" w:lineRule="exact"/>
              <w:ind w:left="259" w:right="251"/>
              <w:jc w:val="center"/>
              <w:rPr>
                <w:sz w:val="20"/>
              </w:rPr>
            </w:pPr>
            <w:r>
              <w:rPr>
                <w:sz w:val="20"/>
              </w:rPr>
              <w:t>70</w:t>
            </w:r>
          </w:p>
        </w:tc>
        <w:tc>
          <w:tcPr>
            <w:tcW w:w="1716" w:type="dxa"/>
          </w:tcPr>
          <w:p>
            <w:pPr>
              <w:pStyle w:val="TableParagraph"/>
              <w:spacing w:line="254" w:lineRule="exact"/>
              <w:ind w:left="609"/>
              <w:rPr>
                <w:sz w:val="20"/>
              </w:rPr>
            </w:pPr>
            <w:r>
              <w:rPr>
                <w:sz w:val="20"/>
              </w:rPr>
              <w:t>41.86</w:t>
            </w:r>
          </w:p>
        </w:tc>
        <w:tc>
          <w:tcPr>
            <w:tcW w:w="1702" w:type="dxa"/>
          </w:tcPr>
          <w:p>
            <w:pPr>
              <w:pStyle w:val="TableParagraph"/>
              <w:spacing w:line="254" w:lineRule="exact"/>
              <w:ind w:left="164" w:right="153"/>
              <w:jc w:val="center"/>
              <w:rPr>
                <w:sz w:val="20"/>
              </w:rPr>
            </w:pPr>
            <w:r>
              <w:rPr>
                <w:sz w:val="20"/>
              </w:rPr>
              <w:t>0.75</w:t>
            </w:r>
          </w:p>
        </w:tc>
        <w:tc>
          <w:tcPr>
            <w:tcW w:w="1760" w:type="dxa"/>
          </w:tcPr>
          <w:p>
            <w:pPr>
              <w:pStyle w:val="TableParagraph"/>
              <w:spacing w:line="254" w:lineRule="exact"/>
              <w:ind w:left="382" w:right="371"/>
              <w:jc w:val="center"/>
              <w:rPr>
                <w:sz w:val="20"/>
              </w:rPr>
            </w:pPr>
            <w:r>
              <w:rPr>
                <w:sz w:val="20"/>
              </w:rPr>
              <w:t>24.90</w:t>
            </w:r>
          </w:p>
        </w:tc>
        <w:tc>
          <w:tcPr>
            <w:tcW w:w="1772" w:type="dxa"/>
          </w:tcPr>
          <w:p>
            <w:pPr>
              <w:pStyle w:val="TableParagraph"/>
              <w:spacing w:line="254" w:lineRule="exact"/>
              <w:ind w:right="671"/>
              <w:jc w:val="right"/>
              <w:rPr>
                <w:sz w:val="20"/>
              </w:rPr>
            </w:pPr>
            <w:r>
              <w:rPr>
                <w:sz w:val="20"/>
              </w:rPr>
              <w:t>0.82</w:t>
            </w:r>
          </w:p>
        </w:tc>
      </w:tr>
      <w:tr>
        <w:trPr>
          <w:trHeight w:val="311" w:hRule="atLeast"/>
        </w:trPr>
        <w:tc>
          <w:tcPr>
            <w:tcW w:w="1460" w:type="dxa"/>
          </w:tcPr>
          <w:p>
            <w:pPr>
              <w:pStyle w:val="TableParagraph"/>
              <w:spacing w:line="254" w:lineRule="exact"/>
              <w:ind w:left="259" w:right="251"/>
              <w:jc w:val="center"/>
              <w:rPr>
                <w:sz w:val="20"/>
              </w:rPr>
            </w:pPr>
            <w:r>
              <w:rPr>
                <w:sz w:val="20"/>
              </w:rPr>
              <w:t>71</w:t>
            </w:r>
          </w:p>
        </w:tc>
        <w:tc>
          <w:tcPr>
            <w:tcW w:w="1716" w:type="dxa"/>
          </w:tcPr>
          <w:p>
            <w:pPr>
              <w:pStyle w:val="TableParagraph"/>
              <w:spacing w:line="254" w:lineRule="exact"/>
              <w:ind w:left="609"/>
              <w:rPr>
                <w:sz w:val="20"/>
              </w:rPr>
            </w:pPr>
            <w:r>
              <w:rPr>
                <w:sz w:val="20"/>
              </w:rPr>
              <w:t>44.31</w:t>
            </w:r>
          </w:p>
        </w:tc>
        <w:tc>
          <w:tcPr>
            <w:tcW w:w="1702" w:type="dxa"/>
          </w:tcPr>
          <w:p>
            <w:pPr>
              <w:pStyle w:val="TableParagraph"/>
              <w:spacing w:line="254" w:lineRule="exact"/>
              <w:ind w:left="164" w:right="153"/>
              <w:jc w:val="center"/>
              <w:rPr>
                <w:sz w:val="20"/>
              </w:rPr>
            </w:pPr>
            <w:r>
              <w:rPr>
                <w:sz w:val="20"/>
              </w:rPr>
              <w:t>0.8</w:t>
            </w:r>
          </w:p>
        </w:tc>
        <w:tc>
          <w:tcPr>
            <w:tcW w:w="1760" w:type="dxa"/>
          </w:tcPr>
          <w:p>
            <w:pPr>
              <w:pStyle w:val="TableParagraph"/>
              <w:spacing w:line="254" w:lineRule="exact"/>
              <w:ind w:left="382" w:right="371"/>
              <w:jc w:val="center"/>
              <w:rPr>
                <w:sz w:val="20"/>
              </w:rPr>
            </w:pPr>
            <w:r>
              <w:rPr>
                <w:sz w:val="20"/>
              </w:rPr>
              <w:t>26.57</w:t>
            </w:r>
          </w:p>
        </w:tc>
        <w:tc>
          <w:tcPr>
            <w:tcW w:w="1772" w:type="dxa"/>
          </w:tcPr>
          <w:p>
            <w:pPr>
              <w:pStyle w:val="TableParagraph"/>
              <w:spacing w:line="254" w:lineRule="exact"/>
              <w:ind w:right="671"/>
              <w:jc w:val="right"/>
              <w:rPr>
                <w:sz w:val="20"/>
              </w:rPr>
            </w:pPr>
            <w:r>
              <w:rPr>
                <w:sz w:val="20"/>
              </w:rPr>
              <w:t>0.81</w:t>
            </w:r>
          </w:p>
        </w:tc>
      </w:tr>
      <w:tr>
        <w:trPr>
          <w:trHeight w:val="311" w:hRule="atLeast"/>
        </w:trPr>
        <w:tc>
          <w:tcPr>
            <w:tcW w:w="1460" w:type="dxa"/>
          </w:tcPr>
          <w:p>
            <w:pPr>
              <w:pStyle w:val="TableParagraph"/>
              <w:spacing w:line="254" w:lineRule="exact"/>
              <w:ind w:left="259" w:right="251"/>
              <w:jc w:val="center"/>
              <w:rPr>
                <w:sz w:val="20"/>
              </w:rPr>
            </w:pPr>
            <w:r>
              <w:rPr>
                <w:sz w:val="20"/>
              </w:rPr>
              <w:t>72</w:t>
            </w:r>
          </w:p>
        </w:tc>
        <w:tc>
          <w:tcPr>
            <w:tcW w:w="1716" w:type="dxa"/>
          </w:tcPr>
          <w:p>
            <w:pPr>
              <w:pStyle w:val="TableParagraph"/>
              <w:spacing w:line="254" w:lineRule="exact"/>
              <w:ind w:left="657"/>
              <w:rPr>
                <w:sz w:val="20"/>
              </w:rPr>
            </w:pPr>
            <w:r>
              <w:rPr>
                <w:sz w:val="20"/>
              </w:rPr>
              <w:t>46.1</w:t>
            </w:r>
          </w:p>
        </w:tc>
        <w:tc>
          <w:tcPr>
            <w:tcW w:w="1702" w:type="dxa"/>
          </w:tcPr>
          <w:p>
            <w:pPr>
              <w:pStyle w:val="TableParagraph"/>
              <w:spacing w:line="254" w:lineRule="exact"/>
              <w:ind w:left="164" w:right="153"/>
              <w:jc w:val="center"/>
              <w:rPr>
                <w:sz w:val="20"/>
              </w:rPr>
            </w:pPr>
            <w:r>
              <w:rPr>
                <w:sz w:val="20"/>
              </w:rPr>
              <w:t>0.86</w:t>
            </w:r>
          </w:p>
        </w:tc>
        <w:tc>
          <w:tcPr>
            <w:tcW w:w="1760" w:type="dxa"/>
          </w:tcPr>
          <w:p>
            <w:pPr>
              <w:pStyle w:val="TableParagraph"/>
              <w:spacing w:line="254" w:lineRule="exact"/>
              <w:ind w:left="382" w:right="371"/>
              <w:jc w:val="center"/>
              <w:rPr>
                <w:sz w:val="20"/>
              </w:rPr>
            </w:pPr>
            <w:r>
              <w:rPr>
                <w:sz w:val="20"/>
              </w:rPr>
              <w:t>27.62</w:t>
            </w:r>
          </w:p>
        </w:tc>
        <w:tc>
          <w:tcPr>
            <w:tcW w:w="1772" w:type="dxa"/>
          </w:tcPr>
          <w:p>
            <w:pPr>
              <w:pStyle w:val="TableParagraph"/>
              <w:spacing w:line="254" w:lineRule="exact"/>
              <w:ind w:right="671"/>
              <w:jc w:val="right"/>
              <w:rPr>
                <w:sz w:val="20"/>
              </w:rPr>
            </w:pPr>
            <w:r>
              <w:rPr>
                <w:sz w:val="20"/>
              </w:rPr>
              <w:t>0.79</w:t>
            </w:r>
          </w:p>
        </w:tc>
      </w:tr>
      <w:tr>
        <w:trPr>
          <w:trHeight w:val="313" w:hRule="atLeast"/>
        </w:trPr>
        <w:tc>
          <w:tcPr>
            <w:tcW w:w="1460" w:type="dxa"/>
          </w:tcPr>
          <w:p>
            <w:pPr>
              <w:pStyle w:val="TableParagraph"/>
              <w:spacing w:line="256" w:lineRule="exact"/>
              <w:ind w:left="259" w:right="251"/>
              <w:jc w:val="center"/>
              <w:rPr>
                <w:sz w:val="20"/>
              </w:rPr>
            </w:pPr>
            <w:r>
              <w:rPr>
                <w:sz w:val="20"/>
              </w:rPr>
              <w:t>73</w:t>
            </w:r>
          </w:p>
        </w:tc>
        <w:tc>
          <w:tcPr>
            <w:tcW w:w="1716" w:type="dxa"/>
          </w:tcPr>
          <w:p>
            <w:pPr>
              <w:pStyle w:val="TableParagraph"/>
              <w:spacing w:line="256" w:lineRule="exact"/>
              <w:ind w:left="609"/>
              <w:rPr>
                <w:sz w:val="20"/>
              </w:rPr>
            </w:pPr>
            <w:r>
              <w:rPr>
                <w:sz w:val="20"/>
              </w:rPr>
              <w:t>47.43</w:t>
            </w:r>
          </w:p>
        </w:tc>
        <w:tc>
          <w:tcPr>
            <w:tcW w:w="1702" w:type="dxa"/>
          </w:tcPr>
          <w:p>
            <w:pPr>
              <w:pStyle w:val="TableParagraph"/>
              <w:spacing w:line="256" w:lineRule="exact"/>
              <w:ind w:left="164" w:right="153"/>
              <w:jc w:val="center"/>
              <w:rPr>
                <w:sz w:val="20"/>
              </w:rPr>
            </w:pPr>
            <w:r>
              <w:rPr>
                <w:sz w:val="20"/>
              </w:rPr>
              <w:t>0.92</w:t>
            </w:r>
          </w:p>
        </w:tc>
        <w:tc>
          <w:tcPr>
            <w:tcW w:w="1760" w:type="dxa"/>
          </w:tcPr>
          <w:p>
            <w:pPr>
              <w:pStyle w:val="TableParagraph"/>
              <w:spacing w:line="256" w:lineRule="exact"/>
              <w:ind w:left="382" w:right="371"/>
              <w:jc w:val="center"/>
              <w:rPr>
                <w:sz w:val="20"/>
              </w:rPr>
            </w:pPr>
            <w:r>
              <w:rPr>
                <w:sz w:val="20"/>
              </w:rPr>
              <w:t>28.24</w:t>
            </w:r>
          </w:p>
        </w:tc>
        <w:tc>
          <w:tcPr>
            <w:tcW w:w="1772" w:type="dxa"/>
          </w:tcPr>
          <w:p>
            <w:pPr>
              <w:pStyle w:val="TableParagraph"/>
              <w:spacing w:line="256" w:lineRule="exact"/>
              <w:ind w:right="671"/>
              <w:jc w:val="right"/>
              <w:rPr>
                <w:sz w:val="20"/>
              </w:rPr>
            </w:pPr>
            <w:r>
              <w:rPr>
                <w:sz w:val="20"/>
              </w:rPr>
              <w:t>0.78</w:t>
            </w:r>
          </w:p>
        </w:tc>
      </w:tr>
      <w:tr>
        <w:trPr>
          <w:trHeight w:val="311" w:hRule="atLeast"/>
        </w:trPr>
        <w:tc>
          <w:tcPr>
            <w:tcW w:w="1460" w:type="dxa"/>
          </w:tcPr>
          <w:p>
            <w:pPr>
              <w:pStyle w:val="TableParagraph"/>
              <w:spacing w:line="254" w:lineRule="exact"/>
              <w:ind w:left="259" w:right="251"/>
              <w:jc w:val="center"/>
              <w:rPr>
                <w:sz w:val="20"/>
              </w:rPr>
            </w:pPr>
            <w:r>
              <w:rPr>
                <w:sz w:val="20"/>
              </w:rPr>
              <w:t>74</w:t>
            </w:r>
          </w:p>
        </w:tc>
        <w:tc>
          <w:tcPr>
            <w:tcW w:w="1716" w:type="dxa"/>
          </w:tcPr>
          <w:p>
            <w:pPr>
              <w:pStyle w:val="TableParagraph"/>
              <w:spacing w:line="254" w:lineRule="exact"/>
              <w:ind w:left="609"/>
              <w:rPr>
                <w:sz w:val="20"/>
              </w:rPr>
            </w:pPr>
            <w:r>
              <w:rPr>
                <w:sz w:val="20"/>
              </w:rPr>
              <w:t>48.74</w:t>
            </w:r>
          </w:p>
        </w:tc>
        <w:tc>
          <w:tcPr>
            <w:tcW w:w="1702" w:type="dxa"/>
          </w:tcPr>
          <w:p>
            <w:pPr>
              <w:pStyle w:val="TableParagraph"/>
              <w:spacing w:line="254" w:lineRule="exact"/>
              <w:ind w:left="164" w:right="153"/>
              <w:jc w:val="center"/>
              <w:rPr>
                <w:sz w:val="20"/>
              </w:rPr>
            </w:pPr>
            <w:r>
              <w:rPr>
                <w:sz w:val="20"/>
              </w:rPr>
              <w:t>0.99</w:t>
            </w:r>
          </w:p>
        </w:tc>
        <w:tc>
          <w:tcPr>
            <w:tcW w:w="1760" w:type="dxa"/>
          </w:tcPr>
          <w:p>
            <w:pPr>
              <w:pStyle w:val="TableParagraph"/>
              <w:spacing w:line="254" w:lineRule="exact"/>
              <w:ind w:left="382" w:right="371"/>
              <w:jc w:val="center"/>
              <w:rPr>
                <w:sz w:val="20"/>
              </w:rPr>
            </w:pPr>
            <w:r>
              <w:rPr>
                <w:sz w:val="20"/>
              </w:rPr>
              <w:t>29.20</w:t>
            </w:r>
          </w:p>
        </w:tc>
        <w:tc>
          <w:tcPr>
            <w:tcW w:w="1772" w:type="dxa"/>
          </w:tcPr>
          <w:p>
            <w:pPr>
              <w:pStyle w:val="TableParagraph"/>
              <w:spacing w:line="254" w:lineRule="exact"/>
              <w:ind w:right="671"/>
              <w:jc w:val="right"/>
              <w:rPr>
                <w:sz w:val="20"/>
              </w:rPr>
            </w:pPr>
            <w:r>
              <w:rPr>
                <w:sz w:val="20"/>
              </w:rPr>
              <w:t>0.77</w:t>
            </w:r>
          </w:p>
        </w:tc>
      </w:tr>
      <w:tr>
        <w:trPr>
          <w:trHeight w:val="311" w:hRule="atLeast"/>
        </w:trPr>
        <w:tc>
          <w:tcPr>
            <w:tcW w:w="1460" w:type="dxa"/>
          </w:tcPr>
          <w:p>
            <w:pPr>
              <w:pStyle w:val="TableParagraph"/>
              <w:spacing w:line="254" w:lineRule="exact"/>
              <w:ind w:left="259" w:right="251"/>
              <w:jc w:val="center"/>
              <w:rPr>
                <w:sz w:val="20"/>
              </w:rPr>
            </w:pPr>
            <w:r>
              <w:rPr>
                <w:sz w:val="20"/>
              </w:rPr>
              <w:t>75</w:t>
            </w:r>
          </w:p>
        </w:tc>
        <w:tc>
          <w:tcPr>
            <w:tcW w:w="1716" w:type="dxa"/>
          </w:tcPr>
          <w:p>
            <w:pPr>
              <w:pStyle w:val="TableParagraph"/>
              <w:spacing w:line="254" w:lineRule="exact"/>
              <w:ind w:left="657"/>
              <w:rPr>
                <w:sz w:val="20"/>
              </w:rPr>
            </w:pPr>
            <w:r>
              <w:rPr>
                <w:sz w:val="20"/>
              </w:rPr>
              <w:t>50.5</w:t>
            </w:r>
          </w:p>
        </w:tc>
        <w:tc>
          <w:tcPr>
            <w:tcW w:w="1702" w:type="dxa"/>
          </w:tcPr>
          <w:p>
            <w:pPr>
              <w:pStyle w:val="TableParagraph"/>
              <w:spacing w:line="254" w:lineRule="exact"/>
              <w:ind w:left="164" w:right="153"/>
              <w:jc w:val="center"/>
              <w:rPr>
                <w:sz w:val="20"/>
              </w:rPr>
            </w:pPr>
            <w:r>
              <w:rPr>
                <w:sz w:val="20"/>
              </w:rPr>
              <w:t>1.06</w:t>
            </w:r>
          </w:p>
        </w:tc>
        <w:tc>
          <w:tcPr>
            <w:tcW w:w="1760" w:type="dxa"/>
          </w:tcPr>
          <w:p>
            <w:pPr>
              <w:pStyle w:val="TableParagraph"/>
              <w:spacing w:line="254" w:lineRule="exact"/>
              <w:ind w:left="382" w:right="371"/>
              <w:jc w:val="center"/>
              <w:rPr>
                <w:sz w:val="20"/>
              </w:rPr>
            </w:pPr>
            <w:r>
              <w:rPr>
                <w:sz w:val="20"/>
              </w:rPr>
              <w:t>30.25</w:t>
            </w:r>
          </w:p>
        </w:tc>
        <w:tc>
          <w:tcPr>
            <w:tcW w:w="1772" w:type="dxa"/>
          </w:tcPr>
          <w:p>
            <w:pPr>
              <w:pStyle w:val="TableParagraph"/>
              <w:spacing w:line="254" w:lineRule="exact"/>
              <w:ind w:right="671"/>
              <w:jc w:val="right"/>
              <w:rPr>
                <w:sz w:val="20"/>
              </w:rPr>
            </w:pPr>
            <w:r>
              <w:rPr>
                <w:sz w:val="20"/>
              </w:rPr>
              <w:t>0.75</w:t>
            </w:r>
          </w:p>
        </w:tc>
      </w:tr>
      <w:tr>
        <w:trPr>
          <w:trHeight w:val="311" w:hRule="atLeast"/>
        </w:trPr>
        <w:tc>
          <w:tcPr>
            <w:tcW w:w="1460" w:type="dxa"/>
          </w:tcPr>
          <w:p>
            <w:pPr>
              <w:pStyle w:val="TableParagraph"/>
              <w:spacing w:line="254" w:lineRule="exact"/>
              <w:ind w:left="259" w:right="251"/>
              <w:jc w:val="center"/>
              <w:rPr>
                <w:sz w:val="20"/>
              </w:rPr>
            </w:pPr>
            <w:r>
              <w:rPr>
                <w:sz w:val="20"/>
              </w:rPr>
              <w:t>76</w:t>
            </w:r>
          </w:p>
        </w:tc>
        <w:tc>
          <w:tcPr>
            <w:tcW w:w="1716" w:type="dxa"/>
          </w:tcPr>
          <w:p>
            <w:pPr>
              <w:pStyle w:val="TableParagraph"/>
              <w:spacing w:line="254" w:lineRule="exact"/>
              <w:ind w:left="657"/>
              <w:rPr>
                <w:sz w:val="20"/>
              </w:rPr>
            </w:pPr>
            <w:r>
              <w:rPr>
                <w:sz w:val="20"/>
              </w:rPr>
              <w:t>52.1</w:t>
            </w:r>
          </w:p>
        </w:tc>
        <w:tc>
          <w:tcPr>
            <w:tcW w:w="1702" w:type="dxa"/>
          </w:tcPr>
          <w:p>
            <w:pPr>
              <w:pStyle w:val="TableParagraph"/>
              <w:spacing w:line="254" w:lineRule="exact"/>
              <w:ind w:left="164" w:right="153"/>
              <w:jc w:val="center"/>
              <w:rPr>
                <w:sz w:val="20"/>
              </w:rPr>
            </w:pPr>
            <w:r>
              <w:rPr>
                <w:sz w:val="20"/>
              </w:rPr>
              <w:t>1.13</w:t>
            </w:r>
          </w:p>
        </w:tc>
        <w:tc>
          <w:tcPr>
            <w:tcW w:w="1760" w:type="dxa"/>
          </w:tcPr>
          <w:p>
            <w:pPr>
              <w:pStyle w:val="TableParagraph"/>
              <w:spacing w:line="254" w:lineRule="exact"/>
              <w:ind w:left="382" w:right="371"/>
              <w:jc w:val="center"/>
              <w:rPr>
                <w:sz w:val="20"/>
              </w:rPr>
            </w:pPr>
            <w:r>
              <w:rPr>
                <w:sz w:val="20"/>
              </w:rPr>
              <w:t>30.80</w:t>
            </w:r>
          </w:p>
        </w:tc>
        <w:tc>
          <w:tcPr>
            <w:tcW w:w="1772" w:type="dxa"/>
          </w:tcPr>
          <w:p>
            <w:pPr>
              <w:pStyle w:val="TableParagraph"/>
              <w:spacing w:line="254" w:lineRule="exact"/>
              <w:ind w:right="671"/>
              <w:jc w:val="right"/>
              <w:rPr>
                <w:sz w:val="20"/>
              </w:rPr>
            </w:pPr>
            <w:r>
              <w:rPr>
                <w:sz w:val="20"/>
              </w:rPr>
              <w:t>0.73</w:t>
            </w:r>
          </w:p>
        </w:tc>
      </w:tr>
      <w:tr>
        <w:trPr>
          <w:trHeight w:val="311" w:hRule="atLeast"/>
        </w:trPr>
        <w:tc>
          <w:tcPr>
            <w:tcW w:w="1460" w:type="dxa"/>
          </w:tcPr>
          <w:p>
            <w:pPr>
              <w:pStyle w:val="TableParagraph"/>
              <w:spacing w:line="254" w:lineRule="exact"/>
              <w:ind w:left="259" w:right="251"/>
              <w:jc w:val="center"/>
              <w:rPr>
                <w:sz w:val="20"/>
              </w:rPr>
            </w:pPr>
            <w:r>
              <w:rPr>
                <w:sz w:val="20"/>
              </w:rPr>
              <w:t>77</w:t>
            </w:r>
          </w:p>
        </w:tc>
        <w:tc>
          <w:tcPr>
            <w:tcW w:w="1716" w:type="dxa"/>
          </w:tcPr>
          <w:p>
            <w:pPr>
              <w:pStyle w:val="TableParagraph"/>
              <w:spacing w:line="254" w:lineRule="exact"/>
              <w:ind w:left="657"/>
              <w:rPr>
                <w:sz w:val="20"/>
              </w:rPr>
            </w:pPr>
            <w:r>
              <w:rPr>
                <w:sz w:val="20"/>
              </w:rPr>
              <w:t>53.3</w:t>
            </w:r>
          </w:p>
        </w:tc>
        <w:tc>
          <w:tcPr>
            <w:tcW w:w="1702" w:type="dxa"/>
          </w:tcPr>
          <w:p>
            <w:pPr>
              <w:pStyle w:val="TableParagraph"/>
              <w:spacing w:line="254" w:lineRule="exact"/>
              <w:ind w:left="164" w:right="153"/>
              <w:jc w:val="center"/>
              <w:rPr>
                <w:sz w:val="20"/>
              </w:rPr>
            </w:pPr>
            <w:r>
              <w:rPr>
                <w:sz w:val="20"/>
              </w:rPr>
              <w:t>1.2</w:t>
            </w:r>
          </w:p>
        </w:tc>
        <w:tc>
          <w:tcPr>
            <w:tcW w:w="1760" w:type="dxa"/>
          </w:tcPr>
          <w:p>
            <w:pPr>
              <w:pStyle w:val="TableParagraph"/>
              <w:spacing w:line="254" w:lineRule="exact"/>
              <w:ind w:left="382" w:right="371"/>
              <w:jc w:val="center"/>
              <w:rPr>
                <w:sz w:val="20"/>
              </w:rPr>
            </w:pPr>
            <w:r>
              <w:rPr>
                <w:sz w:val="20"/>
              </w:rPr>
              <w:t>31.60</w:t>
            </w:r>
          </w:p>
        </w:tc>
        <w:tc>
          <w:tcPr>
            <w:tcW w:w="1772" w:type="dxa"/>
          </w:tcPr>
          <w:p>
            <w:pPr>
              <w:pStyle w:val="TableParagraph"/>
              <w:spacing w:line="254" w:lineRule="exact"/>
              <w:ind w:right="671"/>
              <w:jc w:val="right"/>
              <w:rPr>
                <w:sz w:val="20"/>
              </w:rPr>
            </w:pPr>
            <w:r>
              <w:rPr>
                <w:sz w:val="20"/>
              </w:rPr>
              <w:t>0.71</w:t>
            </w:r>
          </w:p>
        </w:tc>
      </w:tr>
      <w:tr>
        <w:trPr>
          <w:trHeight w:val="311" w:hRule="atLeast"/>
        </w:trPr>
        <w:tc>
          <w:tcPr>
            <w:tcW w:w="1460" w:type="dxa"/>
          </w:tcPr>
          <w:p>
            <w:pPr>
              <w:pStyle w:val="TableParagraph"/>
              <w:spacing w:line="254" w:lineRule="exact"/>
              <w:ind w:left="259" w:right="251"/>
              <w:jc w:val="center"/>
              <w:rPr>
                <w:sz w:val="20"/>
              </w:rPr>
            </w:pPr>
            <w:r>
              <w:rPr>
                <w:sz w:val="20"/>
              </w:rPr>
              <w:t>78</w:t>
            </w:r>
          </w:p>
        </w:tc>
        <w:tc>
          <w:tcPr>
            <w:tcW w:w="1716" w:type="dxa"/>
          </w:tcPr>
          <w:p>
            <w:pPr>
              <w:pStyle w:val="TableParagraph"/>
              <w:spacing w:line="254" w:lineRule="exact"/>
              <w:ind w:left="657"/>
              <w:rPr>
                <w:sz w:val="20"/>
              </w:rPr>
            </w:pPr>
            <w:r>
              <w:rPr>
                <w:sz w:val="20"/>
              </w:rPr>
              <w:t>54.2</w:t>
            </w:r>
          </w:p>
        </w:tc>
        <w:tc>
          <w:tcPr>
            <w:tcW w:w="1702" w:type="dxa"/>
          </w:tcPr>
          <w:p>
            <w:pPr>
              <w:pStyle w:val="TableParagraph"/>
              <w:spacing w:line="254" w:lineRule="exact"/>
              <w:ind w:left="164" w:right="153"/>
              <w:jc w:val="center"/>
              <w:rPr>
                <w:sz w:val="20"/>
              </w:rPr>
            </w:pPr>
            <w:r>
              <w:rPr>
                <w:sz w:val="20"/>
              </w:rPr>
              <w:t>1.26</w:t>
            </w:r>
          </w:p>
        </w:tc>
        <w:tc>
          <w:tcPr>
            <w:tcW w:w="1760" w:type="dxa"/>
          </w:tcPr>
          <w:p>
            <w:pPr>
              <w:pStyle w:val="TableParagraph"/>
              <w:spacing w:line="254" w:lineRule="exact"/>
              <w:ind w:left="382" w:right="371"/>
              <w:jc w:val="center"/>
              <w:rPr>
                <w:sz w:val="20"/>
              </w:rPr>
            </w:pPr>
            <w:r>
              <w:rPr>
                <w:sz w:val="20"/>
              </w:rPr>
              <w:t>32.80</w:t>
            </w:r>
          </w:p>
        </w:tc>
        <w:tc>
          <w:tcPr>
            <w:tcW w:w="1772" w:type="dxa"/>
          </w:tcPr>
          <w:p>
            <w:pPr>
              <w:pStyle w:val="TableParagraph"/>
              <w:spacing w:line="254" w:lineRule="exact"/>
              <w:ind w:right="671"/>
              <w:jc w:val="right"/>
              <w:rPr>
                <w:sz w:val="20"/>
              </w:rPr>
            </w:pPr>
            <w:r>
              <w:rPr>
                <w:sz w:val="20"/>
              </w:rPr>
              <w:t>0.68</w:t>
            </w:r>
          </w:p>
        </w:tc>
      </w:tr>
      <w:tr>
        <w:trPr>
          <w:trHeight w:val="313" w:hRule="atLeast"/>
        </w:trPr>
        <w:tc>
          <w:tcPr>
            <w:tcW w:w="1460" w:type="dxa"/>
          </w:tcPr>
          <w:p>
            <w:pPr>
              <w:pStyle w:val="TableParagraph"/>
              <w:spacing w:line="256" w:lineRule="exact"/>
              <w:ind w:left="259" w:right="251"/>
              <w:jc w:val="center"/>
              <w:rPr>
                <w:sz w:val="20"/>
              </w:rPr>
            </w:pPr>
            <w:r>
              <w:rPr>
                <w:sz w:val="20"/>
              </w:rPr>
              <w:t>79</w:t>
            </w:r>
          </w:p>
        </w:tc>
        <w:tc>
          <w:tcPr>
            <w:tcW w:w="1716" w:type="dxa"/>
          </w:tcPr>
          <w:p>
            <w:pPr>
              <w:pStyle w:val="TableParagraph"/>
              <w:spacing w:line="256" w:lineRule="exact"/>
              <w:ind w:left="657"/>
              <w:rPr>
                <w:sz w:val="20"/>
              </w:rPr>
            </w:pPr>
            <w:r>
              <w:rPr>
                <w:sz w:val="20"/>
              </w:rPr>
              <w:t>57.3</w:t>
            </w:r>
          </w:p>
        </w:tc>
        <w:tc>
          <w:tcPr>
            <w:tcW w:w="1702" w:type="dxa"/>
          </w:tcPr>
          <w:p>
            <w:pPr>
              <w:pStyle w:val="TableParagraph"/>
              <w:spacing w:line="256" w:lineRule="exact"/>
              <w:ind w:left="164" w:right="153"/>
              <w:jc w:val="center"/>
              <w:rPr>
                <w:sz w:val="20"/>
              </w:rPr>
            </w:pPr>
            <w:r>
              <w:rPr>
                <w:sz w:val="20"/>
              </w:rPr>
              <w:t>1.32</w:t>
            </w:r>
          </w:p>
        </w:tc>
        <w:tc>
          <w:tcPr>
            <w:tcW w:w="1760" w:type="dxa"/>
          </w:tcPr>
          <w:p>
            <w:pPr>
              <w:pStyle w:val="TableParagraph"/>
              <w:spacing w:line="256" w:lineRule="exact"/>
              <w:ind w:left="382" w:right="371"/>
              <w:jc w:val="center"/>
              <w:rPr>
                <w:sz w:val="20"/>
              </w:rPr>
            </w:pPr>
            <w:r>
              <w:rPr>
                <w:sz w:val="20"/>
              </w:rPr>
              <w:t>35.70</w:t>
            </w:r>
          </w:p>
        </w:tc>
        <w:tc>
          <w:tcPr>
            <w:tcW w:w="1772" w:type="dxa"/>
          </w:tcPr>
          <w:p>
            <w:pPr>
              <w:pStyle w:val="TableParagraph"/>
              <w:spacing w:line="256" w:lineRule="exact"/>
              <w:ind w:right="671"/>
              <w:jc w:val="right"/>
              <w:rPr>
                <w:sz w:val="20"/>
              </w:rPr>
            </w:pPr>
            <w:r>
              <w:rPr>
                <w:sz w:val="20"/>
              </w:rPr>
              <w:t>0.64</w:t>
            </w:r>
          </w:p>
        </w:tc>
      </w:tr>
      <w:tr>
        <w:trPr>
          <w:trHeight w:val="311" w:hRule="atLeast"/>
        </w:trPr>
        <w:tc>
          <w:tcPr>
            <w:tcW w:w="1460" w:type="dxa"/>
          </w:tcPr>
          <w:p>
            <w:pPr>
              <w:pStyle w:val="TableParagraph"/>
              <w:spacing w:line="254" w:lineRule="exact"/>
              <w:ind w:left="259" w:right="251"/>
              <w:jc w:val="center"/>
              <w:rPr>
                <w:sz w:val="20"/>
              </w:rPr>
            </w:pPr>
            <w:r>
              <w:rPr>
                <w:sz w:val="20"/>
              </w:rPr>
              <w:t>80</w:t>
            </w:r>
          </w:p>
        </w:tc>
        <w:tc>
          <w:tcPr>
            <w:tcW w:w="1716" w:type="dxa"/>
          </w:tcPr>
          <w:p>
            <w:pPr>
              <w:pStyle w:val="TableParagraph"/>
              <w:spacing w:line="254" w:lineRule="exact"/>
              <w:ind w:left="657"/>
              <w:rPr>
                <w:sz w:val="20"/>
              </w:rPr>
            </w:pPr>
            <w:r>
              <w:rPr>
                <w:sz w:val="20"/>
              </w:rPr>
              <w:t>60.6</w:t>
            </w:r>
          </w:p>
        </w:tc>
        <w:tc>
          <w:tcPr>
            <w:tcW w:w="1702" w:type="dxa"/>
          </w:tcPr>
          <w:p>
            <w:pPr>
              <w:pStyle w:val="TableParagraph"/>
              <w:spacing w:line="254" w:lineRule="exact"/>
              <w:ind w:left="164" w:right="153"/>
              <w:jc w:val="center"/>
              <w:rPr>
                <w:sz w:val="20"/>
              </w:rPr>
            </w:pPr>
            <w:r>
              <w:rPr>
                <w:sz w:val="20"/>
              </w:rPr>
              <w:t>1.37</w:t>
            </w:r>
          </w:p>
        </w:tc>
        <w:tc>
          <w:tcPr>
            <w:tcW w:w="1760" w:type="dxa"/>
          </w:tcPr>
          <w:p>
            <w:pPr>
              <w:pStyle w:val="TableParagraph"/>
              <w:spacing w:line="254" w:lineRule="exact"/>
              <w:ind w:left="382" w:right="371"/>
              <w:jc w:val="center"/>
              <w:rPr>
                <w:sz w:val="20"/>
              </w:rPr>
            </w:pPr>
            <w:r>
              <w:rPr>
                <w:sz w:val="20"/>
              </w:rPr>
              <w:t>38.80</w:t>
            </w:r>
          </w:p>
        </w:tc>
        <w:tc>
          <w:tcPr>
            <w:tcW w:w="1772" w:type="dxa"/>
          </w:tcPr>
          <w:p>
            <w:pPr>
              <w:pStyle w:val="TableParagraph"/>
              <w:spacing w:line="254" w:lineRule="exact"/>
              <w:ind w:right="671"/>
              <w:jc w:val="right"/>
              <w:rPr>
                <w:sz w:val="20"/>
              </w:rPr>
            </w:pPr>
            <w:r>
              <w:rPr>
                <w:sz w:val="20"/>
              </w:rPr>
              <w:t>0.60</w:t>
            </w:r>
          </w:p>
        </w:tc>
      </w:tr>
      <w:tr>
        <w:trPr>
          <w:trHeight w:val="311" w:hRule="atLeast"/>
        </w:trPr>
        <w:tc>
          <w:tcPr>
            <w:tcW w:w="1460" w:type="dxa"/>
          </w:tcPr>
          <w:p>
            <w:pPr>
              <w:pStyle w:val="TableParagraph"/>
              <w:spacing w:line="254" w:lineRule="exact"/>
              <w:ind w:left="259" w:right="251"/>
              <w:jc w:val="center"/>
              <w:rPr>
                <w:sz w:val="20"/>
              </w:rPr>
            </w:pPr>
            <w:r>
              <w:rPr>
                <w:sz w:val="20"/>
              </w:rPr>
              <w:t>81</w:t>
            </w:r>
          </w:p>
        </w:tc>
        <w:tc>
          <w:tcPr>
            <w:tcW w:w="1716" w:type="dxa"/>
          </w:tcPr>
          <w:p>
            <w:pPr>
              <w:pStyle w:val="TableParagraph"/>
              <w:spacing w:line="254" w:lineRule="exact"/>
              <w:ind w:left="657"/>
              <w:rPr>
                <w:sz w:val="20"/>
              </w:rPr>
            </w:pPr>
            <w:r>
              <w:rPr>
                <w:sz w:val="20"/>
              </w:rPr>
              <w:t>60.6</w:t>
            </w:r>
          </w:p>
        </w:tc>
        <w:tc>
          <w:tcPr>
            <w:tcW w:w="1702" w:type="dxa"/>
          </w:tcPr>
          <w:p>
            <w:pPr>
              <w:pStyle w:val="TableParagraph"/>
              <w:spacing w:line="254" w:lineRule="exact"/>
              <w:ind w:left="164" w:right="153"/>
              <w:jc w:val="center"/>
              <w:rPr>
                <w:sz w:val="20"/>
              </w:rPr>
            </w:pPr>
            <w:r>
              <w:rPr>
                <w:sz w:val="20"/>
              </w:rPr>
              <w:t>1.42</w:t>
            </w:r>
          </w:p>
        </w:tc>
        <w:tc>
          <w:tcPr>
            <w:tcW w:w="1760" w:type="dxa"/>
          </w:tcPr>
          <w:p>
            <w:pPr>
              <w:pStyle w:val="TableParagraph"/>
              <w:spacing w:line="254" w:lineRule="exact"/>
              <w:ind w:left="382" w:right="371"/>
              <w:jc w:val="center"/>
              <w:rPr>
                <w:sz w:val="20"/>
              </w:rPr>
            </w:pPr>
            <w:r>
              <w:rPr>
                <w:sz w:val="20"/>
              </w:rPr>
              <w:t>38.80</w:t>
            </w:r>
          </w:p>
        </w:tc>
        <w:tc>
          <w:tcPr>
            <w:tcW w:w="1772" w:type="dxa"/>
          </w:tcPr>
          <w:p>
            <w:pPr>
              <w:pStyle w:val="TableParagraph"/>
              <w:spacing w:line="254" w:lineRule="exact"/>
              <w:ind w:right="671"/>
              <w:jc w:val="right"/>
              <w:rPr>
                <w:sz w:val="20"/>
              </w:rPr>
            </w:pPr>
            <w:r>
              <w:rPr>
                <w:sz w:val="20"/>
              </w:rPr>
              <w:t>0.56</w:t>
            </w:r>
          </w:p>
        </w:tc>
      </w:tr>
      <w:tr>
        <w:trPr>
          <w:trHeight w:val="311" w:hRule="atLeast"/>
        </w:trPr>
        <w:tc>
          <w:tcPr>
            <w:tcW w:w="1460" w:type="dxa"/>
          </w:tcPr>
          <w:p>
            <w:pPr>
              <w:pStyle w:val="TableParagraph"/>
              <w:spacing w:line="254" w:lineRule="exact"/>
              <w:ind w:left="259" w:right="251"/>
              <w:jc w:val="center"/>
              <w:rPr>
                <w:sz w:val="20"/>
              </w:rPr>
            </w:pPr>
            <w:r>
              <w:rPr>
                <w:sz w:val="20"/>
              </w:rPr>
              <w:t>82</w:t>
            </w:r>
          </w:p>
        </w:tc>
        <w:tc>
          <w:tcPr>
            <w:tcW w:w="1716" w:type="dxa"/>
          </w:tcPr>
          <w:p>
            <w:pPr>
              <w:pStyle w:val="TableParagraph"/>
              <w:spacing w:line="254" w:lineRule="exact"/>
              <w:ind w:left="657"/>
              <w:rPr>
                <w:sz w:val="20"/>
              </w:rPr>
            </w:pPr>
            <w:r>
              <w:rPr>
                <w:sz w:val="20"/>
              </w:rPr>
              <w:t>60.6</w:t>
            </w:r>
          </w:p>
        </w:tc>
        <w:tc>
          <w:tcPr>
            <w:tcW w:w="1702" w:type="dxa"/>
          </w:tcPr>
          <w:p>
            <w:pPr>
              <w:pStyle w:val="TableParagraph"/>
              <w:spacing w:line="254" w:lineRule="exact"/>
              <w:ind w:left="164" w:right="153"/>
              <w:jc w:val="center"/>
              <w:rPr>
                <w:sz w:val="20"/>
              </w:rPr>
            </w:pPr>
            <w:r>
              <w:rPr>
                <w:sz w:val="20"/>
              </w:rPr>
              <w:t>1.46</w:t>
            </w:r>
          </w:p>
        </w:tc>
        <w:tc>
          <w:tcPr>
            <w:tcW w:w="1760" w:type="dxa"/>
          </w:tcPr>
          <w:p>
            <w:pPr>
              <w:pStyle w:val="TableParagraph"/>
              <w:spacing w:line="254" w:lineRule="exact"/>
              <w:ind w:left="382" w:right="371"/>
              <w:jc w:val="center"/>
              <w:rPr>
                <w:sz w:val="20"/>
              </w:rPr>
            </w:pPr>
            <w:r>
              <w:rPr>
                <w:sz w:val="20"/>
              </w:rPr>
              <w:t>38.80</w:t>
            </w:r>
          </w:p>
        </w:tc>
        <w:tc>
          <w:tcPr>
            <w:tcW w:w="1772" w:type="dxa"/>
          </w:tcPr>
          <w:p>
            <w:pPr>
              <w:pStyle w:val="TableParagraph"/>
              <w:spacing w:line="254" w:lineRule="exact"/>
              <w:ind w:right="671"/>
              <w:jc w:val="right"/>
              <w:rPr>
                <w:sz w:val="20"/>
              </w:rPr>
            </w:pPr>
            <w:r>
              <w:rPr>
                <w:sz w:val="20"/>
              </w:rPr>
              <w:t>0.52</w:t>
            </w:r>
          </w:p>
        </w:tc>
      </w:tr>
      <w:tr>
        <w:trPr>
          <w:trHeight w:val="311" w:hRule="atLeast"/>
        </w:trPr>
        <w:tc>
          <w:tcPr>
            <w:tcW w:w="1460" w:type="dxa"/>
          </w:tcPr>
          <w:p>
            <w:pPr>
              <w:pStyle w:val="TableParagraph"/>
              <w:spacing w:line="254" w:lineRule="exact"/>
              <w:ind w:left="259" w:right="251"/>
              <w:jc w:val="center"/>
              <w:rPr>
                <w:sz w:val="20"/>
              </w:rPr>
            </w:pPr>
            <w:r>
              <w:rPr>
                <w:sz w:val="20"/>
              </w:rPr>
              <w:t>83</w:t>
            </w:r>
          </w:p>
        </w:tc>
        <w:tc>
          <w:tcPr>
            <w:tcW w:w="1716" w:type="dxa"/>
          </w:tcPr>
          <w:p>
            <w:pPr>
              <w:pStyle w:val="TableParagraph"/>
              <w:spacing w:line="254" w:lineRule="exact"/>
              <w:ind w:left="657"/>
              <w:rPr>
                <w:sz w:val="20"/>
              </w:rPr>
            </w:pPr>
            <w:r>
              <w:rPr>
                <w:sz w:val="20"/>
              </w:rPr>
              <w:t>60.6</w:t>
            </w:r>
          </w:p>
        </w:tc>
        <w:tc>
          <w:tcPr>
            <w:tcW w:w="1702" w:type="dxa"/>
          </w:tcPr>
          <w:p>
            <w:pPr>
              <w:pStyle w:val="TableParagraph"/>
              <w:spacing w:line="254" w:lineRule="exact"/>
              <w:ind w:left="164" w:right="153"/>
              <w:jc w:val="center"/>
              <w:rPr>
                <w:sz w:val="20"/>
              </w:rPr>
            </w:pPr>
            <w:r>
              <w:rPr>
                <w:sz w:val="20"/>
              </w:rPr>
              <w:t>1.49</w:t>
            </w:r>
          </w:p>
        </w:tc>
        <w:tc>
          <w:tcPr>
            <w:tcW w:w="1760" w:type="dxa"/>
          </w:tcPr>
          <w:p>
            <w:pPr>
              <w:pStyle w:val="TableParagraph"/>
              <w:spacing w:line="254" w:lineRule="exact"/>
              <w:ind w:left="382" w:right="371"/>
              <w:jc w:val="center"/>
              <w:rPr>
                <w:sz w:val="20"/>
              </w:rPr>
            </w:pPr>
            <w:r>
              <w:rPr>
                <w:sz w:val="20"/>
              </w:rPr>
              <w:t>38.80</w:t>
            </w:r>
          </w:p>
        </w:tc>
        <w:tc>
          <w:tcPr>
            <w:tcW w:w="1772" w:type="dxa"/>
          </w:tcPr>
          <w:p>
            <w:pPr>
              <w:pStyle w:val="TableParagraph"/>
              <w:spacing w:line="254" w:lineRule="exact"/>
              <w:ind w:right="671"/>
              <w:jc w:val="right"/>
              <w:rPr>
                <w:sz w:val="20"/>
              </w:rPr>
            </w:pPr>
            <w:r>
              <w:rPr>
                <w:sz w:val="20"/>
              </w:rPr>
              <w:t>0.49</w:t>
            </w:r>
          </w:p>
        </w:tc>
      </w:tr>
      <w:tr>
        <w:trPr>
          <w:trHeight w:val="311" w:hRule="atLeast"/>
        </w:trPr>
        <w:tc>
          <w:tcPr>
            <w:tcW w:w="1460" w:type="dxa"/>
          </w:tcPr>
          <w:p>
            <w:pPr>
              <w:pStyle w:val="TableParagraph"/>
              <w:spacing w:line="254" w:lineRule="exact"/>
              <w:ind w:left="258" w:right="251"/>
              <w:jc w:val="center"/>
              <w:rPr>
                <w:sz w:val="20"/>
              </w:rPr>
            </w:pPr>
            <w:r>
              <w:rPr>
                <w:sz w:val="20"/>
              </w:rPr>
              <w:t>84</w:t>
            </w:r>
          </w:p>
        </w:tc>
        <w:tc>
          <w:tcPr>
            <w:tcW w:w="1716" w:type="dxa"/>
          </w:tcPr>
          <w:p>
            <w:pPr>
              <w:pStyle w:val="TableParagraph"/>
              <w:spacing w:line="254" w:lineRule="exact"/>
              <w:ind w:left="657"/>
              <w:rPr>
                <w:sz w:val="20"/>
              </w:rPr>
            </w:pPr>
            <w:r>
              <w:rPr>
                <w:sz w:val="20"/>
              </w:rPr>
              <w:t>60.6</w:t>
            </w:r>
          </w:p>
        </w:tc>
        <w:tc>
          <w:tcPr>
            <w:tcW w:w="1702" w:type="dxa"/>
          </w:tcPr>
          <w:p>
            <w:pPr>
              <w:pStyle w:val="TableParagraph"/>
              <w:spacing w:line="254" w:lineRule="exact"/>
              <w:ind w:left="164" w:right="153"/>
              <w:jc w:val="center"/>
              <w:rPr>
                <w:sz w:val="20"/>
              </w:rPr>
            </w:pPr>
            <w:r>
              <w:rPr>
                <w:sz w:val="20"/>
              </w:rPr>
              <w:t>1.52</w:t>
            </w:r>
          </w:p>
        </w:tc>
        <w:tc>
          <w:tcPr>
            <w:tcW w:w="1760" w:type="dxa"/>
          </w:tcPr>
          <w:p>
            <w:pPr>
              <w:pStyle w:val="TableParagraph"/>
              <w:spacing w:line="254" w:lineRule="exact"/>
              <w:ind w:left="382" w:right="371"/>
              <w:jc w:val="center"/>
              <w:rPr>
                <w:sz w:val="20"/>
              </w:rPr>
            </w:pPr>
            <w:r>
              <w:rPr>
                <w:sz w:val="20"/>
              </w:rPr>
              <w:t>38.80</w:t>
            </w:r>
          </w:p>
        </w:tc>
        <w:tc>
          <w:tcPr>
            <w:tcW w:w="1772" w:type="dxa"/>
          </w:tcPr>
          <w:p>
            <w:pPr>
              <w:pStyle w:val="TableParagraph"/>
              <w:spacing w:line="254" w:lineRule="exact"/>
              <w:ind w:right="671"/>
              <w:jc w:val="right"/>
              <w:rPr>
                <w:sz w:val="20"/>
              </w:rPr>
            </w:pPr>
            <w:r>
              <w:rPr>
                <w:sz w:val="20"/>
              </w:rPr>
              <w:t>0.47</w:t>
            </w:r>
          </w:p>
        </w:tc>
      </w:tr>
      <w:tr>
        <w:trPr>
          <w:trHeight w:val="314" w:hRule="atLeast"/>
        </w:trPr>
        <w:tc>
          <w:tcPr>
            <w:tcW w:w="1460" w:type="dxa"/>
          </w:tcPr>
          <w:p>
            <w:pPr>
              <w:pStyle w:val="TableParagraph"/>
              <w:spacing w:line="256" w:lineRule="exact"/>
              <w:ind w:left="259" w:right="251"/>
              <w:jc w:val="center"/>
              <w:rPr>
                <w:sz w:val="20"/>
              </w:rPr>
            </w:pPr>
            <w:r>
              <w:rPr>
                <w:sz w:val="20"/>
              </w:rPr>
              <w:t>85</w:t>
            </w:r>
          </w:p>
        </w:tc>
        <w:tc>
          <w:tcPr>
            <w:tcW w:w="1716" w:type="dxa"/>
          </w:tcPr>
          <w:p>
            <w:pPr>
              <w:pStyle w:val="TableParagraph"/>
              <w:spacing w:line="256" w:lineRule="exact"/>
              <w:ind w:left="657"/>
              <w:rPr>
                <w:sz w:val="20"/>
              </w:rPr>
            </w:pPr>
            <w:r>
              <w:rPr>
                <w:sz w:val="20"/>
              </w:rPr>
              <w:t>60.6</w:t>
            </w:r>
          </w:p>
        </w:tc>
        <w:tc>
          <w:tcPr>
            <w:tcW w:w="1702" w:type="dxa"/>
          </w:tcPr>
          <w:p>
            <w:pPr>
              <w:pStyle w:val="TableParagraph"/>
              <w:spacing w:line="256" w:lineRule="exact"/>
              <w:ind w:left="164" w:right="153"/>
              <w:jc w:val="center"/>
              <w:rPr>
                <w:sz w:val="20"/>
              </w:rPr>
            </w:pPr>
            <w:r>
              <w:rPr>
                <w:sz w:val="20"/>
              </w:rPr>
              <w:t>1.54</w:t>
            </w:r>
          </w:p>
        </w:tc>
        <w:tc>
          <w:tcPr>
            <w:tcW w:w="1760" w:type="dxa"/>
          </w:tcPr>
          <w:p>
            <w:pPr>
              <w:pStyle w:val="TableParagraph"/>
              <w:spacing w:line="256" w:lineRule="exact"/>
              <w:ind w:left="382" w:right="371"/>
              <w:jc w:val="center"/>
              <w:rPr>
                <w:sz w:val="20"/>
              </w:rPr>
            </w:pPr>
            <w:r>
              <w:rPr>
                <w:sz w:val="20"/>
              </w:rPr>
              <w:t>38.80</w:t>
            </w:r>
          </w:p>
        </w:tc>
        <w:tc>
          <w:tcPr>
            <w:tcW w:w="1772" w:type="dxa"/>
          </w:tcPr>
          <w:p>
            <w:pPr>
              <w:pStyle w:val="TableParagraph"/>
              <w:spacing w:line="256" w:lineRule="exact"/>
              <w:ind w:right="671"/>
              <w:jc w:val="right"/>
              <w:rPr>
                <w:sz w:val="20"/>
              </w:rPr>
            </w:pPr>
            <w:r>
              <w:rPr>
                <w:sz w:val="20"/>
              </w:rPr>
              <w:t>0.47</w:t>
            </w:r>
          </w:p>
        </w:tc>
      </w:tr>
      <w:tr>
        <w:trPr>
          <w:trHeight w:val="311" w:hRule="atLeast"/>
        </w:trPr>
        <w:tc>
          <w:tcPr>
            <w:tcW w:w="1460" w:type="dxa"/>
          </w:tcPr>
          <w:p>
            <w:pPr>
              <w:pStyle w:val="TableParagraph"/>
              <w:spacing w:line="254" w:lineRule="exact"/>
              <w:ind w:left="259" w:right="251"/>
              <w:jc w:val="center"/>
              <w:rPr>
                <w:sz w:val="20"/>
              </w:rPr>
            </w:pPr>
            <w:r>
              <w:rPr>
                <w:sz w:val="20"/>
              </w:rPr>
              <w:t>86</w:t>
            </w:r>
          </w:p>
        </w:tc>
        <w:tc>
          <w:tcPr>
            <w:tcW w:w="1716" w:type="dxa"/>
          </w:tcPr>
          <w:p>
            <w:pPr>
              <w:pStyle w:val="TableParagraph"/>
              <w:spacing w:line="254" w:lineRule="exact"/>
              <w:ind w:left="657"/>
              <w:rPr>
                <w:sz w:val="20"/>
              </w:rPr>
            </w:pPr>
            <w:r>
              <w:rPr>
                <w:sz w:val="20"/>
              </w:rPr>
              <w:t>60.6</w:t>
            </w:r>
          </w:p>
        </w:tc>
        <w:tc>
          <w:tcPr>
            <w:tcW w:w="1702" w:type="dxa"/>
          </w:tcPr>
          <w:p>
            <w:pPr>
              <w:pStyle w:val="TableParagraph"/>
              <w:spacing w:line="254" w:lineRule="exact"/>
              <w:ind w:left="164" w:right="153"/>
              <w:jc w:val="center"/>
              <w:rPr>
                <w:sz w:val="20"/>
              </w:rPr>
            </w:pPr>
            <w:r>
              <w:rPr>
                <w:sz w:val="20"/>
              </w:rPr>
              <w:t>1.56</w:t>
            </w:r>
          </w:p>
        </w:tc>
        <w:tc>
          <w:tcPr>
            <w:tcW w:w="1760" w:type="dxa"/>
          </w:tcPr>
          <w:p>
            <w:pPr>
              <w:pStyle w:val="TableParagraph"/>
              <w:spacing w:line="254" w:lineRule="exact"/>
              <w:ind w:left="382" w:right="371"/>
              <w:jc w:val="center"/>
              <w:rPr>
                <w:sz w:val="20"/>
              </w:rPr>
            </w:pPr>
            <w:r>
              <w:rPr>
                <w:sz w:val="20"/>
              </w:rPr>
              <w:t>38.80</w:t>
            </w:r>
          </w:p>
        </w:tc>
        <w:tc>
          <w:tcPr>
            <w:tcW w:w="1772" w:type="dxa"/>
          </w:tcPr>
          <w:p>
            <w:pPr>
              <w:pStyle w:val="TableParagraph"/>
              <w:spacing w:line="254" w:lineRule="exact"/>
              <w:ind w:right="671"/>
              <w:jc w:val="right"/>
              <w:rPr>
                <w:sz w:val="20"/>
              </w:rPr>
            </w:pPr>
            <w:r>
              <w:rPr>
                <w:sz w:val="20"/>
              </w:rPr>
              <w:t>0.47</w:t>
            </w:r>
          </w:p>
        </w:tc>
      </w:tr>
      <w:tr>
        <w:trPr>
          <w:trHeight w:val="311" w:hRule="atLeast"/>
        </w:trPr>
        <w:tc>
          <w:tcPr>
            <w:tcW w:w="1460" w:type="dxa"/>
          </w:tcPr>
          <w:p>
            <w:pPr>
              <w:pStyle w:val="TableParagraph"/>
              <w:spacing w:line="254" w:lineRule="exact"/>
              <w:ind w:left="259" w:right="251"/>
              <w:jc w:val="center"/>
              <w:rPr>
                <w:sz w:val="20"/>
              </w:rPr>
            </w:pPr>
            <w:r>
              <w:rPr>
                <w:sz w:val="20"/>
              </w:rPr>
              <w:t>87</w:t>
            </w:r>
          </w:p>
        </w:tc>
        <w:tc>
          <w:tcPr>
            <w:tcW w:w="1716" w:type="dxa"/>
          </w:tcPr>
          <w:p>
            <w:pPr>
              <w:pStyle w:val="TableParagraph"/>
              <w:spacing w:line="254" w:lineRule="exact"/>
              <w:ind w:left="657"/>
              <w:rPr>
                <w:sz w:val="20"/>
              </w:rPr>
            </w:pPr>
            <w:r>
              <w:rPr>
                <w:sz w:val="20"/>
              </w:rPr>
              <w:t>60.6</w:t>
            </w:r>
          </w:p>
        </w:tc>
        <w:tc>
          <w:tcPr>
            <w:tcW w:w="1702" w:type="dxa"/>
          </w:tcPr>
          <w:p>
            <w:pPr>
              <w:pStyle w:val="TableParagraph"/>
              <w:spacing w:line="254" w:lineRule="exact"/>
              <w:ind w:left="164" w:right="153"/>
              <w:jc w:val="center"/>
              <w:rPr>
                <w:sz w:val="20"/>
              </w:rPr>
            </w:pPr>
            <w:r>
              <w:rPr>
                <w:sz w:val="20"/>
              </w:rPr>
              <w:t>1.57</w:t>
            </w:r>
          </w:p>
        </w:tc>
        <w:tc>
          <w:tcPr>
            <w:tcW w:w="1760" w:type="dxa"/>
          </w:tcPr>
          <w:p>
            <w:pPr>
              <w:pStyle w:val="TableParagraph"/>
              <w:spacing w:line="254" w:lineRule="exact"/>
              <w:ind w:left="382" w:right="371"/>
              <w:jc w:val="center"/>
              <w:rPr>
                <w:sz w:val="20"/>
              </w:rPr>
            </w:pPr>
            <w:r>
              <w:rPr>
                <w:sz w:val="20"/>
              </w:rPr>
              <w:t>38.80</w:t>
            </w:r>
          </w:p>
        </w:tc>
        <w:tc>
          <w:tcPr>
            <w:tcW w:w="1772" w:type="dxa"/>
          </w:tcPr>
          <w:p>
            <w:pPr>
              <w:pStyle w:val="TableParagraph"/>
              <w:spacing w:line="254" w:lineRule="exact"/>
              <w:ind w:right="671"/>
              <w:jc w:val="right"/>
              <w:rPr>
                <w:sz w:val="20"/>
              </w:rPr>
            </w:pPr>
            <w:r>
              <w:rPr>
                <w:sz w:val="20"/>
              </w:rPr>
              <w:t>0.48</w:t>
            </w:r>
          </w:p>
        </w:tc>
      </w:tr>
      <w:tr>
        <w:trPr>
          <w:trHeight w:val="311" w:hRule="atLeast"/>
        </w:trPr>
        <w:tc>
          <w:tcPr>
            <w:tcW w:w="1460" w:type="dxa"/>
          </w:tcPr>
          <w:p>
            <w:pPr>
              <w:pStyle w:val="TableParagraph"/>
              <w:spacing w:line="254" w:lineRule="exact"/>
              <w:ind w:left="259" w:right="251"/>
              <w:jc w:val="center"/>
              <w:rPr>
                <w:sz w:val="20"/>
              </w:rPr>
            </w:pPr>
            <w:r>
              <w:rPr>
                <w:sz w:val="20"/>
              </w:rPr>
              <w:t>88</w:t>
            </w:r>
          </w:p>
        </w:tc>
        <w:tc>
          <w:tcPr>
            <w:tcW w:w="1716" w:type="dxa"/>
          </w:tcPr>
          <w:p>
            <w:pPr>
              <w:pStyle w:val="TableParagraph"/>
              <w:spacing w:line="254" w:lineRule="exact"/>
              <w:ind w:left="657"/>
              <w:rPr>
                <w:sz w:val="20"/>
              </w:rPr>
            </w:pPr>
            <w:r>
              <w:rPr>
                <w:sz w:val="20"/>
              </w:rPr>
              <w:t>60.6</w:t>
            </w:r>
          </w:p>
        </w:tc>
        <w:tc>
          <w:tcPr>
            <w:tcW w:w="1702" w:type="dxa"/>
          </w:tcPr>
          <w:p>
            <w:pPr>
              <w:pStyle w:val="TableParagraph"/>
              <w:spacing w:line="254" w:lineRule="exact"/>
              <w:ind w:left="164" w:right="153"/>
              <w:jc w:val="center"/>
              <w:rPr>
                <w:sz w:val="20"/>
              </w:rPr>
            </w:pPr>
            <w:r>
              <w:rPr>
                <w:sz w:val="20"/>
              </w:rPr>
              <w:t>1.58</w:t>
            </w:r>
          </w:p>
        </w:tc>
        <w:tc>
          <w:tcPr>
            <w:tcW w:w="1760" w:type="dxa"/>
          </w:tcPr>
          <w:p>
            <w:pPr>
              <w:pStyle w:val="TableParagraph"/>
              <w:spacing w:line="254" w:lineRule="exact"/>
              <w:ind w:left="382" w:right="371"/>
              <w:jc w:val="center"/>
              <w:rPr>
                <w:sz w:val="20"/>
              </w:rPr>
            </w:pPr>
            <w:r>
              <w:rPr>
                <w:sz w:val="20"/>
              </w:rPr>
              <w:t>38.80</w:t>
            </w:r>
          </w:p>
        </w:tc>
        <w:tc>
          <w:tcPr>
            <w:tcW w:w="1772" w:type="dxa"/>
          </w:tcPr>
          <w:p>
            <w:pPr>
              <w:pStyle w:val="TableParagraph"/>
              <w:spacing w:line="254" w:lineRule="exact"/>
              <w:ind w:right="671"/>
              <w:jc w:val="right"/>
              <w:rPr>
                <w:sz w:val="20"/>
              </w:rPr>
            </w:pPr>
            <w:r>
              <w:rPr>
                <w:sz w:val="20"/>
              </w:rPr>
              <w:t>0.48</w:t>
            </w:r>
          </w:p>
        </w:tc>
      </w:tr>
      <w:tr>
        <w:trPr>
          <w:trHeight w:val="311" w:hRule="atLeast"/>
        </w:trPr>
        <w:tc>
          <w:tcPr>
            <w:tcW w:w="1460" w:type="dxa"/>
          </w:tcPr>
          <w:p>
            <w:pPr>
              <w:pStyle w:val="TableParagraph"/>
              <w:spacing w:line="254" w:lineRule="exact"/>
              <w:ind w:left="259" w:right="251"/>
              <w:jc w:val="center"/>
              <w:rPr>
                <w:sz w:val="20"/>
              </w:rPr>
            </w:pPr>
            <w:r>
              <w:rPr>
                <w:sz w:val="20"/>
              </w:rPr>
              <w:t>89</w:t>
            </w:r>
          </w:p>
        </w:tc>
        <w:tc>
          <w:tcPr>
            <w:tcW w:w="1716" w:type="dxa"/>
          </w:tcPr>
          <w:p>
            <w:pPr>
              <w:pStyle w:val="TableParagraph"/>
              <w:spacing w:line="254" w:lineRule="exact"/>
              <w:ind w:left="657"/>
              <w:rPr>
                <w:sz w:val="20"/>
              </w:rPr>
            </w:pPr>
            <w:r>
              <w:rPr>
                <w:sz w:val="20"/>
              </w:rPr>
              <w:t>60.6</w:t>
            </w:r>
          </w:p>
        </w:tc>
        <w:tc>
          <w:tcPr>
            <w:tcW w:w="1702" w:type="dxa"/>
          </w:tcPr>
          <w:p>
            <w:pPr>
              <w:pStyle w:val="TableParagraph"/>
              <w:spacing w:line="254" w:lineRule="exact"/>
              <w:ind w:left="164" w:right="153"/>
              <w:jc w:val="center"/>
              <w:rPr>
                <w:sz w:val="20"/>
              </w:rPr>
            </w:pPr>
            <w:r>
              <w:rPr>
                <w:sz w:val="20"/>
              </w:rPr>
              <w:t>1.58</w:t>
            </w:r>
          </w:p>
        </w:tc>
        <w:tc>
          <w:tcPr>
            <w:tcW w:w="1760" w:type="dxa"/>
          </w:tcPr>
          <w:p>
            <w:pPr>
              <w:pStyle w:val="TableParagraph"/>
              <w:spacing w:line="254" w:lineRule="exact"/>
              <w:ind w:left="382" w:right="371"/>
              <w:jc w:val="center"/>
              <w:rPr>
                <w:sz w:val="20"/>
              </w:rPr>
            </w:pPr>
            <w:r>
              <w:rPr>
                <w:sz w:val="20"/>
              </w:rPr>
              <w:t>38.80</w:t>
            </w:r>
          </w:p>
        </w:tc>
        <w:tc>
          <w:tcPr>
            <w:tcW w:w="1772" w:type="dxa"/>
          </w:tcPr>
          <w:p>
            <w:pPr>
              <w:pStyle w:val="TableParagraph"/>
              <w:spacing w:line="254" w:lineRule="exact"/>
              <w:ind w:right="671"/>
              <w:jc w:val="right"/>
              <w:rPr>
                <w:sz w:val="20"/>
              </w:rPr>
            </w:pPr>
            <w:r>
              <w:rPr>
                <w:sz w:val="20"/>
              </w:rPr>
              <w:t>0.49</w:t>
            </w:r>
          </w:p>
        </w:tc>
      </w:tr>
      <w:tr>
        <w:trPr>
          <w:trHeight w:val="314" w:hRule="atLeast"/>
        </w:trPr>
        <w:tc>
          <w:tcPr>
            <w:tcW w:w="1460" w:type="dxa"/>
          </w:tcPr>
          <w:p>
            <w:pPr>
              <w:pStyle w:val="TableParagraph"/>
              <w:spacing w:line="254" w:lineRule="exact"/>
              <w:ind w:left="259" w:right="251"/>
              <w:jc w:val="center"/>
              <w:rPr>
                <w:sz w:val="20"/>
              </w:rPr>
            </w:pPr>
            <w:r>
              <w:rPr>
                <w:sz w:val="20"/>
              </w:rPr>
              <w:t>90 及以上</w:t>
            </w:r>
          </w:p>
        </w:tc>
        <w:tc>
          <w:tcPr>
            <w:tcW w:w="1716" w:type="dxa"/>
          </w:tcPr>
          <w:p>
            <w:pPr>
              <w:pStyle w:val="TableParagraph"/>
              <w:spacing w:line="254" w:lineRule="exact"/>
              <w:ind w:left="657"/>
              <w:rPr>
                <w:sz w:val="20"/>
              </w:rPr>
            </w:pPr>
            <w:r>
              <w:rPr>
                <w:sz w:val="20"/>
              </w:rPr>
              <w:t>60.6</w:t>
            </w:r>
          </w:p>
        </w:tc>
        <w:tc>
          <w:tcPr>
            <w:tcW w:w="1702" w:type="dxa"/>
          </w:tcPr>
          <w:p>
            <w:pPr>
              <w:pStyle w:val="TableParagraph"/>
              <w:spacing w:line="254" w:lineRule="exact"/>
              <w:ind w:left="164" w:right="153"/>
              <w:jc w:val="center"/>
              <w:rPr>
                <w:sz w:val="20"/>
              </w:rPr>
            </w:pPr>
            <w:r>
              <w:rPr>
                <w:sz w:val="20"/>
              </w:rPr>
              <w:t>1.58</w:t>
            </w:r>
          </w:p>
        </w:tc>
        <w:tc>
          <w:tcPr>
            <w:tcW w:w="1760" w:type="dxa"/>
          </w:tcPr>
          <w:p>
            <w:pPr>
              <w:pStyle w:val="TableParagraph"/>
              <w:spacing w:line="254" w:lineRule="exact"/>
              <w:ind w:left="382" w:right="371"/>
              <w:jc w:val="center"/>
              <w:rPr>
                <w:sz w:val="20"/>
              </w:rPr>
            </w:pPr>
            <w:r>
              <w:rPr>
                <w:sz w:val="20"/>
              </w:rPr>
              <w:t>38.80</w:t>
            </w:r>
          </w:p>
        </w:tc>
        <w:tc>
          <w:tcPr>
            <w:tcW w:w="1772" w:type="dxa"/>
          </w:tcPr>
          <w:p>
            <w:pPr>
              <w:pStyle w:val="TableParagraph"/>
              <w:spacing w:line="254" w:lineRule="exact"/>
              <w:ind w:right="671"/>
              <w:jc w:val="right"/>
              <w:rPr>
                <w:sz w:val="20"/>
              </w:rPr>
            </w:pPr>
            <w:r>
              <w:rPr>
                <w:sz w:val="20"/>
              </w:rPr>
              <w:t>0.48</w:t>
            </w:r>
          </w:p>
        </w:tc>
      </w:tr>
    </w:tbl>
    <w:p>
      <w:pPr>
        <w:pStyle w:val="BodyText"/>
        <w:spacing w:before="8"/>
        <w:rPr>
          <w:sz w:val="19"/>
        </w:rPr>
      </w:pPr>
    </w:p>
    <w:p>
      <w:pPr>
        <w:pStyle w:val="BodyText"/>
        <w:spacing w:before="43"/>
        <w:ind w:left="100"/>
      </w:pPr>
      <w:r>
        <w:rPr>
          <w:spacing w:val="-53"/>
          <w:w w:val="100"/>
        </w:rPr>
        <w:t>注：</w:t>
      </w:r>
      <w:r>
        <w:rPr>
          <w:w w:val="100"/>
        </w:rPr>
        <w:t>（</w:t>
      </w:r>
      <w:r>
        <w:rPr>
          <w:rFonts w:ascii="Times New Roman" w:eastAsia="Times New Roman"/>
          <w:spacing w:val="-3"/>
          <w:w w:val="100"/>
        </w:rPr>
        <w:t>1</w:t>
      </w:r>
      <w:r>
        <w:rPr>
          <w:w w:val="100"/>
        </w:rPr>
        <w:t>）</w:t>
      </w:r>
      <w:r>
        <w:rPr>
          <w:spacing w:val="-3"/>
          <w:w w:val="100"/>
        </w:rPr>
        <w:t>保单年度初年龄指保单年度第一天被保险人当时的年龄；</w:t>
      </w:r>
    </w:p>
    <w:p>
      <w:pPr>
        <w:pStyle w:val="BodyText"/>
        <w:spacing w:before="21"/>
        <w:ind w:left="417"/>
      </w:pPr>
      <w:r>
        <w:rPr/>
        <w:t>（</w:t>
      </w:r>
      <w:r>
        <w:rPr>
          <w:rFonts w:ascii="Times New Roman" w:eastAsia="Times New Roman"/>
        </w:rPr>
        <w:t>2</w:t>
      </w:r>
      <w:r>
        <w:rPr/>
        <w:t>）上表所载年保障成本仅适用于标准体，非标准体的年保障成本将根据其风险程度相应增加。</w:t>
      </w:r>
    </w:p>
    <w:sectPr>
      <w:pgSz w:w="11910" w:h="16840"/>
      <w:pgMar w:header="568" w:footer="0" w:top="800" w:bottom="280" w:left="92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72544" type="#_x0000_t202" filled="false" stroked="false">
          <v:textbox inset="0,0,0,0">
            <w:txbxContent>
              <w:p>
                <w:pPr>
                  <w:pStyle w:val="BodyText"/>
                  <w:spacing w:before="12"/>
                  <w:ind w:left="20"/>
                  <w:rPr>
                    <w:rFonts w:ascii="Times New Roman"/>
                  </w:rPr>
                </w:pPr>
                <w:r>
                  <w:rPr>
                    <w:rFonts w:ascii="Times New Roman"/>
                  </w:rPr>
                  <w:t>14-</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10" w:hanging="212"/>
        <w:jc w:val="left"/>
      </w:pPr>
      <w:rPr>
        <w:rFonts w:hint="default" w:ascii="宋体" w:hAnsi="宋体" w:eastAsia="宋体" w:cs="宋体"/>
        <w:w w:val="100"/>
        <w:sz w:val="18"/>
        <w:szCs w:val="18"/>
      </w:rPr>
    </w:lvl>
    <w:lvl w:ilvl="1">
      <w:start w:val="0"/>
      <w:numFmt w:val="bullet"/>
      <w:lvlText w:val="•"/>
      <w:lvlJc w:val="left"/>
      <w:pPr>
        <w:ind w:left="1236" w:hanging="212"/>
      </w:pPr>
      <w:rPr>
        <w:rFonts w:hint="default"/>
      </w:rPr>
    </w:lvl>
    <w:lvl w:ilvl="2">
      <w:start w:val="0"/>
      <w:numFmt w:val="bullet"/>
      <w:lvlText w:val="•"/>
      <w:lvlJc w:val="left"/>
      <w:pPr>
        <w:ind w:left="1973" w:hanging="212"/>
      </w:pPr>
      <w:rPr>
        <w:rFonts w:hint="default"/>
      </w:rPr>
    </w:lvl>
    <w:lvl w:ilvl="3">
      <w:start w:val="0"/>
      <w:numFmt w:val="bullet"/>
      <w:lvlText w:val="•"/>
      <w:lvlJc w:val="left"/>
      <w:pPr>
        <w:ind w:left="2709" w:hanging="212"/>
      </w:pPr>
      <w:rPr>
        <w:rFonts w:hint="default"/>
      </w:rPr>
    </w:lvl>
    <w:lvl w:ilvl="4">
      <w:start w:val="0"/>
      <w:numFmt w:val="bullet"/>
      <w:lvlText w:val="•"/>
      <w:lvlJc w:val="left"/>
      <w:pPr>
        <w:ind w:left="3446" w:hanging="212"/>
      </w:pPr>
      <w:rPr>
        <w:rFonts w:hint="default"/>
      </w:rPr>
    </w:lvl>
    <w:lvl w:ilvl="5">
      <w:start w:val="0"/>
      <w:numFmt w:val="bullet"/>
      <w:lvlText w:val="•"/>
      <w:lvlJc w:val="left"/>
      <w:pPr>
        <w:ind w:left="4183" w:hanging="212"/>
      </w:pPr>
      <w:rPr>
        <w:rFonts w:hint="default"/>
      </w:rPr>
    </w:lvl>
    <w:lvl w:ilvl="6">
      <w:start w:val="0"/>
      <w:numFmt w:val="bullet"/>
      <w:lvlText w:val="•"/>
      <w:lvlJc w:val="left"/>
      <w:pPr>
        <w:ind w:left="4919" w:hanging="212"/>
      </w:pPr>
      <w:rPr>
        <w:rFonts w:hint="default"/>
      </w:rPr>
    </w:lvl>
    <w:lvl w:ilvl="7">
      <w:start w:val="0"/>
      <w:numFmt w:val="bullet"/>
      <w:lvlText w:val="•"/>
      <w:lvlJc w:val="left"/>
      <w:pPr>
        <w:ind w:left="5656" w:hanging="212"/>
      </w:pPr>
      <w:rPr>
        <w:rFonts w:hint="default"/>
      </w:rPr>
    </w:lvl>
    <w:lvl w:ilvl="8">
      <w:start w:val="0"/>
      <w:numFmt w:val="bullet"/>
      <w:lvlText w:val="•"/>
      <w:lvlJc w:val="left"/>
      <w:pPr>
        <w:ind w:left="6392" w:hanging="212"/>
      </w:pPr>
      <w:rPr>
        <w:rFonts w:hint="default"/>
      </w:rPr>
    </w:lvl>
  </w:abstractNum>
  <w:abstractNum w:abstractNumId="0">
    <w:multiLevelType w:val="hybridMultilevel"/>
    <w:lvl w:ilvl="0">
      <w:start w:val="0"/>
      <w:numFmt w:val="bullet"/>
      <w:lvlText w:val="-"/>
      <w:lvlJc w:val="left"/>
      <w:pPr>
        <w:ind w:left="820" w:hanging="173"/>
      </w:pPr>
      <w:rPr>
        <w:rFonts w:hint="default" w:ascii="Arial" w:hAnsi="Arial" w:eastAsia="Arial" w:cs="Arial"/>
        <w:w w:val="100"/>
        <w:sz w:val="21"/>
        <w:szCs w:val="21"/>
      </w:rPr>
    </w:lvl>
    <w:lvl w:ilvl="1">
      <w:start w:val="0"/>
      <w:numFmt w:val="bullet"/>
      <w:lvlText w:val="•"/>
      <w:lvlJc w:val="left"/>
      <w:pPr>
        <w:ind w:left="1545" w:hanging="173"/>
      </w:pPr>
      <w:rPr>
        <w:rFonts w:hint="default"/>
      </w:rPr>
    </w:lvl>
    <w:lvl w:ilvl="2">
      <w:start w:val="0"/>
      <w:numFmt w:val="bullet"/>
      <w:lvlText w:val="•"/>
      <w:lvlJc w:val="left"/>
      <w:pPr>
        <w:ind w:left="2270" w:hanging="173"/>
      </w:pPr>
      <w:rPr>
        <w:rFonts w:hint="default"/>
      </w:rPr>
    </w:lvl>
    <w:lvl w:ilvl="3">
      <w:start w:val="0"/>
      <w:numFmt w:val="bullet"/>
      <w:lvlText w:val="•"/>
      <w:lvlJc w:val="left"/>
      <w:pPr>
        <w:ind w:left="2995" w:hanging="173"/>
      </w:pPr>
      <w:rPr>
        <w:rFonts w:hint="default"/>
      </w:rPr>
    </w:lvl>
    <w:lvl w:ilvl="4">
      <w:start w:val="0"/>
      <w:numFmt w:val="bullet"/>
      <w:lvlText w:val="•"/>
      <w:lvlJc w:val="left"/>
      <w:pPr>
        <w:ind w:left="3720" w:hanging="173"/>
      </w:pPr>
      <w:rPr>
        <w:rFonts w:hint="default"/>
      </w:rPr>
    </w:lvl>
    <w:lvl w:ilvl="5">
      <w:start w:val="0"/>
      <w:numFmt w:val="bullet"/>
      <w:lvlText w:val="•"/>
      <w:lvlJc w:val="left"/>
      <w:pPr>
        <w:ind w:left="4445" w:hanging="173"/>
      </w:pPr>
      <w:rPr>
        <w:rFonts w:hint="default"/>
      </w:rPr>
    </w:lvl>
    <w:lvl w:ilvl="6">
      <w:start w:val="0"/>
      <w:numFmt w:val="bullet"/>
      <w:lvlText w:val="•"/>
      <w:lvlJc w:val="left"/>
      <w:pPr>
        <w:ind w:left="5170" w:hanging="173"/>
      </w:pPr>
      <w:rPr>
        <w:rFonts w:hint="default"/>
      </w:rPr>
    </w:lvl>
    <w:lvl w:ilvl="7">
      <w:start w:val="0"/>
      <w:numFmt w:val="bullet"/>
      <w:lvlText w:val="•"/>
      <w:lvlJc w:val="left"/>
      <w:pPr>
        <w:ind w:left="5895" w:hanging="173"/>
      </w:pPr>
      <w:rPr>
        <w:rFonts w:hint="default"/>
      </w:rPr>
    </w:lvl>
    <w:lvl w:ilvl="8">
      <w:start w:val="0"/>
      <w:numFmt w:val="bullet"/>
      <w:lvlText w:val="•"/>
      <w:lvlJc w:val="left"/>
      <w:pPr>
        <w:ind w:left="6620" w:hanging="17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98"/>
      <w:outlineLvl w:val="1"/>
    </w:pPr>
    <w:rPr>
      <w:rFonts w:ascii="微软雅黑" w:hAnsi="微软雅黑" w:eastAsia="微软雅黑" w:cs="微软雅黑"/>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2018-10-20T08:25:16Z</dcterms:created>
  <dcterms:modified xsi:type="dcterms:W3CDTF">2018-10-20T08:25:16Z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2018-10-20T00:00:00Z</vt:filetime>
  </property>
</Properties>
</file>