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ind w:left="817"/>
      </w:pPr>
      <w:r>
        <w:rPr/>
        <w:t>珠江安康重大疾病保险条款</w:t>
      </w:r>
    </w:p>
    <w:p>
      <w:pPr>
        <w:spacing w:before="71"/>
        <w:ind w:left="814" w:right="93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918" w:right="93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1"/>
          <w:w w:val="100"/>
        </w:rPr>
        <w:t>，</w:t>
      </w:r>
      <w:r>
        <w:rPr>
          <w:spacing w:val="-63"/>
          <w:w w:val="100"/>
          <w:position w:val="-7"/>
        </w:rPr>
        <w:t>．</w:t>
      </w:r>
      <w:r>
        <w:rPr>
          <w:spacing w:val="-149"/>
          <w:w w:val="100"/>
        </w:rPr>
        <w:t>以</w:t>
      </w:r>
      <w:r>
        <w:rPr>
          <w:spacing w:val="-63"/>
          <w:w w:val="100"/>
          <w:position w:val="-7"/>
        </w:rPr>
        <w:t>．</w:t>
      </w:r>
      <w:r>
        <w:rPr>
          <w:spacing w:val="-151"/>
          <w:w w:val="100"/>
        </w:rPr>
        <w:t>下</w:t>
      </w:r>
      <w:r>
        <w:rPr>
          <w:spacing w:val="-63"/>
          <w:w w:val="100"/>
          <w:position w:val="-7"/>
        </w:rPr>
        <w:t>．</w:t>
      </w:r>
      <w:r>
        <w:rPr>
          <w:spacing w:val="-149"/>
          <w:w w:val="100"/>
        </w:rPr>
        <w:t>含</w:t>
      </w:r>
      <w:r>
        <w:rPr>
          <w:spacing w:val="-63"/>
          <w:w w:val="100"/>
          <w:position w:val="-7"/>
        </w:rPr>
        <w:t>．</w:t>
      </w:r>
      <w:r>
        <w:rPr>
          <w:spacing w:val="-151"/>
          <w:w w:val="100"/>
        </w:rPr>
        <w:t>义</w:t>
      </w:r>
      <w:r>
        <w:rPr>
          <w:spacing w:val="-63"/>
          <w:w w:val="100"/>
          <w:position w:val="-7"/>
        </w:rPr>
        <w:t>．</w:t>
      </w:r>
      <w:r>
        <w:rPr>
          <w:spacing w:val="-149"/>
          <w:w w:val="100"/>
        </w:rPr>
        <w:t>相</w:t>
      </w:r>
      <w:r>
        <w:rPr>
          <w:spacing w:val="-63"/>
          <w:w w:val="100"/>
          <w:position w:val="-7"/>
        </w:rPr>
        <w:t>．</w:t>
      </w:r>
      <w:r>
        <w:rPr>
          <w:spacing w:val="-151"/>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w:t>
      </w:r>
      <w:r>
        <w:rPr>
          <w:spacing w:val="-63"/>
          <w:w w:val="100"/>
          <w:position w:val="-7"/>
        </w:rPr>
        <w:t>．</w:t>
      </w:r>
      <w:r>
        <w:rPr>
          <w:spacing w:val="-151"/>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spacing w:val="-3"/>
          <w:w w:val="100"/>
        </w:rPr>
        <w:t>。</w:t>
      </w:r>
      <w:r>
        <w:rPr>
          <w:w w:val="100"/>
        </w:rPr>
        <w:t> </w:t>
      </w:r>
    </w:p>
    <w:p>
      <w:pPr>
        <w:pStyle w:val="Heading2"/>
        <w:spacing w:line="240" w:lineRule="auto" w:before="170"/>
        <w:ind w:left="240" w:firstLine="0"/>
        <w:rPr>
          <w:rFonts w:ascii="Microsoft JhengHei" w:hAnsi="Microsoft JhengHei" w:eastAsia="Microsoft JhengHei" w:hint="eastAsia"/>
        </w:rPr>
      </w:pPr>
      <w:r>
        <w:rPr/>
        <w:pict>
          <v:group style="position:absolute;margin-left:44.040001pt;margin-top:6.127683pt;width:512.65pt;height:617.9pt;mso-position-horizontal-relative:page;mso-position-vertical-relative:paragraph;z-index:-36736" coordorigin="881,123" coordsize="10253,12358">
            <v:shape style="position:absolute;left:880;top:122;width:10253;height:12358" type="#_x0000_t75" stroked="false">
              <v:imagedata r:id="rId5" o:title=""/>
            </v:shape>
            <v:rect style="position:absolute;left:1440;top:4842;width:9126;height:7181" filled="false" stroked="true" strokeweight=".75pt" strokecolor="#000000">
              <v:stroke dashstyle="dot"/>
            </v:rect>
            <w10:wrap type="none"/>
          </v:group>
        </w:pict>
      </w:r>
      <w:r>
        <w:rPr>
          <w:rFonts w:ascii="Arial" w:hAnsi="Arial" w:eastAsia="Arial"/>
          <w:w w:val="105"/>
          <w:position w:val="-11"/>
          <w:sz w:val="52"/>
        </w:rPr>
        <w:t></w:t>
      </w:r>
      <w:r>
        <w:rPr>
          <w:rFonts w:ascii="Microsoft JhengHei" w:hAnsi="Microsoft JhengHei" w:eastAsia="Microsoft JhengHei" w:hint="eastAsia"/>
          <w:w w:val="105"/>
        </w:rPr>
        <w:t>您拥有的重要权益</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2.3</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5.1</w:t>
      </w:r>
    </w:p>
    <w:p>
      <w:pPr>
        <w:pStyle w:val="Heading2"/>
        <w:spacing w:line="240" w:lineRule="auto" w:before="22"/>
        <w:ind w:left="240" w:firstLine="0"/>
        <w:rPr>
          <w:rFonts w:ascii="Microsoft JhengHei" w:hAnsi="Microsoft JhengHei" w:eastAsia="Microsoft JhengHei" w:hint="eastAsia"/>
        </w:rPr>
      </w:pPr>
      <w:r>
        <w:rPr>
          <w:rFonts w:ascii="Arial" w:hAnsi="Arial" w:eastAsia="Arial"/>
          <w:w w:val="105"/>
          <w:position w:val="-11"/>
          <w:sz w:val="52"/>
        </w:rPr>
        <w:t></w:t>
      </w:r>
      <w:r>
        <w:rPr>
          <w:rFonts w:ascii="Microsoft JhengHei" w:hAnsi="Microsoft JhengHei" w:eastAsia="Microsoft JhengHei" w:hint="eastAsia"/>
          <w:w w:val="105"/>
        </w:rPr>
        <w:t>您应当特别注意的事项</w:t>
      </w:r>
      <w:r>
        <w:rPr>
          <w:rFonts w:ascii="Microsoft JhengHei" w:hAnsi="Microsoft JhengHei" w:eastAsia="Microsoft JhengHei" w:hint="eastAsia"/>
          <w:w w:val="201"/>
        </w:rPr>
        <w:t> </w:t>
      </w:r>
    </w:p>
    <w:p>
      <w:pPr>
        <w:pStyle w:val="ListParagraph"/>
        <w:numPr>
          <w:ilvl w:val="0"/>
          <w:numId w:val="1"/>
        </w:numPr>
        <w:tabs>
          <w:tab w:pos="1632" w:val="left" w:leader="none"/>
          <w:tab w:pos="1633" w:val="left" w:leader="none"/>
          <w:tab w:pos="10141" w:val="right" w:leader="dot"/>
        </w:tabs>
        <w:spacing w:line="240" w:lineRule="auto" w:before="26"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保险费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spacing w:before="22"/>
        <w:ind w:left="240" w:right="0" w:firstLine="0"/>
        <w:jc w:val="left"/>
        <w:rPr>
          <w:sz w:val="21"/>
        </w:rPr>
      </w:pPr>
      <w:r>
        <w:rPr>
          <w:rFonts w:ascii="Arial" w:hAnsi="Arial" w:eastAsia="Arial"/>
          <w:b/>
          <w:position w:val="-11"/>
          <w:sz w:val="52"/>
        </w:rPr>
        <w:t></w:t>
      </w:r>
      <w:r>
        <w:rPr>
          <w:rFonts w:ascii="Microsoft JhengHei" w:hAnsi="Microsoft JhengHei" w:eastAsia="Microsoft JhengHei" w:hint="eastAsia"/>
          <w:b/>
          <w:sz w:val="21"/>
        </w:rPr>
        <w:t>条款是保险合同的重要内容，为充分保障您的权益，请您仔细阅读本条款。</w:t>
      </w:r>
      <w:r>
        <w:rPr>
          <w:sz w:val="21"/>
        </w:rPr>
        <w:t> </w:t>
      </w:r>
    </w:p>
    <w:p>
      <w:pPr>
        <w:spacing w:before="26"/>
        <w:ind w:left="240"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r>
        <w:rPr>
          <w:rFonts w:ascii="Microsoft JhengHei" w:hAnsi="Microsoft JhengHei" w:eastAsia="Microsoft JhengHei" w:hint="eastAsia"/>
          <w:b/>
          <w:w w:val="201"/>
          <w:sz w:val="21"/>
        </w:rPr>
        <w:t> </w:t>
      </w:r>
    </w:p>
    <w:p>
      <w:pPr>
        <w:spacing w:after="0"/>
        <w:jc w:val="left"/>
        <w:rPr>
          <w:rFonts w:ascii="Microsoft JhengHei" w:hAnsi="Microsoft JhengHei" w:eastAsia="Microsoft JhengHei" w:hint="eastAsia"/>
          <w:sz w:val="21"/>
        </w:rPr>
        <w:sectPr>
          <w:type w:val="continuous"/>
          <w:pgSz w:w="11910" w:h="16840"/>
          <w:pgMar w:top="1360" w:bottom="280" w:left="780" w:right="660"/>
        </w:sectPr>
      </w:pPr>
    </w:p>
    <w:p>
      <w:pPr>
        <w:pStyle w:val="ListParagraph"/>
        <w:numPr>
          <w:ilvl w:val="1"/>
          <w:numId w:val="1"/>
        </w:numPr>
        <w:tabs>
          <w:tab w:pos="1741" w:val="left" w:leader="none"/>
        </w:tabs>
        <w:spacing w:line="352" w:lineRule="exact" w:before="115" w:after="0"/>
        <w:ind w:left="1740" w:right="0" w:hanging="283"/>
        <w:jc w:val="left"/>
        <w:rPr>
          <w:rFonts w:ascii="微软雅黑" w:eastAsia="微软雅黑" w:hint="eastAsia"/>
          <w:b/>
          <w:sz w:val="21"/>
        </w:rPr>
      </w:pPr>
      <w:r>
        <w:rPr>
          <w:rFonts w:ascii="微软雅黑" w:eastAsia="微软雅黑" w:hint="eastAsia"/>
          <w:b/>
          <w:spacing w:val="-1"/>
          <w:sz w:val="21"/>
        </w:rPr>
        <w:t>投保人与本公司的合同</w:t>
      </w:r>
    </w:p>
    <w:p>
      <w:pPr>
        <w:pStyle w:val="ListParagraph"/>
        <w:numPr>
          <w:ilvl w:val="2"/>
          <w:numId w:val="1"/>
        </w:numPr>
        <w:tabs>
          <w:tab w:pos="2192" w:val="left" w:leader="none"/>
        </w:tabs>
        <w:spacing w:line="264" w:lineRule="exact" w:before="0" w:after="0"/>
        <w:ind w:left="2191" w:right="0" w:hanging="420"/>
        <w:jc w:val="left"/>
        <w:rPr>
          <w:sz w:val="21"/>
        </w:rPr>
      </w:pPr>
      <w:r>
        <w:rPr>
          <w:spacing w:val="-1"/>
          <w:sz w:val="21"/>
        </w:rPr>
        <w:t>合同构成</w:t>
      </w:r>
    </w:p>
    <w:p>
      <w:pPr>
        <w:pStyle w:val="ListParagraph"/>
        <w:numPr>
          <w:ilvl w:val="2"/>
          <w:numId w:val="1"/>
        </w:numPr>
        <w:tabs>
          <w:tab w:pos="2192" w:val="left" w:leader="none"/>
        </w:tabs>
        <w:spacing w:line="240" w:lineRule="auto" w:before="6" w:after="0"/>
        <w:ind w:left="2191" w:right="0" w:hanging="420"/>
        <w:jc w:val="left"/>
        <w:rPr>
          <w:sz w:val="21"/>
        </w:rPr>
      </w:pPr>
      <w:r>
        <w:rPr>
          <w:spacing w:val="-2"/>
          <w:sz w:val="21"/>
        </w:rPr>
        <w:t>合同成立与生效</w:t>
      </w:r>
    </w:p>
    <w:p>
      <w:pPr>
        <w:pStyle w:val="ListParagraph"/>
        <w:numPr>
          <w:ilvl w:val="2"/>
          <w:numId w:val="1"/>
        </w:numPr>
        <w:tabs>
          <w:tab w:pos="2192" w:val="left" w:leader="none"/>
        </w:tabs>
        <w:spacing w:line="245" w:lineRule="exact" w:before="5" w:after="0"/>
        <w:ind w:left="2191" w:right="0" w:hanging="420"/>
        <w:jc w:val="left"/>
        <w:rPr>
          <w:sz w:val="21"/>
        </w:rPr>
      </w:pPr>
      <w:r>
        <w:rPr>
          <w:spacing w:val="-1"/>
          <w:sz w:val="21"/>
        </w:rPr>
        <w:t>投保范围</w:t>
      </w:r>
    </w:p>
    <w:p>
      <w:pPr>
        <w:pStyle w:val="Heading2"/>
        <w:numPr>
          <w:ilvl w:val="1"/>
          <w:numId w:val="1"/>
        </w:numPr>
        <w:tabs>
          <w:tab w:pos="1741" w:val="left" w:leader="none"/>
        </w:tabs>
        <w:spacing w:line="324" w:lineRule="exact" w:before="0" w:after="0"/>
        <w:ind w:left="1740" w:right="0" w:hanging="283"/>
        <w:jc w:val="left"/>
      </w:pPr>
      <w:r>
        <w:rPr/>
        <w:t>本公司提供的保障</w:t>
      </w:r>
    </w:p>
    <w:p>
      <w:pPr>
        <w:pStyle w:val="ListParagraph"/>
        <w:numPr>
          <w:ilvl w:val="2"/>
          <w:numId w:val="1"/>
        </w:numPr>
        <w:tabs>
          <w:tab w:pos="2192" w:val="left" w:leader="none"/>
        </w:tabs>
        <w:spacing w:line="265" w:lineRule="exact" w:before="0" w:after="0"/>
        <w:ind w:left="2191" w:right="0" w:hanging="420"/>
        <w:jc w:val="left"/>
        <w:rPr>
          <w:sz w:val="21"/>
        </w:rPr>
      </w:pPr>
      <w:r>
        <w:rPr>
          <w:spacing w:val="-1"/>
          <w:sz w:val="21"/>
        </w:rPr>
        <w:t>保险金额</w:t>
      </w:r>
    </w:p>
    <w:p>
      <w:pPr>
        <w:pStyle w:val="ListParagraph"/>
        <w:numPr>
          <w:ilvl w:val="2"/>
          <w:numId w:val="1"/>
        </w:numPr>
        <w:tabs>
          <w:tab w:pos="2192" w:val="left" w:leader="none"/>
        </w:tabs>
        <w:spacing w:line="240" w:lineRule="auto" w:before="5" w:after="0"/>
        <w:ind w:left="2191" w:right="0" w:hanging="420"/>
        <w:jc w:val="left"/>
        <w:rPr>
          <w:sz w:val="21"/>
        </w:rPr>
      </w:pPr>
      <w:r>
        <w:rPr>
          <w:spacing w:val="-1"/>
          <w:sz w:val="21"/>
        </w:rPr>
        <w:t>保险期间</w:t>
      </w:r>
    </w:p>
    <w:p>
      <w:pPr>
        <w:pStyle w:val="ListParagraph"/>
        <w:numPr>
          <w:ilvl w:val="2"/>
          <w:numId w:val="1"/>
        </w:numPr>
        <w:tabs>
          <w:tab w:pos="2192" w:val="left" w:leader="none"/>
        </w:tabs>
        <w:spacing w:line="240" w:lineRule="auto" w:before="3" w:after="0"/>
        <w:ind w:left="2191" w:right="0" w:hanging="420"/>
        <w:jc w:val="left"/>
        <w:rPr>
          <w:sz w:val="21"/>
        </w:rPr>
      </w:pPr>
      <w:r>
        <w:rPr>
          <w:spacing w:val="-1"/>
          <w:sz w:val="21"/>
        </w:rPr>
        <w:t>保险责任</w:t>
      </w:r>
    </w:p>
    <w:p>
      <w:pPr>
        <w:pStyle w:val="ListParagraph"/>
        <w:numPr>
          <w:ilvl w:val="2"/>
          <w:numId w:val="1"/>
        </w:numPr>
        <w:tabs>
          <w:tab w:pos="2192" w:val="left" w:leader="none"/>
        </w:tabs>
        <w:spacing w:line="247" w:lineRule="exact" w:before="5" w:after="0"/>
        <w:ind w:left="2191" w:right="0" w:hanging="420"/>
        <w:jc w:val="left"/>
        <w:rPr>
          <w:sz w:val="21"/>
        </w:rPr>
      </w:pPr>
      <w:r>
        <w:rPr>
          <w:spacing w:val="-1"/>
          <w:sz w:val="21"/>
        </w:rPr>
        <w:t>责任免除</w:t>
      </w:r>
    </w:p>
    <w:p>
      <w:pPr>
        <w:pStyle w:val="Heading2"/>
        <w:numPr>
          <w:ilvl w:val="1"/>
          <w:numId w:val="1"/>
        </w:numPr>
        <w:tabs>
          <w:tab w:pos="1741" w:val="left" w:leader="none"/>
        </w:tabs>
        <w:spacing w:line="324" w:lineRule="exact" w:before="0" w:after="0"/>
        <w:ind w:left="1740" w:right="0" w:hanging="283"/>
        <w:jc w:val="left"/>
      </w:pPr>
      <w:r>
        <w:rPr/>
        <w:t>保险金的申请与给付</w:t>
      </w:r>
    </w:p>
    <w:p>
      <w:pPr>
        <w:pStyle w:val="ListParagraph"/>
        <w:numPr>
          <w:ilvl w:val="2"/>
          <w:numId w:val="1"/>
        </w:numPr>
        <w:tabs>
          <w:tab w:pos="2192" w:val="left" w:leader="none"/>
        </w:tabs>
        <w:spacing w:line="264" w:lineRule="exact" w:before="0" w:after="0"/>
        <w:ind w:left="2191" w:right="0" w:hanging="420"/>
        <w:jc w:val="left"/>
        <w:rPr>
          <w:sz w:val="21"/>
        </w:rPr>
      </w:pPr>
      <w:r>
        <w:rPr>
          <w:sz w:val="21"/>
        </w:rPr>
        <w:t>受益人</w:t>
      </w:r>
    </w:p>
    <w:p>
      <w:pPr>
        <w:pStyle w:val="ListParagraph"/>
        <w:numPr>
          <w:ilvl w:val="2"/>
          <w:numId w:val="1"/>
        </w:numPr>
        <w:tabs>
          <w:tab w:pos="2192" w:val="left" w:leader="none"/>
        </w:tabs>
        <w:spacing w:line="240" w:lineRule="auto" w:before="5" w:after="0"/>
        <w:ind w:left="2191" w:right="0" w:hanging="420"/>
        <w:jc w:val="left"/>
        <w:rPr>
          <w:sz w:val="21"/>
        </w:rPr>
      </w:pPr>
      <w:r>
        <w:rPr>
          <w:spacing w:val="-2"/>
          <w:sz w:val="21"/>
        </w:rPr>
        <w:t>保险事故通知</w:t>
      </w:r>
    </w:p>
    <w:p>
      <w:pPr>
        <w:pStyle w:val="ListParagraph"/>
        <w:numPr>
          <w:ilvl w:val="2"/>
          <w:numId w:val="1"/>
        </w:numPr>
        <w:tabs>
          <w:tab w:pos="2192" w:val="left" w:leader="none"/>
        </w:tabs>
        <w:spacing w:line="240" w:lineRule="auto" w:before="6" w:after="0"/>
        <w:ind w:left="2191" w:right="0" w:hanging="420"/>
        <w:jc w:val="left"/>
        <w:rPr>
          <w:sz w:val="21"/>
        </w:rPr>
      </w:pPr>
      <w:r>
        <w:rPr>
          <w:spacing w:val="-1"/>
          <w:sz w:val="21"/>
        </w:rPr>
        <w:t>保险金申请</w:t>
      </w:r>
    </w:p>
    <w:p>
      <w:pPr>
        <w:pStyle w:val="ListParagraph"/>
        <w:numPr>
          <w:ilvl w:val="2"/>
          <w:numId w:val="1"/>
        </w:numPr>
        <w:tabs>
          <w:tab w:pos="2192" w:val="left" w:leader="none"/>
        </w:tabs>
        <w:spacing w:line="240" w:lineRule="auto" w:before="3" w:after="0"/>
        <w:ind w:left="2191" w:right="0" w:hanging="420"/>
        <w:jc w:val="left"/>
        <w:rPr>
          <w:sz w:val="21"/>
        </w:rPr>
      </w:pPr>
      <w:r>
        <w:rPr>
          <w:spacing w:val="-1"/>
          <w:sz w:val="21"/>
        </w:rPr>
        <w:t>保险金给付</w:t>
      </w:r>
    </w:p>
    <w:p>
      <w:pPr>
        <w:pStyle w:val="ListParagraph"/>
        <w:numPr>
          <w:ilvl w:val="2"/>
          <w:numId w:val="1"/>
        </w:numPr>
        <w:tabs>
          <w:tab w:pos="2192" w:val="left" w:leader="none"/>
        </w:tabs>
        <w:spacing w:line="247" w:lineRule="exact" w:before="5" w:after="0"/>
        <w:ind w:left="2191" w:right="0" w:hanging="420"/>
        <w:jc w:val="left"/>
        <w:rPr>
          <w:sz w:val="21"/>
        </w:rPr>
      </w:pPr>
      <w:r>
        <w:rPr>
          <w:spacing w:val="-2"/>
          <w:sz w:val="21"/>
        </w:rPr>
        <w:t>诉讼时效</w:t>
      </w:r>
    </w:p>
    <w:p>
      <w:pPr>
        <w:pStyle w:val="Heading2"/>
        <w:numPr>
          <w:ilvl w:val="1"/>
          <w:numId w:val="1"/>
        </w:numPr>
        <w:tabs>
          <w:tab w:pos="1741" w:val="left" w:leader="none"/>
        </w:tabs>
        <w:spacing w:line="324" w:lineRule="exact" w:before="0" w:after="0"/>
        <w:ind w:left="1740" w:right="0" w:hanging="283"/>
        <w:jc w:val="left"/>
      </w:pPr>
      <w:r>
        <w:rPr/>
        <w:t>保险费的交纳</w:t>
      </w:r>
    </w:p>
    <w:p>
      <w:pPr>
        <w:pStyle w:val="ListParagraph"/>
        <w:numPr>
          <w:ilvl w:val="2"/>
          <w:numId w:val="1"/>
        </w:numPr>
        <w:tabs>
          <w:tab w:pos="2192" w:val="left" w:leader="none"/>
        </w:tabs>
        <w:spacing w:line="236" w:lineRule="exact" w:before="0" w:after="0"/>
        <w:ind w:left="2191" w:right="0" w:hanging="420"/>
        <w:jc w:val="left"/>
        <w:rPr>
          <w:sz w:val="21"/>
        </w:rPr>
      </w:pPr>
      <w:r>
        <w:rPr>
          <w:sz w:val="21"/>
        </w:rPr>
        <w:t>保险费</w:t>
      </w:r>
    </w:p>
    <w:p>
      <w:pPr>
        <w:pStyle w:val="Heading2"/>
        <w:numPr>
          <w:ilvl w:val="1"/>
          <w:numId w:val="1"/>
        </w:numPr>
        <w:tabs>
          <w:tab w:pos="1741" w:val="left" w:leader="none"/>
        </w:tabs>
        <w:spacing w:line="325" w:lineRule="exact" w:before="0" w:after="0"/>
        <w:ind w:left="1740" w:right="0" w:hanging="283"/>
        <w:jc w:val="left"/>
      </w:pPr>
      <w:r>
        <w:rPr/>
        <w:t>保险合同解除</w:t>
      </w:r>
    </w:p>
    <w:p>
      <w:pPr>
        <w:pStyle w:val="ListParagraph"/>
        <w:numPr>
          <w:ilvl w:val="2"/>
          <w:numId w:val="1"/>
        </w:numPr>
        <w:tabs>
          <w:tab w:pos="2192" w:val="left" w:leader="none"/>
        </w:tabs>
        <w:spacing w:line="236" w:lineRule="exact" w:before="0" w:after="0"/>
        <w:ind w:left="2191" w:right="0" w:hanging="420"/>
        <w:jc w:val="left"/>
        <w:rPr>
          <w:sz w:val="21"/>
        </w:rPr>
      </w:pPr>
      <w:r>
        <w:rPr>
          <w:spacing w:val="-1"/>
          <w:sz w:val="21"/>
        </w:rPr>
        <w:t>合同解除</w:t>
      </w:r>
    </w:p>
    <w:p>
      <w:pPr>
        <w:pStyle w:val="Heading2"/>
        <w:numPr>
          <w:ilvl w:val="1"/>
          <w:numId w:val="1"/>
        </w:numPr>
        <w:tabs>
          <w:tab w:pos="1741" w:val="left" w:leader="none"/>
        </w:tabs>
        <w:spacing w:line="324" w:lineRule="exact" w:before="0" w:after="0"/>
        <w:ind w:left="1740" w:right="0" w:hanging="283"/>
        <w:jc w:val="left"/>
      </w:pPr>
      <w:r>
        <w:rPr/>
        <w:t>其他需要关注的事项</w:t>
      </w:r>
    </w:p>
    <w:p>
      <w:pPr>
        <w:pStyle w:val="ListParagraph"/>
        <w:numPr>
          <w:ilvl w:val="2"/>
          <w:numId w:val="1"/>
        </w:numPr>
        <w:tabs>
          <w:tab w:pos="2194" w:val="left" w:leader="none"/>
        </w:tabs>
        <w:spacing w:line="265" w:lineRule="exact" w:before="0" w:after="0"/>
        <w:ind w:left="2194" w:right="0" w:hanging="420"/>
        <w:jc w:val="left"/>
        <w:rPr>
          <w:sz w:val="21"/>
        </w:rPr>
      </w:pPr>
      <w:r>
        <w:rPr>
          <w:spacing w:val="-1"/>
          <w:sz w:val="21"/>
        </w:rPr>
        <w:t>如实告知</w:t>
      </w:r>
    </w:p>
    <w:p>
      <w:pPr>
        <w:pStyle w:val="ListParagraph"/>
        <w:numPr>
          <w:ilvl w:val="2"/>
          <w:numId w:val="1"/>
        </w:numPr>
        <w:tabs>
          <w:tab w:pos="2161" w:val="left" w:leader="none"/>
        </w:tabs>
        <w:spacing w:line="240" w:lineRule="auto" w:before="5" w:after="0"/>
        <w:ind w:left="2160" w:right="0" w:hanging="420"/>
        <w:jc w:val="left"/>
        <w:rPr>
          <w:sz w:val="21"/>
        </w:rPr>
      </w:pPr>
      <w:r>
        <w:rPr>
          <w:spacing w:val="-3"/>
          <w:sz w:val="21"/>
        </w:rPr>
        <w:t>本公司合同解除权的限制</w:t>
      </w:r>
    </w:p>
    <w:p>
      <w:pPr>
        <w:pStyle w:val="ListParagraph"/>
        <w:numPr>
          <w:ilvl w:val="2"/>
          <w:numId w:val="1"/>
        </w:numPr>
        <w:tabs>
          <w:tab w:pos="2161" w:val="left" w:leader="none"/>
        </w:tabs>
        <w:spacing w:line="240" w:lineRule="auto" w:before="3" w:after="0"/>
        <w:ind w:left="2160" w:right="0" w:hanging="420"/>
        <w:jc w:val="left"/>
        <w:rPr>
          <w:sz w:val="21"/>
        </w:rPr>
      </w:pPr>
      <w:r>
        <w:rPr>
          <w:spacing w:val="-3"/>
          <w:sz w:val="21"/>
        </w:rPr>
        <w:t>年龄确定与错误处理</w:t>
      </w:r>
    </w:p>
    <w:p>
      <w:pPr>
        <w:pStyle w:val="ListParagraph"/>
        <w:numPr>
          <w:ilvl w:val="2"/>
          <w:numId w:val="1"/>
        </w:numPr>
        <w:tabs>
          <w:tab w:pos="2161" w:val="left" w:leader="none"/>
        </w:tabs>
        <w:spacing w:line="240" w:lineRule="auto" w:before="6" w:after="0"/>
        <w:ind w:left="2160" w:right="0" w:hanging="420"/>
        <w:jc w:val="left"/>
        <w:rPr>
          <w:sz w:val="21"/>
        </w:rPr>
      </w:pPr>
      <w:r>
        <w:rPr>
          <w:spacing w:val="-2"/>
          <w:sz w:val="21"/>
        </w:rPr>
        <w:t>合同内容变更</w:t>
      </w:r>
    </w:p>
    <w:p>
      <w:pPr>
        <w:pStyle w:val="ListParagraph"/>
        <w:numPr>
          <w:ilvl w:val="2"/>
          <w:numId w:val="1"/>
        </w:numPr>
        <w:tabs>
          <w:tab w:pos="1783" w:val="left" w:leader="none"/>
        </w:tabs>
        <w:spacing w:line="240" w:lineRule="auto" w:before="177" w:after="0"/>
        <w:ind w:left="1782" w:right="0" w:hanging="420"/>
        <w:jc w:val="left"/>
        <w:rPr>
          <w:sz w:val="21"/>
        </w:rPr>
      </w:pPr>
      <w:r>
        <w:rPr>
          <w:w w:val="100"/>
          <w:sz w:val="21"/>
        </w:rPr>
        <w:br w:type="column"/>
      </w:r>
      <w:r>
        <w:rPr>
          <w:spacing w:val="-1"/>
          <w:sz w:val="21"/>
        </w:rPr>
        <w:t>地址变更</w:t>
      </w:r>
    </w:p>
    <w:p>
      <w:pPr>
        <w:pStyle w:val="ListParagraph"/>
        <w:numPr>
          <w:ilvl w:val="2"/>
          <w:numId w:val="1"/>
        </w:numPr>
        <w:tabs>
          <w:tab w:pos="1783" w:val="left" w:leader="none"/>
        </w:tabs>
        <w:spacing w:line="247" w:lineRule="exact" w:before="3" w:after="0"/>
        <w:ind w:left="1782" w:right="0" w:hanging="420"/>
        <w:jc w:val="left"/>
        <w:rPr>
          <w:sz w:val="21"/>
        </w:rPr>
      </w:pPr>
      <w:r>
        <w:rPr>
          <w:spacing w:val="-1"/>
          <w:sz w:val="21"/>
        </w:rPr>
        <w:t>争议处理</w:t>
      </w:r>
    </w:p>
    <w:p>
      <w:pPr>
        <w:pStyle w:val="Heading2"/>
        <w:spacing w:line="325" w:lineRule="exact"/>
        <w:ind w:left="1078" w:firstLine="0"/>
      </w:pPr>
      <w:r>
        <w:rPr/>
        <w:t>7.释义</w:t>
      </w:r>
    </w:p>
    <w:p>
      <w:pPr>
        <w:pStyle w:val="ListParagraph"/>
        <w:numPr>
          <w:ilvl w:val="1"/>
          <w:numId w:val="2"/>
        </w:numPr>
        <w:tabs>
          <w:tab w:pos="1814" w:val="left" w:leader="none"/>
        </w:tabs>
        <w:spacing w:line="265" w:lineRule="exact" w:before="0" w:after="0"/>
        <w:ind w:left="1813" w:right="0" w:hanging="420"/>
        <w:jc w:val="left"/>
        <w:rPr>
          <w:sz w:val="21"/>
        </w:rPr>
      </w:pPr>
      <w:r>
        <w:rPr>
          <w:sz w:val="21"/>
        </w:rPr>
        <w:t>本公司</w:t>
      </w:r>
    </w:p>
    <w:p>
      <w:pPr>
        <w:pStyle w:val="ListParagraph"/>
        <w:numPr>
          <w:ilvl w:val="1"/>
          <w:numId w:val="2"/>
        </w:numPr>
        <w:tabs>
          <w:tab w:pos="1814" w:val="left" w:leader="none"/>
        </w:tabs>
        <w:spacing w:line="240" w:lineRule="auto" w:before="3" w:after="0"/>
        <w:ind w:left="1813" w:right="0" w:hanging="420"/>
        <w:jc w:val="left"/>
        <w:rPr>
          <w:sz w:val="21"/>
        </w:rPr>
      </w:pPr>
      <w:r>
        <w:rPr>
          <w:sz w:val="21"/>
        </w:rPr>
        <w:t>周岁</w:t>
      </w:r>
    </w:p>
    <w:p>
      <w:pPr>
        <w:pStyle w:val="ListParagraph"/>
        <w:numPr>
          <w:ilvl w:val="1"/>
          <w:numId w:val="2"/>
        </w:numPr>
        <w:tabs>
          <w:tab w:pos="1814" w:val="left" w:leader="none"/>
        </w:tabs>
        <w:spacing w:line="240" w:lineRule="auto" w:before="5" w:after="0"/>
        <w:ind w:left="1813" w:right="0" w:hanging="420"/>
        <w:jc w:val="left"/>
        <w:rPr>
          <w:sz w:val="21"/>
        </w:rPr>
      </w:pPr>
      <w:r>
        <w:rPr>
          <w:spacing w:val="-1"/>
          <w:sz w:val="21"/>
        </w:rPr>
        <w:t>意外伤害</w:t>
      </w:r>
    </w:p>
    <w:p>
      <w:pPr>
        <w:pStyle w:val="ListParagraph"/>
        <w:numPr>
          <w:ilvl w:val="1"/>
          <w:numId w:val="2"/>
        </w:numPr>
        <w:tabs>
          <w:tab w:pos="1814" w:val="left" w:leader="none"/>
        </w:tabs>
        <w:spacing w:line="240" w:lineRule="auto" w:before="5" w:after="0"/>
        <w:ind w:left="1813" w:right="0" w:hanging="420"/>
        <w:jc w:val="left"/>
        <w:rPr>
          <w:sz w:val="21"/>
        </w:rPr>
      </w:pPr>
      <w:r>
        <w:rPr>
          <w:spacing w:val="-3"/>
          <w:sz w:val="21"/>
        </w:rPr>
        <w:t>本公司认可的医疗机构</w:t>
      </w:r>
    </w:p>
    <w:p>
      <w:pPr>
        <w:pStyle w:val="ListParagraph"/>
        <w:numPr>
          <w:ilvl w:val="1"/>
          <w:numId w:val="2"/>
        </w:numPr>
        <w:tabs>
          <w:tab w:pos="1814" w:val="left" w:leader="none"/>
        </w:tabs>
        <w:spacing w:line="240" w:lineRule="auto" w:before="3" w:after="0"/>
        <w:ind w:left="1813" w:right="0" w:hanging="420"/>
        <w:jc w:val="left"/>
        <w:rPr>
          <w:sz w:val="21"/>
        </w:rPr>
      </w:pPr>
      <w:r>
        <w:rPr>
          <w:spacing w:val="-3"/>
          <w:sz w:val="21"/>
        </w:rPr>
        <w:t>本合同约定的重大疾病</w:t>
      </w:r>
    </w:p>
    <w:p>
      <w:pPr>
        <w:pStyle w:val="ListParagraph"/>
        <w:numPr>
          <w:ilvl w:val="1"/>
          <w:numId w:val="2"/>
        </w:numPr>
        <w:tabs>
          <w:tab w:pos="1814" w:val="left" w:leader="none"/>
        </w:tabs>
        <w:spacing w:line="240" w:lineRule="auto" w:before="6" w:after="0"/>
        <w:ind w:left="1813" w:right="0" w:hanging="420"/>
        <w:jc w:val="left"/>
        <w:rPr>
          <w:sz w:val="21"/>
        </w:rPr>
      </w:pPr>
      <w:r>
        <w:rPr>
          <w:sz w:val="21"/>
        </w:rPr>
        <w:t>殴斗</w:t>
      </w:r>
    </w:p>
    <w:p>
      <w:pPr>
        <w:pStyle w:val="ListParagraph"/>
        <w:numPr>
          <w:ilvl w:val="1"/>
          <w:numId w:val="2"/>
        </w:numPr>
        <w:tabs>
          <w:tab w:pos="1814" w:val="left" w:leader="none"/>
        </w:tabs>
        <w:spacing w:line="240" w:lineRule="auto" w:before="6" w:after="0"/>
        <w:ind w:left="1813" w:right="0" w:hanging="420"/>
        <w:jc w:val="left"/>
        <w:rPr>
          <w:sz w:val="21"/>
        </w:rPr>
      </w:pPr>
      <w:r>
        <w:rPr>
          <w:sz w:val="21"/>
        </w:rPr>
        <w:t>醉酒</w:t>
      </w:r>
    </w:p>
    <w:p>
      <w:pPr>
        <w:pStyle w:val="ListParagraph"/>
        <w:numPr>
          <w:ilvl w:val="1"/>
          <w:numId w:val="2"/>
        </w:numPr>
        <w:tabs>
          <w:tab w:pos="1814" w:val="left" w:leader="none"/>
        </w:tabs>
        <w:spacing w:line="240" w:lineRule="auto" w:before="3" w:after="0"/>
        <w:ind w:left="1813" w:right="0" w:hanging="420"/>
        <w:jc w:val="left"/>
        <w:rPr>
          <w:sz w:val="21"/>
        </w:rPr>
      </w:pPr>
      <w:r>
        <w:rPr>
          <w:sz w:val="21"/>
        </w:rPr>
        <w:t>毒品</w:t>
      </w:r>
    </w:p>
    <w:p>
      <w:pPr>
        <w:pStyle w:val="ListParagraph"/>
        <w:numPr>
          <w:ilvl w:val="1"/>
          <w:numId w:val="2"/>
        </w:numPr>
        <w:tabs>
          <w:tab w:pos="1814" w:val="left" w:leader="none"/>
        </w:tabs>
        <w:spacing w:line="240" w:lineRule="auto" w:before="5" w:after="0"/>
        <w:ind w:left="1813" w:right="0" w:hanging="420"/>
        <w:jc w:val="left"/>
        <w:rPr>
          <w:sz w:val="21"/>
        </w:rPr>
      </w:pPr>
      <w:r>
        <w:rPr>
          <w:spacing w:val="-1"/>
          <w:sz w:val="21"/>
        </w:rPr>
        <w:t>酒后驾驶</w:t>
      </w:r>
    </w:p>
    <w:p>
      <w:pPr>
        <w:pStyle w:val="ListParagraph"/>
        <w:numPr>
          <w:ilvl w:val="1"/>
          <w:numId w:val="2"/>
        </w:numPr>
        <w:tabs>
          <w:tab w:pos="1920" w:val="left" w:leader="none"/>
        </w:tabs>
        <w:spacing w:line="240" w:lineRule="auto" w:before="6" w:after="0"/>
        <w:ind w:left="1919" w:right="0" w:hanging="526"/>
        <w:jc w:val="left"/>
        <w:rPr>
          <w:sz w:val="21"/>
        </w:rPr>
      </w:pPr>
      <w:r>
        <w:rPr>
          <w:spacing w:val="-3"/>
          <w:sz w:val="21"/>
        </w:rPr>
        <w:t>无合法有效驾驶证驾驶</w:t>
      </w:r>
    </w:p>
    <w:p>
      <w:pPr>
        <w:pStyle w:val="ListParagraph"/>
        <w:numPr>
          <w:ilvl w:val="1"/>
          <w:numId w:val="2"/>
        </w:numPr>
        <w:tabs>
          <w:tab w:pos="1920" w:val="left" w:leader="none"/>
        </w:tabs>
        <w:spacing w:line="240" w:lineRule="auto" w:before="3" w:after="0"/>
        <w:ind w:left="1919" w:right="0" w:hanging="526"/>
        <w:jc w:val="left"/>
        <w:rPr>
          <w:sz w:val="21"/>
        </w:rPr>
      </w:pPr>
      <w:r>
        <w:rPr>
          <w:spacing w:val="-2"/>
          <w:sz w:val="21"/>
        </w:rPr>
        <w:t>无有效行驶证</w:t>
      </w:r>
    </w:p>
    <w:p>
      <w:pPr>
        <w:pStyle w:val="ListParagraph"/>
        <w:numPr>
          <w:ilvl w:val="1"/>
          <w:numId w:val="2"/>
        </w:numPr>
        <w:tabs>
          <w:tab w:pos="1920" w:val="left" w:leader="none"/>
        </w:tabs>
        <w:spacing w:line="240" w:lineRule="auto" w:before="5" w:after="0"/>
        <w:ind w:left="1919" w:right="0" w:hanging="526"/>
        <w:jc w:val="left"/>
        <w:rPr>
          <w:sz w:val="21"/>
        </w:rPr>
      </w:pPr>
      <w:r>
        <w:rPr>
          <w:sz w:val="21"/>
        </w:rPr>
        <w:t>潜水</w:t>
      </w:r>
    </w:p>
    <w:p>
      <w:pPr>
        <w:pStyle w:val="ListParagraph"/>
        <w:numPr>
          <w:ilvl w:val="1"/>
          <w:numId w:val="2"/>
        </w:numPr>
        <w:tabs>
          <w:tab w:pos="1920" w:val="left" w:leader="none"/>
        </w:tabs>
        <w:spacing w:line="240" w:lineRule="auto" w:before="5" w:after="0"/>
        <w:ind w:left="1919" w:right="0" w:hanging="526"/>
        <w:jc w:val="left"/>
        <w:rPr>
          <w:sz w:val="21"/>
        </w:rPr>
      </w:pPr>
      <w:r>
        <w:rPr>
          <w:sz w:val="21"/>
        </w:rPr>
        <w:t>攀岩</w:t>
      </w:r>
    </w:p>
    <w:p>
      <w:pPr>
        <w:pStyle w:val="ListParagraph"/>
        <w:numPr>
          <w:ilvl w:val="1"/>
          <w:numId w:val="2"/>
        </w:numPr>
        <w:tabs>
          <w:tab w:pos="1920" w:val="left" w:leader="none"/>
        </w:tabs>
        <w:spacing w:line="240" w:lineRule="auto" w:before="3" w:after="0"/>
        <w:ind w:left="1919" w:right="0" w:hanging="526"/>
        <w:jc w:val="left"/>
        <w:rPr>
          <w:sz w:val="21"/>
        </w:rPr>
      </w:pPr>
      <w:r>
        <w:rPr>
          <w:sz w:val="21"/>
        </w:rPr>
        <w:t>探险</w:t>
      </w:r>
    </w:p>
    <w:p>
      <w:pPr>
        <w:pStyle w:val="ListParagraph"/>
        <w:numPr>
          <w:ilvl w:val="1"/>
          <w:numId w:val="2"/>
        </w:numPr>
        <w:tabs>
          <w:tab w:pos="1920" w:val="left" w:leader="none"/>
        </w:tabs>
        <w:spacing w:line="240" w:lineRule="auto" w:before="5" w:after="0"/>
        <w:ind w:left="1919" w:right="0" w:hanging="526"/>
        <w:jc w:val="left"/>
        <w:rPr>
          <w:sz w:val="21"/>
        </w:rPr>
      </w:pPr>
      <w:r>
        <w:rPr>
          <w:spacing w:val="-1"/>
          <w:sz w:val="21"/>
        </w:rPr>
        <w:t>武术比赛</w:t>
      </w:r>
    </w:p>
    <w:p>
      <w:pPr>
        <w:pStyle w:val="ListParagraph"/>
        <w:numPr>
          <w:ilvl w:val="1"/>
          <w:numId w:val="2"/>
        </w:numPr>
        <w:tabs>
          <w:tab w:pos="1920" w:val="left" w:leader="none"/>
        </w:tabs>
        <w:spacing w:line="240" w:lineRule="auto" w:before="5" w:after="0"/>
        <w:ind w:left="1919" w:right="0" w:hanging="526"/>
        <w:jc w:val="left"/>
        <w:rPr>
          <w:sz w:val="21"/>
        </w:rPr>
      </w:pPr>
      <w:r>
        <w:rPr>
          <w:spacing w:val="-1"/>
          <w:sz w:val="21"/>
        </w:rPr>
        <w:t>特技表演</w:t>
      </w:r>
    </w:p>
    <w:p>
      <w:pPr>
        <w:pStyle w:val="ListParagraph"/>
        <w:numPr>
          <w:ilvl w:val="1"/>
          <w:numId w:val="2"/>
        </w:numPr>
        <w:tabs>
          <w:tab w:pos="1920" w:val="left" w:leader="none"/>
        </w:tabs>
        <w:spacing w:line="240" w:lineRule="auto" w:before="3" w:after="0"/>
        <w:ind w:left="1919" w:right="0" w:hanging="526"/>
        <w:jc w:val="left"/>
        <w:rPr>
          <w:sz w:val="21"/>
        </w:rPr>
      </w:pPr>
      <w:r>
        <w:rPr>
          <w:spacing w:val="-1"/>
          <w:sz w:val="21"/>
        </w:rPr>
        <w:t>遗传性疾病</w:t>
      </w:r>
    </w:p>
    <w:p>
      <w:pPr>
        <w:pStyle w:val="ListParagraph"/>
        <w:numPr>
          <w:ilvl w:val="1"/>
          <w:numId w:val="2"/>
        </w:numPr>
        <w:tabs>
          <w:tab w:pos="1920" w:val="left" w:leader="none"/>
        </w:tabs>
        <w:spacing w:line="240" w:lineRule="auto" w:before="5" w:after="0"/>
        <w:ind w:left="1919" w:right="0" w:hanging="526"/>
        <w:jc w:val="left"/>
        <w:rPr>
          <w:sz w:val="21"/>
        </w:rPr>
      </w:pPr>
      <w:r>
        <w:rPr>
          <w:spacing w:val="-12"/>
          <w:sz w:val="21"/>
        </w:rPr>
        <w:t>先天性畸形、变形或染色体异常</w:t>
      </w:r>
    </w:p>
    <w:p>
      <w:pPr>
        <w:pStyle w:val="ListParagraph"/>
        <w:numPr>
          <w:ilvl w:val="1"/>
          <w:numId w:val="2"/>
        </w:numPr>
        <w:tabs>
          <w:tab w:pos="1920" w:val="left" w:leader="none"/>
        </w:tabs>
        <w:spacing w:line="240" w:lineRule="auto" w:before="5" w:after="0"/>
        <w:ind w:left="1919" w:right="0" w:hanging="526"/>
        <w:jc w:val="left"/>
        <w:rPr>
          <w:sz w:val="21"/>
        </w:rPr>
      </w:pPr>
      <w:r>
        <w:rPr>
          <w:spacing w:val="-1"/>
          <w:sz w:val="21"/>
        </w:rPr>
        <w:t>现金价值</w:t>
      </w:r>
    </w:p>
    <w:p>
      <w:pPr>
        <w:pStyle w:val="ListParagraph"/>
        <w:numPr>
          <w:ilvl w:val="1"/>
          <w:numId w:val="2"/>
        </w:numPr>
        <w:tabs>
          <w:tab w:pos="1920" w:val="left" w:leader="none"/>
        </w:tabs>
        <w:spacing w:line="240" w:lineRule="auto" w:before="3" w:after="0"/>
        <w:ind w:left="1919" w:right="0" w:hanging="526"/>
        <w:jc w:val="left"/>
        <w:rPr>
          <w:sz w:val="21"/>
        </w:rPr>
      </w:pPr>
      <w:r>
        <w:rPr>
          <w:spacing w:val="-2"/>
          <w:sz w:val="21"/>
        </w:rPr>
        <w:t>有效身份证件</w:t>
      </w:r>
    </w:p>
    <w:p>
      <w:pPr>
        <w:spacing w:after="0" w:line="240" w:lineRule="auto"/>
        <w:jc w:val="left"/>
        <w:rPr>
          <w:sz w:val="21"/>
        </w:rPr>
        <w:sectPr>
          <w:type w:val="continuous"/>
          <w:pgSz w:w="11910" w:h="16840"/>
          <w:pgMar w:top="1360" w:bottom="280" w:left="780" w:right="660"/>
          <w:cols w:num="2" w:equalWidth="0">
            <w:col w:w="4475" w:space="40"/>
            <w:col w:w="5955"/>
          </w:cols>
        </w:sectPr>
      </w:pPr>
    </w:p>
    <w:p>
      <w:pPr>
        <w:pStyle w:val="BodyText"/>
        <w:rPr>
          <w:sz w:val="20"/>
        </w:rPr>
      </w:pPr>
    </w:p>
    <w:p>
      <w:pPr>
        <w:pStyle w:val="BodyText"/>
        <w:rPr>
          <w:sz w:val="20"/>
        </w:rPr>
      </w:pPr>
    </w:p>
    <w:p>
      <w:pPr>
        <w:pStyle w:val="BodyText"/>
        <w:spacing w:before="6"/>
        <w:rPr>
          <w:sz w:val="14"/>
        </w:rPr>
      </w:pPr>
    </w:p>
    <w:p>
      <w:pPr>
        <w:pStyle w:val="BodyText"/>
        <w:spacing w:before="37"/>
        <w:ind w:right="252"/>
        <w:jc w:val="right"/>
      </w:pPr>
      <w:r>
        <w:rPr>
          <w:w w:val="100"/>
        </w:rPr>
        <w:t> </w:t>
      </w:r>
    </w:p>
    <w:p>
      <w:pPr>
        <w:spacing w:after="0"/>
        <w:jc w:val="right"/>
        <w:sectPr>
          <w:type w:val="continuous"/>
          <w:pgSz w:w="11910" w:h="16840"/>
          <w:pgMar w:top="1360" w:bottom="280" w:left="780" w:right="660"/>
        </w:sectPr>
      </w:pPr>
    </w:p>
    <w:p>
      <w:pPr>
        <w:pStyle w:val="BodyText"/>
        <w:spacing w:before="10"/>
        <w:ind w:right="156"/>
        <w:jc w:val="right"/>
      </w:pPr>
      <w:r>
        <w:rPr/>
        <w:drawing>
          <wp:anchor distT="0" distB="0" distL="0" distR="0" allowOverlap="1" layoutInCell="1" locked="0" behindDoc="0" simplePos="0" relativeHeight="1048">
            <wp:simplePos x="0" y="0"/>
            <wp:positionH relativeFrom="page">
              <wp:posOffset>5570220</wp:posOffset>
            </wp:positionH>
            <wp:positionV relativeFrom="paragraph">
              <wp:posOffset>242997</wp:posOffset>
            </wp:positionV>
            <wp:extent cx="731138" cy="731139"/>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31138" cy="731139"/>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648334</wp:posOffset>
            </wp:positionH>
            <wp:positionV relativeFrom="paragraph">
              <wp:posOffset>13762</wp:posOffset>
            </wp:positionV>
            <wp:extent cx="1674494" cy="54610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4494" cy="546100"/>
                    </a:xfrm>
                    <a:prstGeom prst="rect">
                      <a:avLst/>
                    </a:prstGeom>
                  </pic:spPr>
                </pic:pic>
              </a:graphicData>
            </a:graphic>
          </wp:anchor>
        </w:drawing>
      </w:r>
      <w:r>
        <w:rPr/>
        <w:t>珠江人寿[2015]疾病保险 039 号</w:t>
      </w:r>
    </w:p>
    <w:p>
      <w:pPr>
        <w:pStyle w:val="BodyText"/>
        <w:spacing w:before="7"/>
        <w:ind w:right="576"/>
        <w:jc w:val="right"/>
      </w:pPr>
      <w:r>
        <w:rPr/>
        <w:t>请扫描以查询验证条款</w:t>
      </w:r>
    </w:p>
    <w:p>
      <w:pPr>
        <w:pStyle w:val="BodyText"/>
        <w:spacing w:before="11"/>
        <w:rPr>
          <w:sz w:val="26"/>
        </w:rPr>
      </w:pPr>
    </w:p>
    <w:p>
      <w:pPr>
        <w:spacing w:line="587" w:lineRule="exact" w:before="0"/>
        <w:ind w:left="210" w:right="211" w:firstLine="0"/>
        <w:jc w:val="center"/>
        <w:rPr>
          <w:rFonts w:ascii="Microsoft JhengHei" w:eastAsia="Microsoft JhengHei" w:hint="eastAsia"/>
          <w:b/>
          <w:sz w:val="44"/>
        </w:rPr>
      </w:pPr>
      <w:r>
        <w:rPr>
          <w:rFonts w:ascii="Microsoft JhengHei" w:eastAsia="Microsoft JhengHei" w:hint="eastAsia"/>
          <w:b/>
          <w:sz w:val="44"/>
        </w:rPr>
        <w:t>珠江人寿保险股份有限公司</w:t>
      </w:r>
    </w:p>
    <w:p>
      <w:pPr>
        <w:pStyle w:val="Heading1"/>
        <w:spacing w:line="554" w:lineRule="exact"/>
        <w:ind w:right="208"/>
        <w:rPr>
          <w:rFonts w:ascii="Microsoft JhengHei" w:eastAsia="Microsoft JhengHei" w:hint="eastAsia"/>
        </w:rPr>
      </w:pPr>
      <w:r>
        <w:rPr>
          <w:rFonts w:ascii="Microsoft JhengHei" w:eastAsia="Microsoft JhengHei" w:hint="eastAsia"/>
        </w:rPr>
        <w:t>珠江安康重大疾病保险条款</w:t>
      </w:r>
    </w:p>
    <w:p>
      <w:pPr>
        <w:pStyle w:val="BodyText"/>
        <w:spacing w:before="106"/>
        <w:ind w:left="210"/>
        <w:jc w:val="center"/>
      </w:pPr>
      <w:r>
        <w:rPr>
          <w:w w:val="100"/>
        </w:rPr>
        <w:t>  </w:t>
      </w:r>
    </w:p>
    <w:p>
      <w:pPr>
        <w:pStyle w:val="BodyText"/>
        <w:rPr>
          <w:sz w:val="20"/>
        </w:rPr>
      </w:pPr>
    </w:p>
    <w:p>
      <w:pPr>
        <w:pStyle w:val="BodyText"/>
        <w:spacing w:before="4" w:after="1"/>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9"/>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投保人与本公司的合同</w:t>
            </w:r>
          </w:p>
        </w:tc>
      </w:tr>
      <w:tr>
        <w:trPr>
          <w:trHeight w:val="1156"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合同构成</w:t>
            </w:r>
          </w:p>
        </w:tc>
        <w:tc>
          <w:tcPr>
            <w:tcW w:w="7419" w:type="dxa"/>
            <w:tcBorders>
              <w:top w:val="single" w:sz="8" w:space="0" w:color="000000"/>
            </w:tcBorders>
          </w:tcPr>
          <w:p>
            <w:pPr>
              <w:pStyle w:val="TableParagraph"/>
              <w:spacing w:line="273" w:lineRule="auto" w:before="126"/>
              <w:ind w:left="231" w:right="105"/>
              <w:jc w:val="both"/>
              <w:rPr>
                <w:sz w:val="18"/>
              </w:rPr>
            </w:pPr>
            <w:r>
              <w:rPr>
                <w:spacing w:val="-4"/>
                <w:sz w:val="21"/>
              </w:rPr>
              <w:t>本保险合同</w:t>
            </w:r>
            <w:r>
              <w:rPr>
                <w:spacing w:val="-3"/>
                <w:sz w:val="21"/>
              </w:rPr>
              <w:t>（</w:t>
            </w:r>
            <w:r>
              <w:rPr>
                <w:spacing w:val="-6"/>
                <w:sz w:val="21"/>
              </w:rPr>
              <w:t>以下简称“本合同”</w:t>
            </w:r>
            <w:r>
              <w:rPr>
                <w:spacing w:val="-14"/>
                <w:sz w:val="21"/>
              </w:rPr>
              <w:t>）</w:t>
            </w:r>
            <w:r>
              <w:rPr>
                <w:spacing w:val="-5"/>
                <w:sz w:val="21"/>
              </w:rPr>
              <w:t>由保险单或其他保险凭证及所附条款、投</w:t>
            </w:r>
            <w:r>
              <w:rPr>
                <w:spacing w:val="-9"/>
                <w:sz w:val="21"/>
              </w:rPr>
              <w:t>保单、与本合同有关的投保文件、合法有效的声明、批注、批单、其他书面协议构成</w:t>
            </w:r>
            <w:r>
              <w:rPr>
                <w:color w:val="333333"/>
                <w:spacing w:val="-9"/>
                <w:sz w:val="18"/>
              </w:rPr>
              <w:t>。</w:t>
            </w:r>
          </w:p>
        </w:tc>
      </w:tr>
      <w:tr>
        <w:trPr>
          <w:trHeight w:val="1111"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合同成立与生效</w:t>
            </w:r>
          </w:p>
        </w:tc>
        <w:tc>
          <w:tcPr>
            <w:tcW w:w="7419"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7.1）同意承保，本合同成立。</w:t>
            </w:r>
          </w:p>
          <w:p>
            <w:pPr>
              <w:pStyle w:val="TableParagraph"/>
              <w:spacing w:line="273" w:lineRule="auto" w:before="11"/>
              <w:ind w:left="231" w:right="38"/>
              <w:rPr>
                <w:sz w:val="21"/>
              </w:rPr>
            </w:pPr>
            <w:r>
              <w:rPr>
                <w:sz w:val="21"/>
              </w:rPr>
              <w:t>本合同自本公司同意承保、收取保险费并签发保险单的次日零时起开始生效， 具体生效日以保险单所载的日期为准。</w:t>
            </w:r>
          </w:p>
        </w:tc>
      </w:tr>
      <w:tr>
        <w:trPr>
          <w:trHeight w:val="824" w:hRule="atLeast"/>
        </w:trPr>
        <w:tc>
          <w:tcPr>
            <w:tcW w:w="659" w:type="dxa"/>
          </w:tcPr>
          <w:p>
            <w:pPr>
              <w:pStyle w:val="TableParagraph"/>
              <w:spacing w:before="19"/>
              <w:ind w:left="110"/>
              <w:rPr>
                <w:rFonts w:ascii="微软雅黑"/>
                <w:b/>
                <w:sz w:val="21"/>
              </w:rPr>
            </w:pPr>
            <w:r>
              <w:rPr>
                <w:rFonts w:ascii="微软雅黑"/>
                <w:b/>
                <w:sz w:val="21"/>
              </w:rPr>
              <w:t>1.3</w:t>
            </w:r>
          </w:p>
        </w:tc>
        <w:tc>
          <w:tcPr>
            <w:tcW w:w="1901" w:type="dxa"/>
          </w:tcPr>
          <w:p>
            <w:pPr>
              <w:pStyle w:val="TableParagraph"/>
              <w:spacing w:before="19"/>
              <w:ind w:left="191"/>
              <w:rPr>
                <w:rFonts w:ascii="微软雅黑" w:eastAsia="微软雅黑" w:hint="eastAsia"/>
                <w:b/>
                <w:sz w:val="21"/>
              </w:rPr>
            </w:pPr>
            <w:r>
              <w:rPr>
                <w:rFonts w:ascii="微软雅黑" w:eastAsia="微软雅黑" w:hint="eastAsia"/>
                <w:b/>
                <w:sz w:val="21"/>
              </w:rPr>
              <w:t>投保范围</w:t>
            </w:r>
          </w:p>
        </w:tc>
        <w:tc>
          <w:tcPr>
            <w:tcW w:w="7419" w:type="dxa"/>
          </w:tcPr>
          <w:p>
            <w:pPr>
              <w:pStyle w:val="TableParagraph"/>
              <w:spacing w:line="247" w:lineRule="auto" w:before="19"/>
              <w:ind w:left="231" w:right="101"/>
              <w:rPr>
                <w:sz w:val="21"/>
              </w:rPr>
            </w:pPr>
            <w:r>
              <w:rPr>
                <w:spacing w:val="-1"/>
                <w:w w:val="100"/>
                <w:sz w:val="21"/>
              </w:rPr>
              <w:t>凡十八</w:t>
            </w:r>
            <w:r>
              <w:rPr>
                <w:rFonts w:ascii="微软雅黑" w:eastAsia="微软雅黑" w:hint="eastAsia"/>
                <w:b/>
                <w:spacing w:val="-2"/>
                <w:w w:val="100"/>
                <w:sz w:val="21"/>
              </w:rPr>
              <w:t>周岁</w:t>
            </w:r>
            <w:r>
              <w:rPr>
                <w:spacing w:val="-3"/>
                <w:w w:val="100"/>
                <w:sz w:val="21"/>
              </w:rPr>
              <w:t>（</w:t>
            </w:r>
            <w:r>
              <w:rPr>
                <w:w w:val="100"/>
                <w:sz w:val="21"/>
              </w:rPr>
              <w:t>见</w:t>
            </w:r>
            <w:r>
              <w:rPr>
                <w:spacing w:val="-53"/>
                <w:sz w:val="21"/>
              </w:rPr>
              <w:t> </w:t>
            </w:r>
            <w:r>
              <w:rPr>
                <w:w w:val="100"/>
                <w:sz w:val="21"/>
              </w:rPr>
              <w:t>7.</w:t>
            </w:r>
            <w:r>
              <w:rPr>
                <w:spacing w:val="-3"/>
                <w:w w:val="100"/>
                <w:sz w:val="21"/>
              </w:rPr>
              <w:t>2）以上</w:t>
            </w:r>
            <w:r>
              <w:rPr>
                <w:w w:val="100"/>
                <w:sz w:val="21"/>
              </w:rPr>
              <w:t>（</w:t>
            </w:r>
            <w:r>
              <w:rPr>
                <w:spacing w:val="-3"/>
                <w:w w:val="100"/>
                <w:sz w:val="21"/>
              </w:rPr>
              <w:t>含十八周岁</w:t>
            </w:r>
            <w:r>
              <w:rPr>
                <w:spacing w:val="-108"/>
                <w:w w:val="100"/>
                <w:sz w:val="21"/>
              </w:rPr>
              <w:t>）</w:t>
            </w:r>
            <w:r>
              <w:rPr>
                <w:spacing w:val="-4"/>
                <w:w w:val="100"/>
                <w:sz w:val="21"/>
              </w:rPr>
              <w:t>，六十周岁以下</w:t>
            </w:r>
            <w:r>
              <w:rPr>
                <w:w w:val="100"/>
                <w:sz w:val="21"/>
              </w:rPr>
              <w:t>（</w:t>
            </w:r>
            <w:r>
              <w:rPr>
                <w:spacing w:val="-2"/>
                <w:w w:val="100"/>
                <w:sz w:val="21"/>
              </w:rPr>
              <w:t>含六十周岁</w:t>
            </w:r>
            <w:r>
              <w:rPr>
                <w:spacing w:val="-108"/>
                <w:w w:val="100"/>
                <w:sz w:val="21"/>
              </w:rPr>
              <w:t>）</w:t>
            </w:r>
            <w:r>
              <w:rPr>
                <w:spacing w:val="-2"/>
                <w:w w:val="100"/>
                <w:sz w:val="21"/>
              </w:rPr>
              <w:t>，身</w:t>
            </w:r>
            <w:r>
              <w:rPr>
                <w:spacing w:val="-3"/>
                <w:sz w:val="21"/>
              </w:rPr>
              <w:t>体健康的人，均可作为本合同的被保险人。</w:t>
            </w:r>
          </w:p>
        </w:tc>
      </w:tr>
      <w:tr>
        <w:trPr>
          <w:trHeight w:val="678" w:hRule="atLeast"/>
        </w:trPr>
        <w:tc>
          <w:tcPr>
            <w:tcW w:w="659" w:type="dxa"/>
            <w:tcBorders>
              <w:bottom w:val="single" w:sz="8" w:space="0" w:color="000000"/>
            </w:tcBorders>
          </w:tcPr>
          <w:p>
            <w:pPr>
              <w:pStyle w:val="TableParagraph"/>
              <w:spacing w:before="118"/>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99"/>
              <w:ind w:left="191"/>
              <w:rPr>
                <w:rFonts w:ascii="微软雅黑" w:eastAsia="微软雅黑" w:hint="eastAsia"/>
                <w:b/>
                <w:sz w:val="24"/>
              </w:rPr>
            </w:pPr>
            <w:r>
              <w:rPr>
                <w:rFonts w:ascii="微软雅黑" w:eastAsia="微软雅黑" w:hint="eastAsia"/>
                <w:b/>
                <w:sz w:val="24"/>
              </w:rPr>
              <w:t>本公司提供的保障</w:t>
            </w:r>
          </w:p>
        </w:tc>
      </w:tr>
      <w:tr>
        <w:trPr>
          <w:trHeight w:val="532"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保险金额</w:t>
            </w:r>
          </w:p>
        </w:tc>
        <w:tc>
          <w:tcPr>
            <w:tcW w:w="7419" w:type="dxa"/>
            <w:tcBorders>
              <w:top w:val="single" w:sz="8" w:space="0" w:color="000000"/>
            </w:tcBorders>
          </w:tcPr>
          <w:p>
            <w:pPr>
              <w:pStyle w:val="TableParagraph"/>
              <w:spacing w:before="126"/>
              <w:ind w:left="231"/>
              <w:rPr>
                <w:sz w:val="21"/>
              </w:rPr>
            </w:pPr>
            <w:r>
              <w:rPr>
                <w:sz w:val="21"/>
              </w:rPr>
              <w:t>本合同保险金额由投保人在投保时与本公司约定并在保险单上载明。</w:t>
            </w:r>
          </w:p>
        </w:tc>
      </w:tr>
      <w:tr>
        <w:trPr>
          <w:trHeight w:val="497" w:hRule="atLeast"/>
        </w:trPr>
        <w:tc>
          <w:tcPr>
            <w:tcW w:w="659" w:type="dxa"/>
          </w:tcPr>
          <w:p>
            <w:pPr>
              <w:pStyle w:val="TableParagraph"/>
              <w:spacing w:before="4"/>
              <w:ind w:left="110"/>
              <w:rPr>
                <w:rFonts w:ascii="微软雅黑"/>
                <w:b/>
                <w:sz w:val="21"/>
              </w:rPr>
            </w:pPr>
            <w:r>
              <w:rPr>
                <w:rFonts w:ascii="微软雅黑"/>
                <w:b/>
                <w:sz w:val="21"/>
              </w:rPr>
              <w:t>2.2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保险期间</w:t>
            </w:r>
          </w:p>
        </w:tc>
        <w:tc>
          <w:tcPr>
            <w:tcW w:w="7419" w:type="dxa"/>
          </w:tcPr>
          <w:p>
            <w:pPr>
              <w:pStyle w:val="TableParagraph"/>
              <w:spacing w:before="67"/>
              <w:ind w:left="231"/>
              <w:rPr>
                <w:sz w:val="21"/>
              </w:rPr>
            </w:pPr>
            <w:r>
              <w:rPr>
                <w:spacing w:val="-6"/>
                <w:sz w:val="21"/>
              </w:rPr>
              <w:t>本合同的保险期间为 </w:t>
            </w:r>
            <w:r>
              <w:rPr>
                <w:sz w:val="21"/>
              </w:rPr>
              <w:t>1</w:t>
            </w:r>
            <w:r>
              <w:rPr>
                <w:spacing w:val="-7"/>
                <w:sz w:val="21"/>
              </w:rPr>
              <w:t> 年，以保险单或其他保险凭证上载明的保险期间为准。</w:t>
            </w:r>
          </w:p>
        </w:tc>
      </w:tr>
      <w:tr>
        <w:trPr>
          <w:trHeight w:val="3927" w:hRule="atLeast"/>
        </w:trPr>
        <w:tc>
          <w:tcPr>
            <w:tcW w:w="659" w:type="dxa"/>
          </w:tcPr>
          <w:p>
            <w:pPr>
              <w:pStyle w:val="TableParagraph"/>
              <w:spacing w:before="29"/>
              <w:ind w:left="110"/>
              <w:rPr>
                <w:rFonts w:ascii="微软雅黑"/>
                <w:b/>
                <w:sz w:val="21"/>
              </w:rPr>
            </w:pPr>
            <w:r>
              <w:rPr>
                <w:rFonts w:ascii="微软雅黑"/>
                <w:b/>
                <w:sz w:val="21"/>
              </w:rPr>
              <w:t>2.3</w:t>
            </w:r>
          </w:p>
        </w:tc>
        <w:tc>
          <w:tcPr>
            <w:tcW w:w="1901" w:type="dxa"/>
          </w:tcPr>
          <w:p>
            <w:pPr>
              <w:pStyle w:val="TableParagraph"/>
              <w:spacing w:before="29"/>
              <w:ind w:left="191"/>
              <w:rPr>
                <w:rFonts w:ascii="微软雅黑" w:eastAsia="微软雅黑" w:hint="eastAsia"/>
                <w:b/>
                <w:sz w:val="21"/>
              </w:rPr>
            </w:pPr>
            <w:r>
              <w:rPr>
                <w:rFonts w:ascii="微软雅黑" w:eastAsia="微软雅黑" w:hint="eastAsia"/>
                <w:b/>
                <w:sz w:val="21"/>
              </w:rPr>
              <w:t>保险责任</w:t>
            </w:r>
          </w:p>
        </w:tc>
        <w:tc>
          <w:tcPr>
            <w:tcW w:w="7419" w:type="dxa"/>
          </w:tcPr>
          <w:p>
            <w:pPr>
              <w:pStyle w:val="TableParagraph"/>
              <w:spacing w:before="92"/>
              <w:ind w:left="231"/>
              <w:rPr>
                <w:sz w:val="21"/>
              </w:rPr>
            </w:pPr>
            <w:r>
              <w:rPr>
                <w:sz w:val="21"/>
              </w:rPr>
              <w:t>在本合同有效期内，本公司承担如下保险责任：</w:t>
            </w:r>
          </w:p>
          <w:p>
            <w:pPr>
              <w:pStyle w:val="TableParagraph"/>
              <w:spacing w:line="273" w:lineRule="auto" w:before="37"/>
              <w:ind w:left="231" w:right="101" w:firstLine="420"/>
              <w:jc w:val="both"/>
              <w:rPr>
                <w:sz w:val="21"/>
              </w:rPr>
            </w:pPr>
            <w:r>
              <w:rPr>
                <w:spacing w:val="-8"/>
                <w:sz w:val="21"/>
              </w:rPr>
              <w:t>自本合同生效之日起 </w:t>
            </w:r>
            <w:r>
              <w:rPr>
                <w:sz w:val="21"/>
              </w:rPr>
              <w:t>90</w:t>
            </w:r>
            <w:r>
              <w:rPr>
                <w:spacing w:val="-17"/>
                <w:sz w:val="21"/>
              </w:rPr>
              <w:t> 日内(含 </w:t>
            </w:r>
            <w:r>
              <w:rPr>
                <w:sz w:val="21"/>
              </w:rPr>
              <w:t>90</w:t>
            </w:r>
            <w:r>
              <w:rPr>
                <w:spacing w:val="-12"/>
                <w:sz w:val="21"/>
              </w:rPr>
              <w:t> 日当日)，被保险人发生下列情形之一</w:t>
            </w:r>
            <w:r>
              <w:rPr>
                <w:spacing w:val="-65"/>
                <w:w w:val="100"/>
                <w:sz w:val="21"/>
              </w:rPr>
              <w:t>的：</w:t>
            </w:r>
            <w:r>
              <w:rPr>
                <w:spacing w:val="-3"/>
                <w:w w:val="100"/>
                <w:sz w:val="21"/>
              </w:rPr>
              <w:t>（</w:t>
            </w:r>
            <w:r>
              <w:rPr>
                <w:w w:val="100"/>
                <w:sz w:val="21"/>
              </w:rPr>
              <w:t>一</w:t>
            </w:r>
            <w:r>
              <w:rPr>
                <w:spacing w:val="-15"/>
                <w:w w:val="100"/>
                <w:sz w:val="21"/>
              </w:rPr>
              <w:t>）</w:t>
            </w:r>
            <w:r>
              <w:rPr>
                <w:spacing w:val="-26"/>
                <w:w w:val="100"/>
                <w:sz w:val="21"/>
              </w:rPr>
              <w:t>重大疾病；</w:t>
            </w:r>
            <w:r>
              <w:rPr>
                <w:spacing w:val="-3"/>
                <w:w w:val="100"/>
                <w:sz w:val="21"/>
              </w:rPr>
              <w:t>（二</w:t>
            </w:r>
            <w:r>
              <w:rPr>
                <w:spacing w:val="-13"/>
                <w:w w:val="100"/>
                <w:sz w:val="21"/>
              </w:rPr>
              <w:t>）</w:t>
            </w:r>
            <w:r>
              <w:rPr>
                <w:spacing w:val="-4"/>
                <w:w w:val="100"/>
                <w:sz w:val="21"/>
              </w:rPr>
              <w:t>因导致重大疾病的相关疾病就诊。本公司将无息全</w:t>
            </w:r>
            <w:r>
              <w:rPr>
                <w:spacing w:val="-3"/>
                <w:sz w:val="21"/>
              </w:rPr>
              <w:t>额退还该被保险人的所交保险费，本合同对该被保险人的保险责任终止。这</w:t>
            </w:r>
          </w:p>
          <w:p>
            <w:pPr>
              <w:pStyle w:val="TableParagraph"/>
              <w:spacing w:before="7"/>
              <w:ind w:left="231"/>
              <w:rPr>
                <w:sz w:val="21"/>
              </w:rPr>
            </w:pPr>
            <w:r>
              <w:rPr>
                <w:sz w:val="21"/>
              </w:rPr>
              <w:t>90 日的时间称为等待期。第一次投保本保险或非连续投保本保险时，等待期</w:t>
            </w:r>
          </w:p>
          <w:p>
            <w:pPr>
              <w:pStyle w:val="TableParagraph"/>
              <w:spacing w:before="37"/>
              <w:ind w:left="231"/>
              <w:rPr>
                <w:sz w:val="21"/>
              </w:rPr>
            </w:pPr>
            <w:r>
              <w:rPr>
                <w:sz w:val="21"/>
              </w:rPr>
              <w:t>为 90 天；按期续保本保险的无等待期。 </w:t>
            </w:r>
          </w:p>
          <w:p>
            <w:pPr>
              <w:pStyle w:val="TableParagraph"/>
              <w:spacing w:line="235" w:lineRule="auto" w:before="8"/>
              <w:ind w:left="652" w:right="33"/>
              <w:rPr>
                <w:sz w:val="21"/>
              </w:rPr>
            </w:pPr>
            <w:r>
              <w:rPr>
                <w:sz w:val="21"/>
              </w:rPr>
              <w:t>被保险人因</w:t>
            </w:r>
            <w:r>
              <w:rPr>
                <w:rFonts w:ascii="微软雅黑" w:eastAsia="微软雅黑" w:hint="eastAsia"/>
                <w:b/>
                <w:sz w:val="21"/>
              </w:rPr>
              <w:t>意外伤害</w:t>
            </w:r>
            <w:r>
              <w:rPr>
                <w:sz w:val="21"/>
              </w:rPr>
              <w:t>（见 7.3）发生上述两项情形之一的，无等待期。被保险人因意外伤害或于等待期后发生保险事故，本公司按照下列方式给</w:t>
            </w:r>
          </w:p>
          <w:p>
            <w:pPr>
              <w:pStyle w:val="TableParagraph"/>
              <w:spacing w:line="262" w:lineRule="exact" w:before="36"/>
              <w:ind w:left="231"/>
              <w:rPr>
                <w:sz w:val="21"/>
              </w:rPr>
            </w:pPr>
            <w:r>
              <w:rPr>
                <w:sz w:val="21"/>
              </w:rPr>
              <w:t>付保险金：</w:t>
            </w:r>
          </w:p>
          <w:p>
            <w:pPr>
              <w:pStyle w:val="TableParagraph"/>
              <w:spacing w:line="225" w:lineRule="auto" w:before="8"/>
              <w:ind w:left="231" w:right="136" w:firstLine="420"/>
              <w:jc w:val="both"/>
              <w:rPr>
                <w:sz w:val="21"/>
              </w:rPr>
            </w:pPr>
            <w:r>
              <w:rPr>
                <w:spacing w:val="-3"/>
                <w:sz w:val="21"/>
              </w:rPr>
              <w:t>若被保险人经</w:t>
            </w:r>
            <w:r>
              <w:rPr>
                <w:rFonts w:ascii="微软雅黑" w:eastAsia="微软雅黑" w:hint="eastAsia"/>
                <w:b/>
                <w:spacing w:val="-1"/>
                <w:sz w:val="21"/>
              </w:rPr>
              <w:t>本公司认可的医疗机构</w:t>
            </w:r>
            <w:r>
              <w:rPr>
                <w:spacing w:val="-3"/>
                <w:sz w:val="21"/>
              </w:rPr>
              <w:t>（</w:t>
            </w:r>
            <w:r>
              <w:rPr>
                <w:sz w:val="21"/>
              </w:rPr>
              <w:t>见7.4）</w:t>
            </w:r>
            <w:r>
              <w:rPr>
                <w:spacing w:val="-3"/>
                <w:sz w:val="21"/>
              </w:rPr>
              <w:t>确诊初次患有</w:t>
            </w:r>
            <w:r>
              <w:rPr>
                <w:rFonts w:ascii="微软雅黑" w:eastAsia="微软雅黑" w:hint="eastAsia"/>
                <w:b/>
                <w:sz w:val="21"/>
              </w:rPr>
              <w:t>本合同约定</w:t>
            </w:r>
            <w:r>
              <w:rPr>
                <w:rFonts w:ascii="微软雅黑" w:eastAsia="微软雅黑" w:hint="eastAsia"/>
                <w:b/>
                <w:w w:val="100"/>
                <w:sz w:val="21"/>
              </w:rPr>
              <w:t>的重大疾病</w:t>
            </w:r>
            <w:r>
              <w:rPr>
                <w:spacing w:val="-3"/>
                <w:w w:val="100"/>
                <w:sz w:val="21"/>
              </w:rPr>
              <w:t>（</w:t>
            </w:r>
            <w:r>
              <w:rPr>
                <w:w w:val="100"/>
                <w:sz w:val="21"/>
              </w:rPr>
              <w:t>见7.</w:t>
            </w:r>
            <w:r>
              <w:rPr>
                <w:spacing w:val="-3"/>
                <w:w w:val="100"/>
                <w:sz w:val="21"/>
              </w:rPr>
              <w:t>5</w:t>
            </w:r>
            <w:r>
              <w:rPr>
                <w:spacing w:val="-106"/>
                <w:w w:val="100"/>
                <w:sz w:val="21"/>
              </w:rPr>
              <w:t>）</w:t>
            </w:r>
            <w:r>
              <w:rPr>
                <w:spacing w:val="-3"/>
                <w:w w:val="100"/>
                <w:sz w:val="21"/>
              </w:rPr>
              <w:t>（无论一种或多种</w:t>
            </w:r>
            <w:r>
              <w:rPr>
                <w:spacing w:val="-108"/>
                <w:w w:val="100"/>
                <w:sz w:val="21"/>
              </w:rPr>
              <w:t>）</w:t>
            </w:r>
            <w:r>
              <w:rPr>
                <w:spacing w:val="-3"/>
                <w:w w:val="100"/>
                <w:sz w:val="21"/>
              </w:rPr>
              <w:t>，则本公司按该被保险人的保险金额</w:t>
            </w:r>
            <w:r>
              <w:rPr>
                <w:spacing w:val="-3"/>
                <w:sz w:val="21"/>
              </w:rPr>
              <w:t>给付重大疾病保险金，本合同对该被保险人的保险责任终止。</w:t>
            </w:r>
          </w:p>
        </w:tc>
      </w:tr>
      <w:tr>
        <w:trPr>
          <w:trHeight w:val="876" w:hRule="atLeast"/>
        </w:trPr>
        <w:tc>
          <w:tcPr>
            <w:tcW w:w="659" w:type="dxa"/>
          </w:tcPr>
          <w:p>
            <w:pPr>
              <w:pStyle w:val="TableParagraph"/>
              <w:spacing w:before="15"/>
              <w:ind w:left="110"/>
              <w:rPr>
                <w:rFonts w:ascii="微软雅黑"/>
                <w:b/>
                <w:sz w:val="21"/>
              </w:rPr>
            </w:pPr>
            <w:r>
              <w:rPr>
                <w:rFonts w:ascii="微软雅黑"/>
                <w:b/>
                <w:sz w:val="21"/>
              </w:rPr>
              <w:t>2.4</w:t>
            </w:r>
          </w:p>
        </w:tc>
        <w:tc>
          <w:tcPr>
            <w:tcW w:w="1901" w:type="dxa"/>
          </w:tcPr>
          <w:p>
            <w:pPr>
              <w:pStyle w:val="TableParagraph"/>
              <w:spacing w:before="15"/>
              <w:ind w:left="191"/>
              <w:rPr>
                <w:rFonts w:ascii="微软雅黑" w:eastAsia="微软雅黑" w:hint="eastAsia"/>
                <w:b/>
                <w:sz w:val="21"/>
              </w:rPr>
            </w:pPr>
            <w:r>
              <w:rPr>
                <w:rFonts w:ascii="微软雅黑" w:eastAsia="微软雅黑" w:hint="eastAsia"/>
                <w:b/>
                <w:sz w:val="21"/>
              </w:rPr>
              <w:t>责任免除</w:t>
            </w:r>
          </w:p>
        </w:tc>
        <w:tc>
          <w:tcPr>
            <w:tcW w:w="7419" w:type="dxa"/>
          </w:tcPr>
          <w:p>
            <w:pPr>
              <w:pStyle w:val="TableParagraph"/>
              <w:spacing w:line="180" w:lineRule="auto" w:before="84"/>
              <w:ind w:left="231" w:right="104"/>
              <w:rPr>
                <w:rFonts w:ascii="微软雅黑" w:eastAsia="微软雅黑" w:hint="eastAsia"/>
                <w:b/>
                <w:sz w:val="21"/>
              </w:rPr>
            </w:pPr>
            <w:r>
              <w:rPr>
                <w:rFonts w:ascii="微软雅黑" w:eastAsia="微软雅黑" w:hint="eastAsia"/>
                <w:b/>
                <w:spacing w:val="-7"/>
                <w:sz w:val="21"/>
              </w:rPr>
              <w:t>因下列情形之一导致被保险人发生本合同约定的保险事故的，本公司不承担给付保险金的责任：</w:t>
            </w:r>
          </w:p>
          <w:p>
            <w:pPr>
              <w:pStyle w:val="TableParagraph"/>
              <w:spacing w:line="226" w:lineRule="exact"/>
              <w:ind w:left="337"/>
              <w:rPr>
                <w:rFonts w:ascii="微软雅黑" w:eastAsia="微软雅黑" w:hint="eastAsia"/>
                <w:b/>
                <w:sz w:val="21"/>
              </w:rPr>
            </w:pPr>
            <w:r>
              <w:rPr>
                <w:rFonts w:ascii="微软雅黑" w:eastAsia="微软雅黑" w:hint="eastAsia"/>
                <w:b/>
                <w:sz w:val="21"/>
              </w:rPr>
              <w:t>（1） 投保人对被保险人的故意杀害、故意伤害；</w:t>
            </w:r>
          </w:p>
        </w:tc>
      </w:tr>
    </w:tbl>
    <w:p>
      <w:pPr>
        <w:spacing w:after="0" w:line="226" w:lineRule="exact"/>
        <w:rPr>
          <w:rFonts w:ascii="微软雅黑" w:eastAsia="微软雅黑" w:hint="eastAsia"/>
          <w:sz w:val="21"/>
        </w:rPr>
        <w:sectPr>
          <w:footerReference w:type="default" r:id="rId6"/>
          <w:pgSz w:w="11910" w:h="16840"/>
          <w:pgMar w:footer="375"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5"/>
      </w:tblGrid>
      <w:tr>
        <w:trPr>
          <w:trHeight w:val="4591"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5" w:type="dxa"/>
          </w:tcPr>
          <w:p>
            <w:pPr>
              <w:pStyle w:val="TableParagraph"/>
              <w:spacing w:line="183" w:lineRule="exact"/>
              <w:ind w:left="231"/>
              <w:rPr>
                <w:rFonts w:ascii="微软雅黑" w:eastAsia="微软雅黑" w:hint="eastAsia"/>
                <w:b/>
                <w:sz w:val="21"/>
              </w:rPr>
            </w:pPr>
            <w:r>
              <w:rPr>
                <w:rFonts w:ascii="微软雅黑" w:eastAsia="微软雅黑" w:hint="eastAsia"/>
                <w:b/>
                <w:sz w:val="21"/>
              </w:rPr>
              <w:t>（2）</w:t>
            </w:r>
            <w:r>
              <w:rPr>
                <w:rFonts w:ascii="微软雅黑" w:eastAsia="微软雅黑" w:hint="eastAsia"/>
                <w:b/>
                <w:spacing w:val="-6"/>
                <w:sz w:val="21"/>
              </w:rPr>
              <w:t> 被保险人故意自伤、故意犯罪、抗拒依法采取的刑事强制措施或自杀，</w:t>
            </w:r>
          </w:p>
          <w:p>
            <w:pPr>
              <w:pStyle w:val="TableParagraph"/>
              <w:spacing w:line="273" w:lineRule="exact"/>
              <w:ind w:left="863"/>
              <w:rPr>
                <w:rFonts w:ascii="微软雅黑" w:eastAsia="微软雅黑" w:hint="eastAsia"/>
                <w:b/>
                <w:sz w:val="21"/>
              </w:rPr>
            </w:pPr>
            <w:r>
              <w:rPr>
                <w:rFonts w:ascii="微软雅黑" w:eastAsia="微软雅黑" w:hint="eastAsia"/>
                <w:b/>
                <w:sz w:val="21"/>
              </w:rPr>
              <w:t>但被保险人自杀时为无民事行为能力人的除外；</w:t>
            </w:r>
          </w:p>
          <w:p>
            <w:pPr>
              <w:pStyle w:val="TableParagraph"/>
              <w:spacing w:line="180" w:lineRule="auto" w:before="46"/>
              <w:ind w:left="863" w:right="108"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被保险人殴斗（见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w w:val="100"/>
                <w:sz w:val="21"/>
              </w:rPr>
              <w:t>、醉酒（见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1"/>
                <w:w w:val="111"/>
                <w:sz w:val="21"/>
              </w:rPr>
              <w:t>.</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w w:val="100"/>
                <w:sz w:val="21"/>
              </w:rPr>
              <w:t>，主动吸食或注射毒品（见 </w:t>
            </w:r>
            <w:r>
              <w:rPr>
                <w:rFonts w:ascii="微软雅黑" w:eastAsia="微软雅黑" w:hint="eastAsia"/>
                <w:b/>
                <w:w w:val="111"/>
                <w:sz w:val="21"/>
              </w:rPr>
              <w:t>7.</w:t>
            </w:r>
            <w:r>
              <w:rPr>
                <w:rFonts w:ascii="微软雅黑" w:eastAsia="微软雅黑" w:hint="eastAsia"/>
                <w:b/>
                <w:w w:val="81"/>
                <w:sz w:val="21"/>
              </w:rPr>
              <w:t>8</w:t>
            </w:r>
            <w:r>
              <w:rPr>
                <w:rFonts w:ascii="微软雅黑" w:eastAsia="微软雅黑" w:hint="eastAsia"/>
                <w:b/>
                <w:spacing w:val="-106"/>
                <w:w w:val="100"/>
                <w:sz w:val="21"/>
              </w:rPr>
              <w:t>）；</w:t>
            </w:r>
          </w:p>
          <w:p>
            <w:pPr>
              <w:pStyle w:val="TableParagraph"/>
              <w:spacing w:line="180" w:lineRule="auto" w:before="1"/>
              <w:ind w:left="863" w:right="103"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w:t>
            </w:r>
            <w:r>
              <w:rPr>
                <w:rFonts w:ascii="Microsoft JhengHei" w:eastAsia="Microsoft JhengHei" w:hint="eastAsia"/>
                <w:b/>
                <w:w w:val="201"/>
                <w:sz w:val="21"/>
              </w:rPr>
              <w:t> </w:t>
            </w:r>
            <w:r>
              <w:rPr>
                <w:rFonts w:ascii="微软雅黑" w:eastAsia="微软雅黑" w:hint="eastAsia"/>
                <w:b/>
                <w:spacing w:val="-4"/>
                <w:w w:val="100"/>
                <w:sz w:val="21"/>
              </w:rPr>
              <w:t>被保险人酒后驾驶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9"/>
                <w:sz w:val="21"/>
              </w:rPr>
              <w:t>7.</w:t>
            </w:r>
            <w:r>
              <w:rPr>
                <w:rFonts w:ascii="微软雅黑" w:eastAsia="微软雅黑" w:hint="eastAsia"/>
                <w:b/>
                <w:spacing w:val="-3"/>
                <w:w w:val="99"/>
                <w:sz w:val="21"/>
              </w:rPr>
              <w:t>9</w:t>
            </w:r>
            <w:r>
              <w:rPr>
                <w:rFonts w:ascii="微软雅黑" w:eastAsia="微软雅黑" w:hint="eastAsia"/>
                <w:b/>
                <w:spacing w:val="-106"/>
                <w:w w:val="100"/>
                <w:sz w:val="21"/>
              </w:rPr>
              <w:t>）</w:t>
            </w:r>
            <w:r>
              <w:rPr>
                <w:rFonts w:ascii="微软雅黑" w:eastAsia="微软雅黑" w:hint="eastAsia"/>
                <w:b/>
                <w:spacing w:val="-7"/>
                <w:w w:val="100"/>
                <w:sz w:val="21"/>
              </w:rPr>
              <w:t>、无合法有效驾驶证驾驶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7.10</w:t>
            </w:r>
            <w:r>
              <w:rPr>
                <w:rFonts w:ascii="微软雅黑" w:eastAsia="微软雅黑" w:hint="eastAsia"/>
                <w:b/>
                <w:spacing w:val="-22"/>
                <w:w w:val="100"/>
                <w:sz w:val="21"/>
              </w:rPr>
              <w:t>）</w:t>
            </w:r>
            <w:r>
              <w:rPr>
                <w:rFonts w:ascii="微软雅黑" w:eastAsia="微软雅黑" w:hint="eastAsia"/>
                <w:b/>
                <w:w w:val="100"/>
                <w:sz w:val="21"/>
              </w:rPr>
              <w:t>或驾</w:t>
            </w:r>
            <w:r>
              <w:rPr>
                <w:rFonts w:ascii="微软雅黑" w:eastAsia="微软雅黑" w:hint="eastAsia"/>
                <w:b/>
                <w:sz w:val="21"/>
              </w:rPr>
              <w:t>驶无有效行驶证（</w:t>
            </w:r>
            <w:r>
              <w:rPr>
                <w:rFonts w:ascii="微软雅黑" w:eastAsia="微软雅黑" w:hint="eastAsia"/>
                <w:b/>
                <w:spacing w:val="-11"/>
                <w:sz w:val="21"/>
              </w:rPr>
              <w:t>见 </w:t>
            </w:r>
            <w:r>
              <w:rPr>
                <w:rFonts w:ascii="微软雅黑" w:eastAsia="微软雅黑" w:hint="eastAsia"/>
                <w:b/>
                <w:sz w:val="21"/>
              </w:rPr>
              <w:t>7.11）的机动车；</w:t>
            </w:r>
          </w:p>
          <w:p>
            <w:pPr>
              <w:pStyle w:val="TableParagraph"/>
              <w:spacing w:line="228" w:lineRule="exact"/>
              <w:ind w:left="231"/>
              <w:rPr>
                <w:rFonts w:ascii="微软雅黑" w:eastAsia="微软雅黑" w:hint="eastAsia"/>
                <w:b/>
                <w:sz w:val="21"/>
              </w:rPr>
            </w:pPr>
            <w:r>
              <w:rPr>
                <w:rFonts w:ascii="微软雅黑" w:eastAsia="微软雅黑" w:hint="eastAsia"/>
                <w:b/>
                <w:sz w:val="21"/>
              </w:rPr>
              <w:t>（5） 战争、军事冲突、暴乱或武装叛乱；</w:t>
            </w:r>
          </w:p>
          <w:p>
            <w:pPr>
              <w:pStyle w:val="TableParagraph"/>
              <w:spacing w:line="271" w:lineRule="exact"/>
              <w:ind w:left="231"/>
              <w:rPr>
                <w:rFonts w:ascii="微软雅黑" w:eastAsia="微软雅黑" w:hint="eastAsia"/>
                <w:b/>
                <w:sz w:val="21"/>
              </w:rPr>
            </w:pPr>
            <w:r>
              <w:rPr>
                <w:rFonts w:ascii="微软雅黑" w:eastAsia="微软雅黑" w:hint="eastAsia"/>
                <w:b/>
                <w:sz w:val="21"/>
              </w:rPr>
              <w:t>（6） 核爆炸、核辐射或核污染；</w:t>
            </w:r>
          </w:p>
          <w:p>
            <w:pPr>
              <w:pStyle w:val="TableParagraph"/>
              <w:spacing w:line="180" w:lineRule="auto" w:before="44"/>
              <w:ind w:left="863" w:right="103" w:hanging="632"/>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7</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spacing w:val="-3"/>
                <w:w w:val="100"/>
                <w:sz w:val="21"/>
              </w:rPr>
              <w:t>被保险人参加潜水</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3"/>
                <w:w w:val="111"/>
                <w:sz w:val="21"/>
              </w:rPr>
              <w:t>.</w:t>
            </w:r>
            <w:r>
              <w:rPr>
                <w:rFonts w:ascii="微软雅黑" w:eastAsia="微软雅黑" w:hint="eastAsia"/>
                <w:b/>
                <w:spacing w:val="-1"/>
                <w:w w:val="81"/>
                <w:sz w:val="21"/>
              </w:rPr>
              <w:t>1</w:t>
            </w:r>
            <w:r>
              <w:rPr>
                <w:rFonts w:ascii="微软雅黑" w:eastAsia="微软雅黑" w:hint="eastAsia"/>
                <w:b/>
                <w:w w:val="81"/>
                <w:sz w:val="21"/>
              </w:rPr>
              <w:t>2</w:t>
            </w:r>
            <w:r>
              <w:rPr>
                <w:rFonts w:ascii="微软雅黑" w:eastAsia="微软雅黑" w:hint="eastAsia"/>
                <w:b/>
                <w:spacing w:val="-106"/>
                <w:w w:val="100"/>
                <w:sz w:val="21"/>
              </w:rPr>
              <w:t>）</w:t>
            </w:r>
            <w:r>
              <w:rPr>
                <w:rFonts w:ascii="微软雅黑" w:eastAsia="微软雅黑" w:hint="eastAsia"/>
                <w:b/>
                <w:spacing w:val="-10"/>
                <w:w w:val="100"/>
                <w:sz w:val="21"/>
              </w:rPr>
              <w:t>、跳伞、攀岩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spacing w:val="-3"/>
                <w:w w:val="81"/>
                <w:sz w:val="21"/>
              </w:rPr>
              <w:t>3</w:t>
            </w:r>
            <w:r>
              <w:rPr>
                <w:rFonts w:ascii="微软雅黑" w:eastAsia="微软雅黑" w:hint="eastAsia"/>
                <w:b/>
                <w:spacing w:val="-106"/>
                <w:w w:val="100"/>
                <w:sz w:val="21"/>
              </w:rPr>
              <w:t>）</w:t>
            </w:r>
            <w:r>
              <w:rPr>
                <w:rFonts w:ascii="微软雅黑" w:eastAsia="微软雅黑" w:hint="eastAsia"/>
                <w:b/>
                <w:spacing w:val="-6"/>
                <w:w w:val="100"/>
                <w:sz w:val="21"/>
              </w:rPr>
              <w:t>、蹦极、驾驶滑</w:t>
            </w:r>
            <w:r>
              <w:rPr>
                <w:rFonts w:ascii="微软雅黑" w:eastAsia="微软雅黑" w:hint="eastAsia"/>
                <w:b/>
                <w:spacing w:val="-8"/>
                <w:w w:val="100"/>
                <w:sz w:val="21"/>
              </w:rPr>
              <w:t>翔机或滑翔伞、探险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spacing w:val="-3"/>
                <w:w w:val="81"/>
                <w:sz w:val="21"/>
              </w:rPr>
              <w:t>7</w:t>
            </w:r>
            <w:r>
              <w:rPr>
                <w:rFonts w:ascii="微软雅黑" w:eastAsia="微软雅黑" w:hint="eastAsia"/>
                <w:b/>
                <w:w w:val="111"/>
                <w:sz w:val="21"/>
              </w:rPr>
              <w:t>.</w:t>
            </w:r>
            <w:r>
              <w:rPr>
                <w:rFonts w:ascii="微软雅黑" w:eastAsia="微软雅黑" w:hint="eastAsia"/>
                <w:b/>
                <w:spacing w:val="-1"/>
                <w:w w:val="111"/>
                <w:sz w:val="21"/>
              </w:rPr>
              <w:t>1</w:t>
            </w:r>
            <w:r>
              <w:rPr>
                <w:rFonts w:ascii="微软雅黑" w:eastAsia="微软雅黑" w:hint="eastAsia"/>
                <w:b/>
                <w:w w:val="81"/>
                <w:sz w:val="21"/>
              </w:rPr>
              <w:t>4</w:t>
            </w:r>
            <w:r>
              <w:rPr>
                <w:rFonts w:ascii="微软雅黑" w:eastAsia="微软雅黑" w:hint="eastAsia"/>
                <w:b/>
                <w:spacing w:val="-106"/>
                <w:w w:val="100"/>
                <w:sz w:val="21"/>
              </w:rPr>
              <w:t>）</w:t>
            </w:r>
            <w:r>
              <w:rPr>
                <w:rFonts w:ascii="微软雅黑" w:eastAsia="微软雅黑" w:hint="eastAsia"/>
                <w:b/>
                <w:spacing w:val="-8"/>
                <w:w w:val="100"/>
                <w:sz w:val="21"/>
              </w:rPr>
              <w:t>、摔跤、武术比赛</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spacing w:val="-5"/>
                <w:w w:val="100"/>
                <w:sz w:val="21"/>
              </w:rPr>
              <w:t>、特技表演（见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spacing w:val="-1"/>
                <w:w w:val="100"/>
                <w:sz w:val="21"/>
              </w:rPr>
              <w:t>、赛马、赛车等高风险运动；</w:t>
            </w:r>
          </w:p>
          <w:p>
            <w:pPr>
              <w:pStyle w:val="TableParagraph"/>
              <w:spacing w:line="239" w:lineRule="exact"/>
              <w:ind w:left="231"/>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spacing w:val="-3"/>
                <w:w w:val="100"/>
                <w:sz w:val="21"/>
              </w:rPr>
              <w:t>，先天性畸形、变形或染色体异常</w:t>
            </w:r>
            <w:r>
              <w:rPr>
                <w:rFonts w:ascii="微软雅黑" w:eastAsia="微软雅黑" w:hint="eastAsia"/>
                <w:b/>
                <w:w w:val="100"/>
                <w:sz w:val="21"/>
              </w:rPr>
              <w:t>（见</w:t>
            </w:r>
            <w:r>
              <w:rPr>
                <w:rFonts w:ascii="微软雅黑" w:eastAsia="微软雅黑" w:hint="eastAsia"/>
                <w:b/>
                <w:spacing w:val="-9"/>
                <w:sz w:val="21"/>
              </w:rPr>
              <w:t> </w:t>
            </w:r>
            <w:r>
              <w:rPr>
                <w:rFonts w:ascii="微软雅黑" w:eastAsia="微软雅黑" w:hint="eastAsia"/>
                <w:b/>
                <w:w w:val="99"/>
                <w:sz w:val="21"/>
              </w:rPr>
              <w:t>7.1</w:t>
            </w:r>
            <w:r>
              <w:rPr>
                <w:rFonts w:ascii="微软雅黑" w:eastAsia="微软雅黑" w:hint="eastAsia"/>
                <w:b/>
                <w:w w:val="81"/>
                <w:sz w:val="21"/>
              </w:rPr>
              <w:t>8</w:t>
            </w:r>
            <w:r>
              <w:rPr>
                <w:rFonts w:ascii="微软雅黑" w:eastAsia="微软雅黑" w:hint="eastAsia"/>
                <w:b/>
                <w:spacing w:val="-106"/>
                <w:w w:val="100"/>
                <w:sz w:val="21"/>
              </w:rPr>
              <w:t>）。</w:t>
            </w:r>
          </w:p>
          <w:p>
            <w:pPr>
              <w:pStyle w:val="TableParagraph"/>
              <w:spacing w:line="206" w:lineRule="auto" w:before="16"/>
              <w:ind w:left="125" w:right="122"/>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3"/>
                <w:sz w:val="21"/>
              </w:rPr>
              <w:t>项情形导致被保险人发生本合同约定的保险事故的，本合同</w:t>
            </w:r>
            <w:r>
              <w:rPr>
                <w:rFonts w:ascii="微软雅黑" w:eastAsia="微软雅黑" w:hint="eastAsia"/>
                <w:b/>
                <w:spacing w:val="-3"/>
                <w:w w:val="100"/>
                <w:sz w:val="21"/>
              </w:rPr>
              <w:t>效力即行终止，本公司向受益人退还本合同的现金价值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81"/>
                <w:sz w:val="21"/>
              </w:rPr>
              <w:t>7</w:t>
            </w:r>
            <w:r>
              <w:rPr>
                <w:rFonts w:ascii="微软雅黑" w:eastAsia="微软雅黑" w:hint="eastAsia"/>
                <w:b/>
                <w:w w:val="111"/>
                <w:sz w:val="21"/>
              </w:rPr>
              <w:t>.1</w:t>
            </w:r>
            <w:r>
              <w:rPr>
                <w:rFonts w:ascii="微软雅黑" w:eastAsia="微软雅黑" w:hint="eastAsia"/>
                <w:b/>
                <w:w w:val="81"/>
                <w:sz w:val="21"/>
              </w:rPr>
              <w:t>9</w:t>
            </w:r>
            <w:r>
              <w:rPr>
                <w:rFonts w:ascii="微软雅黑" w:eastAsia="微软雅黑" w:hint="eastAsia"/>
                <w:b/>
                <w:spacing w:val="-106"/>
                <w:w w:val="100"/>
                <w:sz w:val="21"/>
              </w:rPr>
              <w:t>）。</w:t>
            </w:r>
          </w:p>
          <w:p>
            <w:pPr>
              <w:pStyle w:val="TableParagraph"/>
              <w:spacing w:line="206" w:lineRule="auto"/>
              <w:ind w:left="125" w:right="105"/>
              <w:rPr>
                <w:rFonts w:ascii="微软雅黑" w:eastAsia="微软雅黑" w:hint="eastAsia"/>
                <w:b/>
                <w:sz w:val="21"/>
              </w:rPr>
            </w:pPr>
            <w:r>
              <w:rPr>
                <w:rFonts w:ascii="微软雅黑" w:eastAsia="微软雅黑" w:hint="eastAsia"/>
                <w:b/>
                <w:spacing w:val="-7"/>
                <w:sz w:val="21"/>
              </w:rPr>
              <w:t>发生上述其他情形导致被保险人发生本合同约定的保险事故的，本合同效力即行终止，本公司向投保人退还本合同的现金价值。</w:t>
            </w:r>
          </w:p>
        </w:tc>
      </w:tr>
      <w:tr>
        <w:trPr>
          <w:trHeight w:val="678"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33333"/>
                <w:w w:val="119"/>
                <w:sz w:val="40"/>
              </w:rPr>
              <w:t></w:t>
            </w:r>
          </w:p>
        </w:tc>
        <w:tc>
          <w:tcPr>
            <w:tcW w:w="9322" w:type="dxa"/>
            <w:gridSpan w:val="2"/>
            <w:tcBorders>
              <w:bottom w:val="single" w:sz="8" w:space="0" w:color="000000"/>
            </w:tcBorders>
          </w:tcPr>
          <w:p>
            <w:pPr>
              <w:pStyle w:val="TableParagraph"/>
              <w:spacing w:before="91"/>
              <w:ind w:left="191"/>
              <w:rPr>
                <w:rFonts w:ascii="微软雅黑" w:eastAsia="微软雅黑" w:hint="eastAsia"/>
                <w:b/>
                <w:sz w:val="24"/>
              </w:rPr>
            </w:pPr>
            <w:r>
              <w:rPr>
                <w:rFonts w:ascii="微软雅黑" w:eastAsia="微软雅黑" w:hint="eastAsia"/>
                <w:b/>
                <w:sz w:val="24"/>
              </w:rPr>
              <w:t>保险金的申请与给付</w:t>
            </w:r>
          </w:p>
        </w:tc>
      </w:tr>
      <w:tr>
        <w:trPr>
          <w:trHeight w:val="576" w:hRule="atLeast"/>
        </w:trPr>
        <w:tc>
          <w:tcPr>
            <w:tcW w:w="659" w:type="dxa"/>
            <w:tcBorders>
              <w:top w:val="single" w:sz="8" w:space="0" w:color="000000"/>
            </w:tcBorders>
          </w:tcPr>
          <w:p>
            <w:pPr>
              <w:pStyle w:val="TableParagraph"/>
              <w:spacing w:before="56"/>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56"/>
              <w:ind w:left="191"/>
              <w:rPr>
                <w:rFonts w:ascii="微软雅黑" w:eastAsia="微软雅黑" w:hint="eastAsia"/>
                <w:b/>
                <w:sz w:val="21"/>
              </w:rPr>
            </w:pPr>
            <w:r>
              <w:rPr>
                <w:rFonts w:ascii="微软雅黑" w:eastAsia="微软雅黑" w:hint="eastAsia"/>
                <w:b/>
                <w:sz w:val="21"/>
              </w:rPr>
              <w:t>受益人</w:t>
            </w:r>
          </w:p>
        </w:tc>
        <w:tc>
          <w:tcPr>
            <w:tcW w:w="7315" w:type="dxa"/>
            <w:tcBorders>
              <w:top w:val="single" w:sz="8" w:space="0" w:color="000000"/>
            </w:tcBorders>
          </w:tcPr>
          <w:p>
            <w:pPr>
              <w:pStyle w:val="TableParagraph"/>
              <w:spacing w:before="118"/>
              <w:ind w:left="125"/>
              <w:rPr>
                <w:sz w:val="21"/>
              </w:rPr>
            </w:pPr>
            <w:r>
              <w:rPr>
                <w:sz w:val="21"/>
              </w:rPr>
              <w:t>除另有约定外，本合同重大疾病保险金的受益人为被保险人本人。</w:t>
            </w:r>
          </w:p>
        </w:tc>
      </w:tr>
      <w:tr>
        <w:trPr>
          <w:trHeight w:val="2077" w:hRule="atLeast"/>
        </w:trPr>
        <w:tc>
          <w:tcPr>
            <w:tcW w:w="659" w:type="dxa"/>
          </w:tcPr>
          <w:p>
            <w:pPr>
              <w:pStyle w:val="TableParagraph"/>
              <w:spacing w:before="41"/>
              <w:ind w:left="110"/>
              <w:rPr>
                <w:rFonts w:ascii="微软雅黑"/>
                <w:b/>
                <w:sz w:val="21"/>
              </w:rPr>
            </w:pPr>
            <w:r>
              <w:rPr>
                <w:rFonts w:ascii="微软雅黑"/>
                <w:b/>
                <w:sz w:val="21"/>
              </w:rPr>
              <w:t>3.2</w:t>
            </w:r>
          </w:p>
        </w:tc>
        <w:tc>
          <w:tcPr>
            <w:tcW w:w="2007" w:type="dxa"/>
          </w:tcPr>
          <w:p>
            <w:pPr>
              <w:pStyle w:val="TableParagraph"/>
              <w:spacing w:before="41"/>
              <w:ind w:left="191"/>
              <w:rPr>
                <w:rFonts w:ascii="微软雅黑" w:eastAsia="微软雅黑" w:hint="eastAsia"/>
                <w:b/>
                <w:sz w:val="21"/>
              </w:rPr>
            </w:pPr>
            <w:r>
              <w:rPr>
                <w:rFonts w:ascii="微软雅黑" w:eastAsia="微软雅黑" w:hint="eastAsia"/>
                <w:b/>
                <w:sz w:val="21"/>
              </w:rPr>
              <w:t>保险事故通知</w:t>
            </w:r>
          </w:p>
        </w:tc>
        <w:tc>
          <w:tcPr>
            <w:tcW w:w="7315" w:type="dxa"/>
          </w:tcPr>
          <w:p>
            <w:pPr>
              <w:pStyle w:val="TableParagraph"/>
              <w:spacing w:line="262" w:lineRule="exact" w:before="103"/>
              <w:ind w:left="125"/>
              <w:rPr>
                <w:sz w:val="21"/>
              </w:rPr>
            </w:pPr>
            <w:r>
              <w:rPr>
                <w:sz w:val="21"/>
              </w:rPr>
              <w:t>投保人或受益人知道保险事故后应当在 10 日内通知本公司。</w:t>
            </w:r>
          </w:p>
          <w:p>
            <w:pPr>
              <w:pStyle w:val="TableParagraph"/>
              <w:spacing w:line="206" w:lineRule="auto" w:before="37"/>
              <w:ind w:left="125" w:right="18"/>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14"/>
                <w:sz w:val="21"/>
              </w:rPr>
              <w:t>或者虽未及时通知但不影响本公司确定保险事故的性质、原因、损失程度的除外。</w:t>
            </w:r>
          </w:p>
        </w:tc>
      </w:tr>
      <w:tr>
        <w:trPr>
          <w:trHeight w:val="471" w:hRule="atLeast"/>
        </w:trPr>
        <w:tc>
          <w:tcPr>
            <w:tcW w:w="659" w:type="dxa"/>
          </w:tcPr>
          <w:p>
            <w:pPr>
              <w:pStyle w:val="TableParagraph"/>
              <w:spacing w:line="359" w:lineRule="exact"/>
              <w:ind w:left="110"/>
              <w:rPr>
                <w:rFonts w:ascii="微软雅黑"/>
                <w:b/>
                <w:sz w:val="21"/>
              </w:rPr>
            </w:pPr>
            <w:r>
              <w:rPr>
                <w:rFonts w:ascii="微软雅黑"/>
                <w:b/>
                <w:sz w:val="21"/>
              </w:rPr>
              <w:t>3.3</w:t>
            </w:r>
          </w:p>
        </w:tc>
        <w:tc>
          <w:tcPr>
            <w:tcW w:w="2007" w:type="dxa"/>
          </w:tcPr>
          <w:p>
            <w:pPr>
              <w:pStyle w:val="TableParagraph"/>
              <w:spacing w:line="359" w:lineRule="exact"/>
              <w:ind w:left="191"/>
              <w:rPr>
                <w:rFonts w:ascii="微软雅黑" w:eastAsia="微软雅黑" w:hint="eastAsia"/>
                <w:b/>
                <w:sz w:val="21"/>
              </w:rPr>
            </w:pPr>
            <w:r>
              <w:rPr>
                <w:rFonts w:ascii="微软雅黑" w:eastAsia="微软雅黑" w:hint="eastAsia"/>
                <w:b/>
                <w:sz w:val="21"/>
              </w:rPr>
              <w:t>保险金申请</w:t>
            </w:r>
          </w:p>
        </w:tc>
        <w:tc>
          <w:tcPr>
            <w:tcW w:w="7315" w:type="dxa"/>
          </w:tcPr>
          <w:p>
            <w:pPr>
              <w:pStyle w:val="TableParagraph"/>
              <w:spacing w:before="59"/>
              <w:ind w:left="125"/>
              <w:rPr>
                <w:sz w:val="21"/>
              </w:rPr>
            </w:pPr>
            <w:r>
              <w:rPr>
                <w:sz w:val="21"/>
              </w:rPr>
              <w:t>在申请保险金时，请按照下列方式办理：</w:t>
            </w:r>
          </w:p>
        </w:tc>
      </w:tr>
      <w:tr>
        <w:trPr>
          <w:trHeight w:val="2887" w:hRule="atLeast"/>
        </w:trPr>
        <w:tc>
          <w:tcPr>
            <w:tcW w:w="659" w:type="dxa"/>
          </w:tcPr>
          <w:p>
            <w:pPr>
              <w:pStyle w:val="TableParagraph"/>
              <w:ind w:left="0"/>
              <w:rPr>
                <w:rFonts w:ascii="Times New Roman"/>
                <w:sz w:val="20"/>
              </w:rPr>
            </w:pPr>
          </w:p>
        </w:tc>
        <w:tc>
          <w:tcPr>
            <w:tcW w:w="2007" w:type="dxa"/>
          </w:tcPr>
          <w:p>
            <w:pPr>
              <w:pStyle w:val="TableParagraph"/>
              <w:spacing w:line="206" w:lineRule="auto" w:before="46"/>
              <w:ind w:left="191" w:right="124"/>
              <w:rPr>
                <w:rFonts w:ascii="微软雅黑" w:eastAsia="微软雅黑" w:hint="eastAsia"/>
                <w:b/>
                <w:sz w:val="21"/>
              </w:rPr>
            </w:pPr>
            <w:r>
              <w:rPr>
                <w:rFonts w:ascii="微软雅黑" w:eastAsia="微软雅黑" w:hint="eastAsia"/>
                <w:b/>
                <w:sz w:val="21"/>
              </w:rPr>
              <w:t>重大疾病保险金申请</w:t>
            </w:r>
          </w:p>
        </w:tc>
        <w:tc>
          <w:tcPr>
            <w:tcW w:w="7315" w:type="dxa"/>
          </w:tcPr>
          <w:p>
            <w:pPr>
              <w:pStyle w:val="TableParagraph"/>
              <w:spacing w:before="58"/>
              <w:ind w:left="125"/>
              <w:rPr>
                <w:sz w:val="21"/>
              </w:rPr>
            </w:pPr>
            <w:r>
              <w:rPr>
                <w:sz w:val="21"/>
              </w:rPr>
              <w:t>由重大疾病保险金申请人填写保险金给付申请书，并提供下列证明和资料：</w:t>
            </w:r>
          </w:p>
          <w:p>
            <w:pPr>
              <w:pStyle w:val="TableParagraph"/>
              <w:spacing w:line="262" w:lineRule="exact" w:before="37"/>
              <w:ind w:left="125"/>
              <w:rPr>
                <w:sz w:val="21"/>
              </w:rPr>
            </w:pPr>
            <w:r>
              <w:rPr>
                <w:sz w:val="21"/>
              </w:rPr>
              <w:t>（1） 保险合同；</w:t>
            </w:r>
          </w:p>
          <w:p>
            <w:pPr>
              <w:pStyle w:val="TableParagraph"/>
              <w:spacing w:line="350" w:lineRule="exact"/>
              <w:ind w:left="125"/>
              <w:rPr>
                <w:sz w:val="21"/>
              </w:rPr>
            </w:pPr>
            <w:r>
              <w:rPr>
                <w:w w:val="100"/>
                <w:sz w:val="21"/>
              </w:rPr>
              <w:t>（2</w:t>
            </w:r>
            <w:r>
              <w:rPr>
                <w:spacing w:val="-3"/>
                <w:w w:val="100"/>
                <w:sz w:val="21"/>
              </w:rPr>
              <w:t>）</w:t>
            </w:r>
            <w:r>
              <w:rPr>
                <w:spacing w:val="-23"/>
                <w:w w:val="100"/>
                <w:sz w:val="21"/>
              </w:rPr>
              <w:t> 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w w:val="100"/>
                <w:sz w:val="21"/>
              </w:rPr>
              <w:t>7.</w:t>
            </w:r>
            <w:r>
              <w:rPr>
                <w:spacing w:val="-3"/>
                <w:w w:val="100"/>
                <w:sz w:val="21"/>
              </w:rPr>
              <w:t>2</w:t>
            </w:r>
            <w:r>
              <w:rPr>
                <w:w w:val="100"/>
                <w:sz w:val="21"/>
              </w:rPr>
              <w:t>0</w:t>
            </w:r>
            <w:r>
              <w:rPr>
                <w:spacing w:val="-106"/>
                <w:w w:val="100"/>
                <w:sz w:val="21"/>
              </w:rPr>
              <w:t>）</w:t>
            </w:r>
            <w:r>
              <w:rPr>
                <w:w w:val="100"/>
                <w:sz w:val="21"/>
              </w:rPr>
              <w:t>；</w:t>
            </w:r>
          </w:p>
          <w:p>
            <w:pPr>
              <w:pStyle w:val="TableParagraph"/>
              <w:spacing w:line="273" w:lineRule="auto" w:before="12"/>
              <w:ind w:left="654" w:right="353" w:hanging="529"/>
              <w:rPr>
                <w:sz w:val="21"/>
              </w:rPr>
            </w:pPr>
            <w:r>
              <w:rPr>
                <w:sz w:val="21"/>
              </w:rPr>
              <w:t>（3）</w:t>
            </w:r>
            <w:r>
              <w:rPr>
                <w:spacing w:val="-12"/>
                <w:sz w:val="21"/>
              </w:rPr>
              <w:t> 国家卫生行政部门认定的医疗机构出具的诊断证明</w:t>
            </w:r>
            <w:r>
              <w:rPr>
                <w:sz w:val="21"/>
              </w:rPr>
              <w:t>（</w:t>
            </w:r>
            <w:r>
              <w:rPr>
                <w:spacing w:val="-3"/>
                <w:sz w:val="21"/>
              </w:rPr>
              <w:t>含相关的诊断依据</w:t>
            </w:r>
            <w:r>
              <w:rPr>
                <w:spacing w:val="-106"/>
                <w:sz w:val="21"/>
              </w:rPr>
              <w:t>）</w:t>
            </w:r>
            <w:r>
              <w:rPr>
                <w:spacing w:val="-3"/>
                <w:sz w:val="21"/>
              </w:rPr>
              <w:t>、病历、住院及出院证明文件；</w:t>
            </w:r>
          </w:p>
          <w:p>
            <w:pPr>
              <w:pStyle w:val="TableParagraph"/>
              <w:spacing w:line="273" w:lineRule="auto" w:before="7"/>
              <w:ind w:left="125" w:right="103"/>
              <w:rPr>
                <w:sz w:val="21"/>
              </w:rPr>
            </w:pPr>
            <w:r>
              <w:rPr>
                <w:sz w:val="21"/>
              </w:rPr>
              <w:t>（4）</w:t>
            </w:r>
            <w:r>
              <w:rPr>
                <w:spacing w:val="-4"/>
                <w:sz w:val="21"/>
              </w:rPr>
              <w:t> 所能提供的与确认保险事故的性质、原因等有关的其他证明和资料。</w:t>
            </w:r>
            <w:r>
              <w:rPr>
                <w:spacing w:val="-3"/>
                <w:sz w:val="21"/>
              </w:rPr>
              <w:t>保险金作为被保险人遗产时，必须提供可证明合法继承权的相关权利文件。</w:t>
            </w:r>
            <w:r>
              <w:rPr>
                <w:spacing w:val="-8"/>
                <w:sz w:val="21"/>
              </w:rPr>
              <w:t>以上证明和资料不完整的，本公司将及时一次性通知申请人补充提供有关证明</w:t>
            </w:r>
            <w:r>
              <w:rPr>
                <w:spacing w:val="-6"/>
                <w:sz w:val="21"/>
              </w:rPr>
              <w:t>和资料。</w:t>
            </w:r>
          </w:p>
        </w:tc>
      </w:tr>
      <w:tr>
        <w:trPr>
          <w:trHeight w:val="3069" w:hRule="atLeast"/>
        </w:trPr>
        <w:tc>
          <w:tcPr>
            <w:tcW w:w="659" w:type="dxa"/>
          </w:tcPr>
          <w:p>
            <w:pPr>
              <w:pStyle w:val="TableParagraph"/>
              <w:spacing w:line="279" w:lineRule="exact"/>
              <w:ind w:left="110"/>
              <w:rPr>
                <w:rFonts w:ascii="微软雅黑"/>
                <w:b/>
                <w:sz w:val="21"/>
              </w:rPr>
            </w:pPr>
            <w:r>
              <w:rPr>
                <w:rFonts w:ascii="微软雅黑"/>
                <w:b/>
                <w:sz w:val="21"/>
              </w:rPr>
              <w:t>3.4</w:t>
            </w:r>
          </w:p>
        </w:tc>
        <w:tc>
          <w:tcPr>
            <w:tcW w:w="2007" w:type="dxa"/>
          </w:tcPr>
          <w:p>
            <w:pPr>
              <w:pStyle w:val="TableParagraph"/>
              <w:spacing w:line="279" w:lineRule="exact"/>
              <w:ind w:left="191"/>
              <w:rPr>
                <w:rFonts w:ascii="微软雅黑" w:eastAsia="微软雅黑" w:hint="eastAsia"/>
                <w:b/>
                <w:sz w:val="21"/>
              </w:rPr>
            </w:pPr>
            <w:r>
              <w:rPr>
                <w:rFonts w:ascii="微软雅黑" w:eastAsia="微软雅黑" w:hint="eastAsia"/>
                <w:b/>
                <w:sz w:val="21"/>
              </w:rPr>
              <w:t>保险金给付</w:t>
            </w:r>
          </w:p>
        </w:tc>
        <w:tc>
          <w:tcPr>
            <w:tcW w:w="7315" w:type="dxa"/>
          </w:tcPr>
          <w:p>
            <w:pPr>
              <w:pStyle w:val="TableParagraph"/>
              <w:spacing w:line="254" w:lineRule="exact"/>
              <w:ind w:left="125"/>
              <w:rPr>
                <w:sz w:val="21"/>
              </w:rPr>
            </w:pPr>
            <w:r>
              <w:rPr>
                <w:spacing w:val="-7"/>
                <w:sz w:val="21"/>
              </w:rPr>
              <w:t>本公司在收到保险金给付申请书及合同约定的证明和资料后，将在 </w:t>
            </w:r>
            <w:r>
              <w:rPr>
                <w:sz w:val="21"/>
              </w:rPr>
              <w:t>5</w:t>
            </w:r>
            <w:r>
              <w:rPr>
                <w:spacing w:val="-9"/>
                <w:sz w:val="21"/>
              </w:rPr>
              <w:t> 日内作出</w:t>
            </w:r>
          </w:p>
          <w:p>
            <w:pPr>
              <w:pStyle w:val="TableParagraph"/>
              <w:spacing w:before="37"/>
              <w:ind w:left="125"/>
              <w:rPr>
                <w:sz w:val="21"/>
              </w:rPr>
            </w:pPr>
            <w:r>
              <w:rPr>
                <w:sz w:val="21"/>
              </w:rPr>
              <w:t>核定；情形复杂的，在 30 日内作出核定。</w:t>
            </w:r>
          </w:p>
          <w:p>
            <w:pPr>
              <w:pStyle w:val="TableParagraph"/>
              <w:spacing w:line="273" w:lineRule="auto" w:before="37"/>
              <w:ind w:left="125" w:right="146"/>
              <w:rPr>
                <w:sz w:val="21"/>
              </w:rPr>
            </w:pPr>
            <w:r>
              <w:rPr>
                <w:spacing w:val="-5"/>
                <w:sz w:val="21"/>
              </w:rPr>
              <w:t>对属于保险责任的，本公司在与受益人达成给付保险金的协议后 </w:t>
            </w:r>
            <w:r>
              <w:rPr>
                <w:sz w:val="21"/>
              </w:rPr>
              <w:t>10</w:t>
            </w:r>
            <w:r>
              <w:rPr>
                <w:spacing w:val="-10"/>
                <w:sz w:val="21"/>
              </w:rPr>
              <w:t> 日内，履</w:t>
            </w:r>
            <w:r>
              <w:rPr>
                <w:spacing w:val="-5"/>
                <w:sz w:val="21"/>
              </w:rPr>
              <w:t>行给付保险金义务。</w:t>
            </w:r>
          </w:p>
          <w:p>
            <w:pPr>
              <w:pStyle w:val="TableParagraph"/>
              <w:spacing w:line="273" w:lineRule="auto" w:before="7"/>
              <w:ind w:left="125" w:right="103"/>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7"/>
              <w:ind w:left="125" w:right="103"/>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312" w:lineRule="exact" w:before="3"/>
              <w:ind w:left="125" w:right="45"/>
              <w:rPr>
                <w:sz w:val="21"/>
              </w:rPr>
            </w:pPr>
            <w:r>
              <w:rPr>
                <w:sz w:val="21"/>
              </w:rPr>
              <w:t>本公司在收到保险金给付申请书及有关证明和资料之日起 60 日内，对给付保险金的数额不能确定的，根据已有证明和资料可以确定的数额先予支付；本公</w:t>
            </w:r>
          </w:p>
        </w:tc>
      </w:tr>
    </w:tbl>
    <w:p>
      <w:pPr>
        <w:spacing w:after="0" w:line="312" w:lineRule="exact"/>
        <w:rPr>
          <w:sz w:val="21"/>
        </w:rPr>
        <w:sectPr>
          <w:pgSz w:w="11910" w:h="16840"/>
          <w:pgMar w:header="0" w:footer="375" w:top="132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6"/>
        <w:gridCol w:w="7313"/>
      </w:tblGrid>
      <w:tr>
        <w:trPr>
          <w:trHeight w:val="340" w:hRule="atLeast"/>
        </w:trPr>
        <w:tc>
          <w:tcPr>
            <w:tcW w:w="659" w:type="dxa"/>
          </w:tcPr>
          <w:p>
            <w:pPr>
              <w:pStyle w:val="TableParagraph"/>
              <w:ind w:left="0"/>
              <w:rPr>
                <w:rFonts w:ascii="Times New Roman"/>
                <w:sz w:val="20"/>
              </w:rPr>
            </w:pPr>
          </w:p>
        </w:tc>
        <w:tc>
          <w:tcPr>
            <w:tcW w:w="2006" w:type="dxa"/>
          </w:tcPr>
          <w:p>
            <w:pPr>
              <w:pStyle w:val="TableParagraph"/>
              <w:ind w:left="0"/>
              <w:rPr>
                <w:rFonts w:ascii="Times New Roman"/>
                <w:sz w:val="20"/>
              </w:rPr>
            </w:pPr>
          </w:p>
        </w:tc>
        <w:tc>
          <w:tcPr>
            <w:tcW w:w="7313" w:type="dxa"/>
          </w:tcPr>
          <w:p>
            <w:pPr>
              <w:pStyle w:val="TableParagraph"/>
              <w:spacing w:line="205" w:lineRule="exact"/>
              <w:ind w:left="126"/>
              <w:rPr>
                <w:sz w:val="21"/>
              </w:rPr>
            </w:pPr>
            <w:r>
              <w:rPr>
                <w:sz w:val="21"/>
              </w:rPr>
              <w:t>司最终确定给付保险金的数额后，将支付相应的差额。</w:t>
            </w:r>
          </w:p>
        </w:tc>
      </w:tr>
      <w:tr>
        <w:trPr>
          <w:trHeight w:val="808" w:hRule="atLeast"/>
        </w:trPr>
        <w:tc>
          <w:tcPr>
            <w:tcW w:w="659" w:type="dxa"/>
          </w:tcPr>
          <w:p>
            <w:pPr>
              <w:pStyle w:val="TableParagraph"/>
              <w:spacing w:line="360" w:lineRule="exact"/>
              <w:ind w:left="110"/>
              <w:rPr>
                <w:rFonts w:ascii="微软雅黑"/>
                <w:b/>
                <w:sz w:val="21"/>
              </w:rPr>
            </w:pPr>
            <w:r>
              <w:rPr>
                <w:rFonts w:ascii="微软雅黑"/>
                <w:b/>
                <w:sz w:val="21"/>
              </w:rPr>
              <w:t>3.5</w:t>
            </w:r>
          </w:p>
        </w:tc>
        <w:tc>
          <w:tcPr>
            <w:tcW w:w="2006"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诉讼时效</w:t>
            </w:r>
          </w:p>
        </w:tc>
        <w:tc>
          <w:tcPr>
            <w:tcW w:w="7313" w:type="dxa"/>
          </w:tcPr>
          <w:p>
            <w:pPr>
              <w:pStyle w:val="TableParagraph"/>
              <w:spacing w:line="273" w:lineRule="auto" w:before="59"/>
              <w:ind w:left="126" w:right="45"/>
              <w:rPr>
                <w:sz w:val="21"/>
              </w:rPr>
            </w:pPr>
            <w:r>
              <w:rPr>
                <w:sz w:val="21"/>
              </w:rPr>
              <w:t>受益人向本公司请求给付保险金的诉讼时效期间为二年，自其知道或者应当知道保险事故发生之日起计算。</w:t>
            </w:r>
          </w:p>
        </w:tc>
      </w:tr>
      <w:tr>
        <w:trPr>
          <w:trHeight w:val="582" w:hRule="atLeast"/>
        </w:trPr>
        <w:tc>
          <w:tcPr>
            <w:tcW w:w="659" w:type="dxa"/>
            <w:tcBorders>
              <w:bottom w:val="single" w:sz="8" w:space="0" w:color="000000"/>
            </w:tcBorders>
          </w:tcPr>
          <w:p>
            <w:pPr>
              <w:pStyle w:val="TableParagraph"/>
              <w:spacing w:line="450" w:lineRule="exact" w:before="112"/>
              <w:ind w:left="110"/>
              <w:rPr>
                <w:rFonts w:ascii="Arial" w:hAnsi="Arial"/>
                <w:b/>
                <w:sz w:val="40"/>
              </w:rPr>
            </w:pPr>
            <w:r>
              <w:rPr>
                <w:rFonts w:ascii="Arial" w:hAnsi="Arial"/>
                <w:b/>
                <w:color w:val="333333"/>
                <w:w w:val="119"/>
                <w:sz w:val="40"/>
              </w:rPr>
              <w:t></w:t>
            </w:r>
          </w:p>
        </w:tc>
        <w:tc>
          <w:tcPr>
            <w:tcW w:w="2006" w:type="dxa"/>
            <w:tcBorders>
              <w:bottom w:val="single" w:sz="8" w:space="0" w:color="000000"/>
            </w:tcBorders>
          </w:tcPr>
          <w:p>
            <w:pPr>
              <w:pStyle w:val="TableParagraph"/>
              <w:spacing w:before="44"/>
              <w:ind w:left="191"/>
              <w:rPr>
                <w:rFonts w:ascii="微软雅黑" w:eastAsia="微软雅黑" w:hint="eastAsia"/>
                <w:b/>
                <w:sz w:val="24"/>
              </w:rPr>
            </w:pPr>
            <w:r>
              <w:rPr>
                <w:rFonts w:ascii="微软雅黑" w:eastAsia="微软雅黑" w:hint="eastAsia"/>
                <w:b/>
                <w:sz w:val="24"/>
              </w:rPr>
              <w:t>保险费的交纳</w:t>
            </w:r>
          </w:p>
        </w:tc>
        <w:tc>
          <w:tcPr>
            <w:tcW w:w="7313" w:type="dxa"/>
            <w:tcBorders>
              <w:bottom w:val="single" w:sz="8" w:space="0" w:color="000000"/>
            </w:tcBorders>
          </w:tcPr>
          <w:p>
            <w:pPr>
              <w:pStyle w:val="TableParagraph"/>
              <w:ind w:left="0"/>
              <w:rPr>
                <w:rFonts w:ascii="Times New Roman"/>
                <w:sz w:val="20"/>
              </w:rPr>
            </w:pPr>
          </w:p>
        </w:tc>
      </w:tr>
      <w:tr>
        <w:trPr>
          <w:trHeight w:val="869"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4.1</w:t>
            </w:r>
          </w:p>
        </w:tc>
        <w:tc>
          <w:tcPr>
            <w:tcW w:w="2006"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保险费</w:t>
            </w:r>
          </w:p>
        </w:tc>
        <w:tc>
          <w:tcPr>
            <w:tcW w:w="7313" w:type="dxa"/>
            <w:tcBorders>
              <w:top w:val="single" w:sz="8" w:space="0" w:color="000000"/>
            </w:tcBorders>
          </w:tcPr>
          <w:p>
            <w:pPr>
              <w:pStyle w:val="TableParagraph"/>
              <w:spacing w:line="273" w:lineRule="auto" w:before="122"/>
              <w:ind w:left="126" w:right="33"/>
              <w:rPr>
                <w:sz w:val="21"/>
              </w:rPr>
            </w:pPr>
            <w:r>
              <w:rPr>
                <w:sz w:val="21"/>
              </w:rPr>
              <w:t>本合同的保险费由投保人与本公司在投保时约定并在保险单中载明。投保人须在投保时一次性支付整个保险期间的保险费。</w:t>
            </w:r>
          </w:p>
        </w:tc>
      </w:tr>
      <w:tr>
        <w:trPr>
          <w:trHeight w:val="670"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33333"/>
                <w:w w:val="119"/>
                <w:sz w:val="40"/>
              </w:rPr>
              <w:t></w:t>
            </w:r>
          </w:p>
        </w:tc>
        <w:tc>
          <w:tcPr>
            <w:tcW w:w="2006" w:type="dxa"/>
            <w:tcBorders>
              <w:bottom w:val="single" w:sz="8" w:space="0" w:color="000000"/>
            </w:tcBorders>
          </w:tcPr>
          <w:p>
            <w:pPr>
              <w:pStyle w:val="TableParagraph"/>
              <w:spacing w:before="87"/>
              <w:ind w:left="191"/>
              <w:rPr>
                <w:rFonts w:ascii="微软雅黑" w:eastAsia="微软雅黑" w:hint="eastAsia"/>
                <w:b/>
                <w:sz w:val="24"/>
              </w:rPr>
            </w:pPr>
            <w:r>
              <w:rPr>
                <w:rFonts w:ascii="微软雅黑" w:eastAsia="微软雅黑" w:hint="eastAsia"/>
                <w:b/>
                <w:sz w:val="24"/>
              </w:rPr>
              <w:t>保险合同解除</w:t>
            </w:r>
          </w:p>
        </w:tc>
        <w:tc>
          <w:tcPr>
            <w:tcW w:w="7313" w:type="dxa"/>
            <w:tcBorders>
              <w:bottom w:val="single" w:sz="8" w:space="0" w:color="000000"/>
            </w:tcBorders>
          </w:tcPr>
          <w:p>
            <w:pPr>
              <w:pStyle w:val="TableParagraph"/>
              <w:ind w:left="0"/>
              <w:rPr>
                <w:rFonts w:ascii="Times New Roman"/>
                <w:sz w:val="20"/>
              </w:rPr>
            </w:pPr>
          </w:p>
        </w:tc>
      </w:tr>
      <w:tr>
        <w:trPr>
          <w:trHeight w:val="2118"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5.1</w:t>
            </w:r>
          </w:p>
        </w:tc>
        <w:tc>
          <w:tcPr>
            <w:tcW w:w="2006"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合同解除</w:t>
            </w:r>
          </w:p>
        </w:tc>
        <w:tc>
          <w:tcPr>
            <w:tcW w:w="7313" w:type="dxa"/>
            <w:tcBorders>
              <w:top w:val="single" w:sz="8" w:space="0" w:color="000000"/>
            </w:tcBorders>
          </w:tcPr>
          <w:p>
            <w:pPr>
              <w:pStyle w:val="TableParagraph"/>
              <w:spacing w:before="123"/>
              <w:ind w:left="126"/>
              <w:rPr>
                <w:sz w:val="21"/>
              </w:rPr>
            </w:pPr>
            <w:r>
              <w:rPr>
                <w:sz w:val="21"/>
              </w:rPr>
              <w:t>如投保人申请解除本合同，请填写解除合同申请书并向本公司提供下列资料：</w:t>
            </w:r>
          </w:p>
          <w:p>
            <w:pPr>
              <w:pStyle w:val="TableParagraph"/>
              <w:spacing w:before="37"/>
              <w:ind w:left="126"/>
              <w:rPr>
                <w:sz w:val="21"/>
              </w:rPr>
            </w:pPr>
            <w:r>
              <w:rPr>
                <w:sz w:val="21"/>
              </w:rPr>
              <w:t>（1）保险合同或其他保险凭证；</w:t>
            </w:r>
          </w:p>
          <w:p>
            <w:pPr>
              <w:pStyle w:val="TableParagraph"/>
              <w:spacing w:before="37"/>
              <w:ind w:left="126"/>
              <w:rPr>
                <w:sz w:val="21"/>
              </w:rPr>
            </w:pPr>
            <w:r>
              <w:rPr>
                <w:sz w:val="21"/>
              </w:rPr>
              <w:t>（2）申请人的有效身份证件。</w:t>
            </w:r>
          </w:p>
          <w:p>
            <w:pPr>
              <w:pStyle w:val="TableParagraph"/>
              <w:spacing w:line="273" w:lineRule="auto" w:before="37"/>
              <w:ind w:left="126" w:right="100"/>
              <w:rPr>
                <w:sz w:val="21"/>
              </w:rPr>
            </w:pPr>
            <w:r>
              <w:rPr>
                <w:spacing w:val="-7"/>
                <w:sz w:val="21"/>
              </w:rPr>
              <w:t>自本公司收到解除合同申请书时起，本合同终止。本公司自收到解除合同申请</w:t>
            </w:r>
            <w:r>
              <w:rPr>
                <w:spacing w:val="-13"/>
                <w:sz w:val="21"/>
              </w:rPr>
              <w:t>书之日起 </w:t>
            </w:r>
            <w:r>
              <w:rPr>
                <w:sz w:val="21"/>
              </w:rPr>
              <w:t>30</w:t>
            </w:r>
            <w:r>
              <w:rPr>
                <w:spacing w:val="-8"/>
                <w:sz w:val="21"/>
              </w:rPr>
              <w:t> 日内向投保人退还保险单的现金价值。</w:t>
            </w:r>
          </w:p>
          <w:p>
            <w:pPr>
              <w:pStyle w:val="TableParagraph"/>
              <w:spacing w:line="308" w:lineRule="exact"/>
              <w:ind w:left="126"/>
              <w:rPr>
                <w:rFonts w:ascii="微软雅黑" w:eastAsia="微软雅黑" w:hint="eastAsia"/>
                <w:b/>
                <w:sz w:val="21"/>
              </w:rPr>
            </w:pPr>
            <w:r>
              <w:rPr>
                <w:rFonts w:ascii="微软雅黑" w:eastAsia="微软雅黑" w:hint="eastAsia"/>
                <w:b/>
                <w:sz w:val="21"/>
              </w:rPr>
              <w:t>投保人解除合同会遭受一定损失。</w:t>
            </w:r>
          </w:p>
        </w:tc>
      </w:tr>
      <w:tr>
        <w:trPr>
          <w:trHeight w:val="674" w:hRule="atLeast"/>
        </w:trPr>
        <w:tc>
          <w:tcPr>
            <w:tcW w:w="659" w:type="dxa"/>
            <w:tcBorders>
              <w:bottom w:val="single" w:sz="8" w:space="0" w:color="000000"/>
            </w:tcBorders>
          </w:tcPr>
          <w:p>
            <w:pPr>
              <w:pStyle w:val="TableParagraph"/>
              <w:spacing w:before="111"/>
              <w:ind w:left="110"/>
              <w:rPr>
                <w:rFonts w:ascii="Arial" w:hAnsi="Arial"/>
                <w:b/>
                <w:sz w:val="40"/>
              </w:rPr>
            </w:pPr>
            <w:r>
              <w:rPr>
                <w:rFonts w:ascii="Arial" w:hAnsi="Arial"/>
                <w:b/>
                <w:color w:val="333333"/>
                <w:w w:val="119"/>
                <w:sz w:val="40"/>
              </w:rPr>
              <w:t></w:t>
            </w:r>
          </w:p>
        </w:tc>
        <w:tc>
          <w:tcPr>
            <w:tcW w:w="9319" w:type="dxa"/>
            <w:gridSpan w:val="2"/>
            <w:tcBorders>
              <w:bottom w:val="single" w:sz="8" w:space="0" w:color="000000"/>
            </w:tcBorders>
          </w:tcPr>
          <w:p>
            <w:pPr>
              <w:pStyle w:val="TableParagraph"/>
              <w:spacing w:before="89"/>
              <w:ind w:left="191"/>
              <w:rPr>
                <w:rFonts w:ascii="微软雅黑" w:eastAsia="微软雅黑" w:hint="eastAsia"/>
                <w:b/>
                <w:sz w:val="24"/>
              </w:rPr>
            </w:pPr>
            <w:r>
              <w:rPr>
                <w:rFonts w:ascii="微软雅黑" w:eastAsia="微软雅黑" w:hint="eastAsia"/>
                <w:b/>
                <w:sz w:val="24"/>
              </w:rPr>
              <w:t>其他需要关注的事项</w:t>
            </w:r>
          </w:p>
        </w:tc>
      </w:tr>
      <w:tr>
        <w:trPr>
          <w:trHeight w:val="4901"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6.1</w:t>
            </w:r>
          </w:p>
        </w:tc>
        <w:tc>
          <w:tcPr>
            <w:tcW w:w="2006" w:type="dxa"/>
            <w:tcBorders>
              <w:top w:val="single" w:sz="8" w:space="0" w:color="000000"/>
            </w:tcBorders>
          </w:tcPr>
          <w:p>
            <w:pPr>
              <w:pStyle w:val="TableParagraph"/>
              <w:spacing w:before="57"/>
              <w:ind w:left="191"/>
              <w:rPr>
                <w:rFonts w:ascii="微软雅黑" w:eastAsia="微软雅黑" w:hint="eastAsia"/>
                <w:b/>
                <w:sz w:val="21"/>
              </w:rPr>
            </w:pPr>
            <w:r>
              <w:rPr>
                <w:rFonts w:ascii="微软雅黑" w:eastAsia="微软雅黑" w:hint="eastAsia"/>
                <w:b/>
                <w:sz w:val="21"/>
              </w:rPr>
              <w:t>如实告知</w:t>
            </w:r>
          </w:p>
        </w:tc>
        <w:tc>
          <w:tcPr>
            <w:tcW w:w="7313" w:type="dxa"/>
            <w:tcBorders>
              <w:top w:val="single" w:sz="8" w:space="0" w:color="000000"/>
            </w:tcBorders>
          </w:tcPr>
          <w:p>
            <w:pPr>
              <w:pStyle w:val="TableParagraph"/>
              <w:spacing w:before="120"/>
              <w:ind w:left="126"/>
              <w:rPr>
                <w:sz w:val="21"/>
              </w:rPr>
            </w:pPr>
            <w:r>
              <w:rPr>
                <w:sz w:val="21"/>
              </w:rPr>
              <w:t>订立本合同时，本公司应向投保人说明本合同的内容。</w:t>
            </w:r>
          </w:p>
          <w:p>
            <w:pPr>
              <w:pStyle w:val="TableParagraph"/>
              <w:spacing w:line="273" w:lineRule="auto" w:before="37"/>
              <w:ind w:left="126" w:right="100"/>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p>
            <w:pPr>
              <w:pStyle w:val="TableParagraph"/>
              <w:spacing w:line="283" w:lineRule="exact"/>
              <w:ind w:left="126"/>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6"/>
              <w:ind w:left="126" w:right="103"/>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如果投保人故意或者因重大过失未履行前款规定的如实告知义务，足以影响本公司决定是否同意承保或者提高保险费率的，本公司有权解除本合同。</w:t>
            </w:r>
          </w:p>
          <w:p>
            <w:pPr>
              <w:pStyle w:val="TableParagraph"/>
              <w:spacing w:line="206" w:lineRule="auto"/>
              <w:ind w:left="126" w:right="104"/>
              <w:rPr>
                <w:rFonts w:ascii="微软雅黑" w:eastAsia="微软雅黑" w:hint="eastAsia"/>
                <w:b/>
                <w:sz w:val="21"/>
              </w:rPr>
            </w:pPr>
            <w:r>
              <w:rPr>
                <w:rFonts w:ascii="微软雅黑" w:eastAsia="微软雅黑" w:hint="eastAsia"/>
                <w:b/>
                <w:spacing w:val="-7"/>
                <w:sz w:val="21"/>
              </w:rPr>
              <w:t>如果投保人故意不履行如实告知义务，对于本合同解除前发生的保险事故，本公司不承担给付保险金的责任，并不退还保险费。</w:t>
            </w:r>
          </w:p>
          <w:p>
            <w:pPr>
              <w:pStyle w:val="TableParagraph"/>
              <w:spacing w:line="206" w:lineRule="auto"/>
              <w:ind w:left="126" w:right="103"/>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w:t>
            </w:r>
            <w:r>
              <w:rPr>
                <w:rFonts w:ascii="微软雅黑" w:eastAsia="微软雅黑" w:hint="eastAsia"/>
                <w:b/>
                <w:spacing w:val="-10"/>
                <w:sz w:val="21"/>
              </w:rPr>
              <w:t>的，对于本合同解除前发生的保险事故，本公司不承担给付保险金的责任，但应当退还保险费。</w:t>
            </w:r>
          </w:p>
          <w:p>
            <w:pPr>
              <w:pStyle w:val="TableParagraph"/>
              <w:spacing w:line="273" w:lineRule="auto" w:before="11"/>
              <w:ind w:left="126" w:right="45"/>
              <w:rPr>
                <w:sz w:val="21"/>
              </w:rPr>
            </w:pPr>
            <w:r>
              <w:rPr>
                <w:sz w:val="21"/>
              </w:rPr>
              <w:t>本公司在合同订立时已经知道投保人未如实告知的情况的，本公司不得解除合同；发生保险事故的，本公司承担给付保险金的责任。</w:t>
            </w:r>
          </w:p>
        </w:tc>
      </w:tr>
      <w:tr>
        <w:trPr>
          <w:trHeight w:val="782" w:hRule="atLeast"/>
        </w:trPr>
        <w:tc>
          <w:tcPr>
            <w:tcW w:w="659" w:type="dxa"/>
          </w:tcPr>
          <w:p>
            <w:pPr>
              <w:pStyle w:val="TableParagraph"/>
              <w:spacing w:line="361" w:lineRule="exact"/>
              <w:ind w:left="110"/>
              <w:rPr>
                <w:rFonts w:ascii="微软雅黑"/>
                <w:b/>
                <w:sz w:val="21"/>
              </w:rPr>
            </w:pPr>
            <w:r>
              <w:rPr>
                <w:rFonts w:ascii="微软雅黑"/>
                <w:b/>
                <w:sz w:val="21"/>
              </w:rPr>
              <w:t>6.2</w:t>
            </w:r>
          </w:p>
        </w:tc>
        <w:tc>
          <w:tcPr>
            <w:tcW w:w="2006" w:type="dxa"/>
          </w:tcPr>
          <w:p>
            <w:pPr>
              <w:pStyle w:val="TableParagraph"/>
              <w:spacing w:line="206" w:lineRule="auto" w:before="49"/>
              <w:ind w:left="191" w:right="123"/>
              <w:rPr>
                <w:rFonts w:ascii="微软雅黑" w:eastAsia="微软雅黑" w:hint="eastAsia"/>
                <w:b/>
                <w:sz w:val="21"/>
              </w:rPr>
            </w:pPr>
            <w:r>
              <w:rPr>
                <w:rFonts w:ascii="微软雅黑" w:eastAsia="微软雅黑" w:hint="eastAsia"/>
                <w:b/>
                <w:sz w:val="21"/>
              </w:rPr>
              <w:t>本公司合同解除权的限制</w:t>
            </w:r>
          </w:p>
        </w:tc>
        <w:tc>
          <w:tcPr>
            <w:tcW w:w="7313" w:type="dxa"/>
          </w:tcPr>
          <w:p>
            <w:pPr>
              <w:pStyle w:val="TableParagraph"/>
              <w:spacing w:line="273" w:lineRule="auto" w:before="60"/>
              <w:ind w:left="126" w:right="143"/>
              <w:rPr>
                <w:sz w:val="21"/>
              </w:rPr>
            </w:pPr>
            <w:r>
              <w:rPr>
                <w:spacing w:val="-5"/>
                <w:sz w:val="21"/>
              </w:rPr>
              <w:t>前款规定的合同解除权，自本公司知道有解除事由之日起，超过 </w:t>
            </w:r>
            <w:r>
              <w:rPr>
                <w:sz w:val="21"/>
              </w:rPr>
              <w:t>30</w:t>
            </w:r>
            <w:r>
              <w:rPr>
                <w:spacing w:val="-10"/>
                <w:sz w:val="21"/>
              </w:rPr>
              <w:t> 日不行使</w:t>
            </w:r>
            <w:r>
              <w:rPr>
                <w:spacing w:val="-6"/>
                <w:sz w:val="21"/>
              </w:rPr>
              <w:t>而消灭。</w:t>
            </w:r>
          </w:p>
        </w:tc>
      </w:tr>
      <w:tr>
        <w:trPr>
          <w:trHeight w:val="2524" w:hRule="atLeast"/>
        </w:trPr>
        <w:tc>
          <w:tcPr>
            <w:tcW w:w="659" w:type="dxa"/>
          </w:tcPr>
          <w:p>
            <w:pPr>
              <w:pStyle w:val="TableParagraph"/>
              <w:spacing w:line="359" w:lineRule="exact"/>
              <w:ind w:left="110"/>
              <w:rPr>
                <w:rFonts w:ascii="微软雅黑"/>
                <w:b/>
                <w:sz w:val="21"/>
              </w:rPr>
            </w:pPr>
            <w:r>
              <w:rPr>
                <w:rFonts w:ascii="微软雅黑"/>
                <w:b/>
                <w:sz w:val="21"/>
              </w:rPr>
              <w:t>6.3</w:t>
            </w:r>
          </w:p>
        </w:tc>
        <w:tc>
          <w:tcPr>
            <w:tcW w:w="2006" w:type="dxa"/>
          </w:tcPr>
          <w:p>
            <w:pPr>
              <w:pStyle w:val="TableParagraph"/>
              <w:spacing w:line="206" w:lineRule="auto" w:before="46"/>
              <w:ind w:left="191" w:right="86"/>
              <w:rPr>
                <w:rFonts w:ascii="微软雅黑" w:eastAsia="微软雅黑" w:hint="eastAsia"/>
                <w:b/>
                <w:sz w:val="21"/>
              </w:rPr>
            </w:pPr>
            <w:r>
              <w:rPr>
                <w:rFonts w:ascii="微软雅黑" w:eastAsia="微软雅黑" w:hint="eastAsia"/>
                <w:b/>
                <w:sz w:val="21"/>
              </w:rPr>
              <w:t>年龄确定与错误处理</w:t>
            </w:r>
          </w:p>
        </w:tc>
        <w:tc>
          <w:tcPr>
            <w:tcW w:w="7313" w:type="dxa"/>
          </w:tcPr>
          <w:p>
            <w:pPr>
              <w:pStyle w:val="TableParagraph"/>
              <w:spacing w:line="273" w:lineRule="auto" w:before="58"/>
              <w:ind w:left="126" w:right="100"/>
              <w:jc w:val="both"/>
              <w:rPr>
                <w:sz w:val="21"/>
              </w:rPr>
            </w:pPr>
            <w:r>
              <w:rPr>
                <w:spacing w:val="-8"/>
                <w:sz w:val="21"/>
              </w:rPr>
              <w:t>被保险人的年龄以周岁计算，投保人在申请投保时，应将与法定有效身份证件</w:t>
            </w:r>
            <w:r>
              <w:rPr>
                <w:spacing w:val="-10"/>
                <w:sz w:val="21"/>
              </w:rPr>
              <w:t>相符的被保险人的出生日期、年龄在投保单上填明，如果发生错误按照下列方</w:t>
            </w:r>
            <w:r>
              <w:rPr>
                <w:spacing w:val="-6"/>
                <w:sz w:val="21"/>
              </w:rPr>
              <w:t>式办理：</w:t>
            </w:r>
          </w:p>
          <w:p>
            <w:pPr>
              <w:pStyle w:val="TableParagraph"/>
              <w:spacing w:line="206" w:lineRule="auto"/>
              <w:ind w:left="638" w:right="100" w:hanging="551"/>
              <w:rPr>
                <w:rFonts w:ascii="微软雅黑" w:eastAsia="微软雅黑" w:hint="eastAsia"/>
                <w:b/>
                <w:sz w:val="21"/>
              </w:rPr>
            </w:pPr>
            <w:r>
              <w:rPr>
                <w:rFonts w:ascii="微软雅黑" w:eastAsia="微软雅黑" w:hint="eastAsia"/>
                <w:b/>
                <w:sz w:val="21"/>
              </w:rPr>
              <w:t>（1） 投保人申报的被保险人年龄不真实，并且其真实年龄不符合本合同约定投保年龄限制的，本公司有权全部或部分解除本合同，并向投保人退还</w:t>
            </w:r>
          </w:p>
          <w:p>
            <w:pPr>
              <w:pStyle w:val="TableParagraph"/>
              <w:spacing w:line="312" w:lineRule="exact" w:before="11"/>
              <w:ind w:left="638" w:right="39"/>
              <w:rPr>
                <w:sz w:val="21"/>
              </w:rPr>
            </w:pPr>
            <w:r>
              <w:rPr>
                <w:rFonts w:ascii="微软雅黑" w:hAnsi="微软雅黑" w:eastAsia="微软雅黑" w:hint="eastAsia"/>
                <w:b/>
                <w:sz w:val="21"/>
              </w:rPr>
              <w:t>本合同的现金价值。</w:t>
            </w:r>
            <w:r>
              <w:rPr>
                <w:sz w:val="21"/>
              </w:rPr>
              <w:t>本公司行使合同解除权适用6.2“本公司合同解除权的限制”的规定。</w:t>
            </w:r>
          </w:p>
          <w:p>
            <w:pPr>
              <w:pStyle w:val="TableParagraph"/>
              <w:spacing w:line="261" w:lineRule="exact" w:before="3"/>
              <w:ind w:left="126"/>
              <w:jc w:val="both"/>
              <w:rPr>
                <w:sz w:val="21"/>
              </w:rPr>
            </w:pPr>
            <w:r>
              <w:rPr>
                <w:sz w:val="21"/>
              </w:rPr>
              <w:t>（2）投保人申报的被保险人年龄不真实，致使投保人实交保险费少于应交保</w:t>
            </w:r>
          </w:p>
        </w:tc>
      </w:tr>
    </w:tbl>
    <w:p>
      <w:pPr>
        <w:spacing w:after="0" w:line="261" w:lineRule="exact"/>
        <w:jc w:val="both"/>
        <w:rPr>
          <w:sz w:val="21"/>
        </w:rPr>
        <w:sectPr>
          <w:pgSz w:w="11910" w:h="16840"/>
          <w:pgMar w:header="0" w:footer="375" w:top="1340" w:bottom="560" w:left="860" w:right="860"/>
        </w:sectPr>
      </w:pPr>
    </w:p>
    <w:p>
      <w:pPr>
        <w:pStyle w:val="BodyText"/>
        <w:spacing w:line="273" w:lineRule="auto" w:before="10"/>
        <w:ind w:left="3420" w:right="34"/>
      </w:pPr>
      <w:r>
        <w:rPr/>
        <w:t>险费的，本公司有权更正并要求投保人补交保险费。若该被保险人已经发生保险事故，在给付保险金时按实交保险费和应交保险费的比例给付。</w:t>
      </w:r>
    </w:p>
    <w:p>
      <w:pPr>
        <w:pStyle w:val="BodyText"/>
        <w:spacing w:line="273" w:lineRule="auto" w:before="8"/>
        <w:ind w:left="3417" w:right="249" w:hanging="524"/>
      </w:pPr>
      <w:r>
        <w:rPr/>
        <w:t>（3）投保人申报的被保险人年龄不真实，致使投保人实交保险费多于应交保险费的，本公司会将多收的保险费无息退还给投保人。</w:t>
      </w:r>
    </w:p>
    <w:p>
      <w:pPr>
        <w:pStyle w:val="ListParagraph"/>
        <w:numPr>
          <w:ilvl w:val="1"/>
          <w:numId w:val="3"/>
        </w:numPr>
        <w:tabs>
          <w:tab w:pos="953" w:val="left" w:leader="none"/>
          <w:tab w:pos="2893" w:val="left" w:leader="none"/>
        </w:tabs>
        <w:spacing w:line="259" w:lineRule="auto" w:before="132" w:after="0"/>
        <w:ind w:left="2894" w:right="206" w:hanging="2682"/>
        <w:jc w:val="both"/>
        <w:rPr>
          <w:sz w:val="21"/>
        </w:rPr>
      </w:pPr>
      <w:r>
        <w:rPr>
          <w:rFonts w:ascii="微软雅黑" w:eastAsia="微软雅黑" w:hint="eastAsia"/>
          <w:b/>
          <w:sz w:val="21"/>
        </w:rPr>
        <w:t>合同内容变更</w:t>
        <w:tab/>
      </w:r>
      <w:r>
        <w:rPr>
          <w:sz w:val="21"/>
        </w:rPr>
        <w:t>投保</w:t>
      </w:r>
      <w:r>
        <w:rPr>
          <w:spacing w:val="-3"/>
          <w:sz w:val="21"/>
        </w:rPr>
        <w:t>人</w:t>
      </w:r>
      <w:r>
        <w:rPr>
          <w:sz w:val="21"/>
        </w:rPr>
        <w:t>和</w:t>
      </w:r>
      <w:r>
        <w:rPr>
          <w:spacing w:val="-3"/>
          <w:sz w:val="21"/>
        </w:rPr>
        <w:t>本</w:t>
      </w:r>
      <w:r>
        <w:rPr>
          <w:sz w:val="21"/>
        </w:rPr>
        <w:t>公</w:t>
      </w:r>
      <w:r>
        <w:rPr>
          <w:spacing w:val="-3"/>
          <w:sz w:val="21"/>
        </w:rPr>
        <w:t>司</w:t>
      </w:r>
      <w:r>
        <w:rPr>
          <w:sz w:val="21"/>
        </w:rPr>
        <w:t>可</w:t>
      </w:r>
      <w:r>
        <w:rPr>
          <w:spacing w:val="-3"/>
          <w:sz w:val="21"/>
        </w:rPr>
        <w:t>以</w:t>
      </w:r>
      <w:r>
        <w:rPr>
          <w:sz w:val="21"/>
        </w:rPr>
        <w:t>协</w:t>
      </w:r>
      <w:r>
        <w:rPr>
          <w:spacing w:val="-3"/>
          <w:sz w:val="21"/>
        </w:rPr>
        <w:t>商</w:t>
      </w:r>
      <w:r>
        <w:rPr>
          <w:sz w:val="21"/>
        </w:rPr>
        <w:t>变更</w:t>
      </w:r>
      <w:r>
        <w:rPr>
          <w:spacing w:val="-3"/>
          <w:sz w:val="21"/>
        </w:rPr>
        <w:t>本</w:t>
      </w:r>
      <w:r>
        <w:rPr>
          <w:sz w:val="21"/>
        </w:rPr>
        <w:t>合</w:t>
      </w:r>
      <w:r>
        <w:rPr>
          <w:spacing w:val="-3"/>
          <w:sz w:val="21"/>
        </w:rPr>
        <w:t>同</w:t>
      </w:r>
      <w:r>
        <w:rPr>
          <w:sz w:val="21"/>
        </w:rPr>
        <w:t>的</w:t>
      </w:r>
      <w:r>
        <w:rPr>
          <w:spacing w:val="-3"/>
          <w:sz w:val="21"/>
        </w:rPr>
        <w:t>内</w:t>
      </w:r>
      <w:r>
        <w:rPr>
          <w:sz w:val="21"/>
        </w:rPr>
        <w:t>容</w:t>
      </w:r>
      <w:r>
        <w:rPr>
          <w:spacing w:val="-34"/>
          <w:sz w:val="21"/>
        </w:rPr>
        <w:t>。</w:t>
      </w:r>
      <w:r>
        <w:rPr>
          <w:sz w:val="21"/>
        </w:rPr>
        <w:t>变</w:t>
      </w:r>
      <w:r>
        <w:rPr>
          <w:spacing w:val="-3"/>
          <w:sz w:val="21"/>
        </w:rPr>
        <w:t>更</w:t>
      </w:r>
      <w:r>
        <w:rPr>
          <w:sz w:val="21"/>
        </w:rPr>
        <w:t>本合</w:t>
      </w:r>
      <w:r>
        <w:rPr>
          <w:spacing w:val="-3"/>
          <w:sz w:val="21"/>
        </w:rPr>
        <w:t>同</w:t>
      </w:r>
      <w:r>
        <w:rPr>
          <w:sz w:val="21"/>
        </w:rPr>
        <w:t>的</w:t>
      </w:r>
      <w:r>
        <w:rPr>
          <w:spacing w:val="-34"/>
          <w:sz w:val="21"/>
        </w:rPr>
        <w:t>，</w:t>
      </w:r>
      <w:r>
        <w:rPr>
          <w:sz w:val="21"/>
        </w:rPr>
        <w:t>应</w:t>
      </w:r>
      <w:r>
        <w:rPr>
          <w:spacing w:val="-3"/>
          <w:sz w:val="21"/>
        </w:rPr>
        <w:t>当</w:t>
      </w:r>
      <w:r>
        <w:rPr>
          <w:sz w:val="21"/>
        </w:rPr>
        <w:t>由</w:t>
      </w:r>
      <w:r>
        <w:rPr>
          <w:spacing w:val="-3"/>
          <w:sz w:val="21"/>
        </w:rPr>
        <w:t>本</w:t>
      </w:r>
      <w:r>
        <w:rPr>
          <w:sz w:val="21"/>
        </w:rPr>
        <w:t>公</w:t>
      </w:r>
      <w:r>
        <w:rPr>
          <w:spacing w:val="-3"/>
          <w:sz w:val="21"/>
        </w:rPr>
        <w:t>司</w:t>
      </w:r>
      <w:r>
        <w:rPr>
          <w:sz w:val="21"/>
        </w:rPr>
        <w:t>在 保险</w:t>
      </w:r>
      <w:r>
        <w:rPr>
          <w:spacing w:val="-3"/>
          <w:sz w:val="21"/>
        </w:rPr>
        <w:t>单</w:t>
      </w:r>
      <w:r>
        <w:rPr>
          <w:sz w:val="21"/>
        </w:rPr>
        <w:t>或</w:t>
      </w:r>
      <w:r>
        <w:rPr>
          <w:spacing w:val="-3"/>
          <w:sz w:val="21"/>
        </w:rPr>
        <w:t>者</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上批</w:t>
      </w:r>
      <w:r>
        <w:rPr>
          <w:spacing w:val="-3"/>
          <w:sz w:val="21"/>
        </w:rPr>
        <w:t>注</w:t>
      </w:r>
      <w:r>
        <w:rPr>
          <w:sz w:val="21"/>
        </w:rPr>
        <w:t>或</w:t>
      </w:r>
      <w:r>
        <w:rPr>
          <w:spacing w:val="-3"/>
          <w:sz w:val="21"/>
        </w:rPr>
        <w:t>者</w:t>
      </w:r>
      <w:r>
        <w:rPr>
          <w:sz w:val="21"/>
        </w:rPr>
        <w:t>附</w:t>
      </w:r>
      <w:r>
        <w:rPr>
          <w:spacing w:val="-3"/>
          <w:sz w:val="21"/>
        </w:rPr>
        <w:t>贴</w:t>
      </w:r>
      <w:r>
        <w:rPr>
          <w:sz w:val="21"/>
        </w:rPr>
        <w:t>批</w:t>
      </w:r>
      <w:r>
        <w:rPr>
          <w:spacing w:val="-3"/>
          <w:sz w:val="21"/>
        </w:rPr>
        <w:t>单</w:t>
      </w:r>
      <w:r>
        <w:rPr>
          <w:spacing w:val="-63"/>
          <w:sz w:val="21"/>
        </w:rPr>
        <w:t>，</w:t>
      </w:r>
      <w:r>
        <w:rPr>
          <w:spacing w:val="-3"/>
          <w:sz w:val="21"/>
        </w:rPr>
        <w:t>或</w:t>
      </w:r>
      <w:r>
        <w:rPr>
          <w:sz w:val="21"/>
        </w:rPr>
        <w:t>者由</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订</w:t>
      </w:r>
      <w:r>
        <w:rPr>
          <w:spacing w:val="-3"/>
          <w:sz w:val="21"/>
        </w:rPr>
        <w:t>立</w:t>
      </w:r>
      <w:r>
        <w:rPr>
          <w:sz w:val="21"/>
        </w:rPr>
        <w:t>书面的</w:t>
      </w:r>
      <w:r>
        <w:rPr>
          <w:spacing w:val="-3"/>
          <w:sz w:val="21"/>
        </w:rPr>
        <w:t>变</w:t>
      </w:r>
      <w:r>
        <w:rPr>
          <w:sz w:val="21"/>
        </w:rPr>
        <w:t>更</w:t>
      </w:r>
      <w:r>
        <w:rPr>
          <w:spacing w:val="-3"/>
          <w:sz w:val="21"/>
        </w:rPr>
        <w:t>协</w:t>
      </w:r>
      <w:r>
        <w:rPr>
          <w:sz w:val="21"/>
        </w:rPr>
        <w:t>议。</w:t>
      </w:r>
    </w:p>
    <w:p>
      <w:pPr>
        <w:pStyle w:val="ListParagraph"/>
        <w:numPr>
          <w:ilvl w:val="1"/>
          <w:numId w:val="3"/>
        </w:numPr>
        <w:tabs>
          <w:tab w:pos="953" w:val="left" w:leader="none"/>
          <w:tab w:pos="2893" w:val="left" w:leader="none"/>
        </w:tabs>
        <w:spacing w:line="259" w:lineRule="auto" w:before="118" w:after="0"/>
        <w:ind w:left="2894" w:right="206" w:hanging="2682"/>
        <w:jc w:val="both"/>
        <w:rPr>
          <w:sz w:val="21"/>
        </w:rPr>
      </w:pPr>
      <w:r>
        <w:rPr>
          <w:rFonts w:ascii="微软雅黑" w:eastAsia="微软雅黑" w:hint="eastAsia"/>
          <w:b/>
          <w:sz w:val="21"/>
        </w:rPr>
        <w:t>地址变更</w:t>
        <w:tab/>
      </w:r>
      <w:r>
        <w:rPr>
          <w:sz w:val="21"/>
        </w:rPr>
        <w:t>投保</w:t>
      </w:r>
      <w:r>
        <w:rPr>
          <w:spacing w:val="-3"/>
          <w:sz w:val="21"/>
        </w:rPr>
        <w:t>人</w:t>
      </w:r>
      <w:r>
        <w:rPr>
          <w:sz w:val="21"/>
        </w:rPr>
        <w:t>住</w:t>
      </w:r>
      <w:r>
        <w:rPr>
          <w:spacing w:val="-3"/>
          <w:sz w:val="21"/>
        </w:rPr>
        <w:t>所</w:t>
      </w:r>
      <w:r>
        <w:rPr>
          <w:sz w:val="21"/>
        </w:rPr>
        <w:t>或</w:t>
      </w:r>
      <w:r>
        <w:rPr>
          <w:spacing w:val="-3"/>
          <w:sz w:val="21"/>
        </w:rPr>
        <w:t>通</w:t>
      </w:r>
      <w:r>
        <w:rPr>
          <w:sz w:val="21"/>
        </w:rPr>
        <w:t>讯</w:t>
      </w:r>
      <w:r>
        <w:rPr>
          <w:spacing w:val="-3"/>
          <w:sz w:val="21"/>
        </w:rPr>
        <w:t>地</w:t>
      </w:r>
      <w:r>
        <w:rPr>
          <w:sz w:val="21"/>
        </w:rPr>
        <w:t>址</w:t>
      </w:r>
      <w:r>
        <w:rPr>
          <w:spacing w:val="-3"/>
          <w:sz w:val="21"/>
        </w:rPr>
        <w:t>变</w:t>
      </w:r>
      <w:r>
        <w:rPr>
          <w:sz w:val="21"/>
        </w:rPr>
        <w:t>更</w:t>
      </w:r>
      <w:r>
        <w:rPr>
          <w:spacing w:val="-3"/>
          <w:sz w:val="21"/>
        </w:rPr>
        <w:t>时</w:t>
      </w:r>
      <w:r>
        <w:rPr>
          <w:spacing w:val="-60"/>
          <w:sz w:val="21"/>
        </w:rPr>
        <w:t>，</w:t>
      </w:r>
      <w:r>
        <w:rPr>
          <w:spacing w:val="-3"/>
          <w:sz w:val="21"/>
        </w:rPr>
        <w:t>应</w:t>
      </w:r>
      <w:r>
        <w:rPr>
          <w:sz w:val="21"/>
        </w:rPr>
        <w:t>及</w:t>
      </w:r>
      <w:r>
        <w:rPr>
          <w:spacing w:val="-3"/>
          <w:sz w:val="21"/>
        </w:rPr>
        <w:t>时</w:t>
      </w:r>
      <w:r>
        <w:rPr>
          <w:sz w:val="21"/>
        </w:rPr>
        <w:t>以</w:t>
      </w:r>
      <w:r>
        <w:rPr>
          <w:spacing w:val="-3"/>
          <w:sz w:val="21"/>
        </w:rPr>
        <w:t>书</w:t>
      </w:r>
      <w:r>
        <w:rPr>
          <w:sz w:val="21"/>
        </w:rPr>
        <w:t>面</w:t>
      </w:r>
      <w:r>
        <w:rPr>
          <w:spacing w:val="-3"/>
          <w:sz w:val="21"/>
        </w:rPr>
        <w:t>形式</w:t>
      </w:r>
      <w:r>
        <w:rPr>
          <w:sz w:val="21"/>
        </w:rPr>
        <w:t>或拨</w:t>
      </w:r>
      <w:r>
        <w:rPr>
          <w:spacing w:val="-3"/>
          <w:sz w:val="21"/>
        </w:rPr>
        <w:t>打</w:t>
      </w:r>
      <w:r>
        <w:rPr>
          <w:sz w:val="21"/>
        </w:rPr>
        <w:t>我</w:t>
      </w:r>
      <w:r>
        <w:rPr>
          <w:spacing w:val="-3"/>
          <w:sz w:val="21"/>
        </w:rPr>
        <w:t>司</w:t>
      </w:r>
      <w:r>
        <w:rPr>
          <w:sz w:val="21"/>
        </w:rPr>
        <w:t>客</w:t>
      </w:r>
      <w:r>
        <w:rPr>
          <w:spacing w:val="-3"/>
          <w:sz w:val="21"/>
        </w:rPr>
        <w:t>服</w:t>
      </w:r>
      <w:r>
        <w:rPr>
          <w:sz w:val="21"/>
        </w:rPr>
        <w:t>热</w:t>
      </w:r>
      <w:r>
        <w:rPr>
          <w:spacing w:val="-3"/>
          <w:sz w:val="21"/>
        </w:rPr>
        <w:t>线</w:t>
      </w:r>
      <w:r>
        <w:rPr>
          <w:sz w:val="21"/>
        </w:rPr>
        <w:t>通</w:t>
      </w:r>
      <w:r>
        <w:rPr>
          <w:spacing w:val="-3"/>
          <w:sz w:val="21"/>
        </w:rPr>
        <w:t>知</w:t>
      </w:r>
      <w:r>
        <w:rPr>
          <w:sz w:val="21"/>
        </w:rPr>
        <w:t>本 公司</w:t>
      </w:r>
      <w:r>
        <w:rPr>
          <w:spacing w:val="-34"/>
          <w:sz w:val="21"/>
        </w:rPr>
        <w:t>。</w:t>
      </w:r>
      <w:r>
        <w:rPr>
          <w:sz w:val="21"/>
        </w:rPr>
        <w:t>投</w:t>
      </w:r>
      <w:r>
        <w:rPr>
          <w:spacing w:val="-3"/>
          <w:sz w:val="21"/>
        </w:rPr>
        <w:t>保</w:t>
      </w:r>
      <w:r>
        <w:rPr>
          <w:sz w:val="21"/>
        </w:rPr>
        <w:t>人</w:t>
      </w:r>
      <w:r>
        <w:rPr>
          <w:spacing w:val="-3"/>
          <w:sz w:val="21"/>
        </w:rPr>
        <w:t>未</w:t>
      </w:r>
      <w:r>
        <w:rPr>
          <w:sz w:val="21"/>
        </w:rPr>
        <w:t>以</w:t>
      </w:r>
      <w:r>
        <w:rPr>
          <w:spacing w:val="-3"/>
          <w:sz w:val="21"/>
        </w:rPr>
        <w:t>书</w:t>
      </w:r>
      <w:r>
        <w:rPr>
          <w:sz w:val="21"/>
        </w:rPr>
        <w:t>面</w:t>
      </w:r>
      <w:r>
        <w:rPr>
          <w:spacing w:val="-3"/>
          <w:sz w:val="21"/>
        </w:rPr>
        <w:t>形</w:t>
      </w:r>
      <w:r>
        <w:rPr>
          <w:sz w:val="21"/>
        </w:rPr>
        <w:t>式或</w:t>
      </w:r>
      <w:r>
        <w:rPr>
          <w:spacing w:val="-3"/>
          <w:sz w:val="21"/>
        </w:rPr>
        <w:t>拨</w:t>
      </w:r>
      <w:r>
        <w:rPr>
          <w:sz w:val="21"/>
        </w:rPr>
        <w:t>打</w:t>
      </w:r>
      <w:r>
        <w:rPr>
          <w:spacing w:val="-3"/>
          <w:sz w:val="21"/>
        </w:rPr>
        <w:t>我</w:t>
      </w:r>
      <w:r>
        <w:rPr>
          <w:sz w:val="21"/>
        </w:rPr>
        <w:t>司</w:t>
      </w:r>
      <w:r>
        <w:rPr>
          <w:spacing w:val="-3"/>
          <w:sz w:val="21"/>
        </w:rPr>
        <w:t>客</w:t>
      </w:r>
      <w:r>
        <w:rPr>
          <w:sz w:val="21"/>
        </w:rPr>
        <w:t>服</w:t>
      </w:r>
      <w:r>
        <w:rPr>
          <w:spacing w:val="-3"/>
          <w:sz w:val="21"/>
        </w:rPr>
        <w:t>热</w:t>
      </w:r>
      <w:r>
        <w:rPr>
          <w:sz w:val="21"/>
        </w:rPr>
        <w:t>线</w:t>
      </w:r>
      <w:r>
        <w:rPr>
          <w:spacing w:val="-3"/>
          <w:sz w:val="21"/>
        </w:rPr>
        <w:t>通</w:t>
      </w:r>
      <w:r>
        <w:rPr>
          <w:sz w:val="21"/>
        </w:rPr>
        <w:t>知的</w:t>
      </w:r>
      <w:r>
        <w:rPr>
          <w:spacing w:val="-34"/>
          <w:sz w:val="21"/>
        </w:rPr>
        <w:t>，</w:t>
      </w:r>
      <w:r>
        <w:rPr>
          <w:sz w:val="21"/>
        </w:rPr>
        <w:t>本</w:t>
      </w:r>
      <w:r>
        <w:rPr>
          <w:spacing w:val="-3"/>
          <w:sz w:val="21"/>
        </w:rPr>
        <w:t>公</w:t>
      </w:r>
      <w:r>
        <w:rPr>
          <w:sz w:val="21"/>
        </w:rPr>
        <w:t>司</w:t>
      </w:r>
      <w:r>
        <w:rPr>
          <w:spacing w:val="-3"/>
          <w:sz w:val="21"/>
        </w:rPr>
        <w:t>将</w:t>
      </w:r>
      <w:r>
        <w:rPr>
          <w:sz w:val="21"/>
        </w:rPr>
        <w:t>按</w:t>
      </w:r>
      <w:r>
        <w:rPr>
          <w:spacing w:val="-3"/>
          <w:sz w:val="21"/>
        </w:rPr>
        <w:t>本</w:t>
      </w:r>
      <w:r>
        <w:rPr>
          <w:sz w:val="21"/>
        </w:rPr>
        <w:t>合</w:t>
      </w:r>
      <w:r>
        <w:rPr>
          <w:spacing w:val="-3"/>
          <w:sz w:val="21"/>
        </w:rPr>
        <w:t>同</w:t>
      </w:r>
      <w:r>
        <w:rPr>
          <w:sz w:val="21"/>
        </w:rPr>
        <w:t>载明的</w:t>
      </w:r>
      <w:r>
        <w:rPr>
          <w:spacing w:val="-3"/>
          <w:sz w:val="21"/>
        </w:rPr>
        <w:t>最</w:t>
      </w:r>
      <w:r>
        <w:rPr>
          <w:sz w:val="21"/>
        </w:rPr>
        <w:t>后</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发送</w:t>
      </w:r>
      <w:r>
        <w:rPr>
          <w:spacing w:val="-3"/>
          <w:sz w:val="21"/>
        </w:rPr>
        <w:t>有</w:t>
      </w:r>
      <w:r>
        <w:rPr>
          <w:sz w:val="21"/>
        </w:rPr>
        <w:t>关</w:t>
      </w:r>
      <w:r>
        <w:rPr>
          <w:spacing w:val="-3"/>
          <w:sz w:val="21"/>
        </w:rPr>
        <w:t>通</w:t>
      </w:r>
      <w:r>
        <w:rPr>
          <w:sz w:val="21"/>
        </w:rPr>
        <w:t>知</w:t>
      </w:r>
      <w:r>
        <w:rPr>
          <w:spacing w:val="-3"/>
          <w:sz w:val="21"/>
        </w:rPr>
        <w:t>，</w:t>
      </w:r>
      <w:r>
        <w:rPr>
          <w:sz w:val="21"/>
        </w:rPr>
        <w:t>并</w:t>
      </w:r>
      <w:r>
        <w:rPr>
          <w:spacing w:val="-3"/>
          <w:sz w:val="21"/>
        </w:rPr>
        <w:t>视</w:t>
      </w:r>
      <w:r>
        <w:rPr>
          <w:sz w:val="21"/>
        </w:rPr>
        <w:t>为</w:t>
      </w:r>
      <w:r>
        <w:rPr>
          <w:spacing w:val="-3"/>
          <w:sz w:val="21"/>
        </w:rPr>
        <w:t>已</w:t>
      </w:r>
      <w:r>
        <w:rPr>
          <w:sz w:val="21"/>
        </w:rPr>
        <w:t>送达</w:t>
      </w:r>
      <w:r>
        <w:rPr>
          <w:spacing w:val="-3"/>
          <w:sz w:val="21"/>
        </w:rPr>
        <w:t>给</w:t>
      </w:r>
      <w:r>
        <w:rPr>
          <w:sz w:val="21"/>
        </w:rPr>
        <w:t>投</w:t>
      </w:r>
      <w:r>
        <w:rPr>
          <w:spacing w:val="-3"/>
          <w:sz w:val="21"/>
        </w:rPr>
        <w:t>保</w:t>
      </w:r>
      <w:r>
        <w:rPr>
          <w:sz w:val="21"/>
        </w:rPr>
        <w:t>人。</w:t>
      </w:r>
    </w:p>
    <w:p>
      <w:pPr>
        <w:pStyle w:val="ListParagraph"/>
        <w:numPr>
          <w:ilvl w:val="1"/>
          <w:numId w:val="3"/>
        </w:numPr>
        <w:tabs>
          <w:tab w:pos="952" w:val="left" w:leader="none"/>
          <w:tab w:pos="953" w:val="left" w:leader="none"/>
          <w:tab w:pos="2893" w:val="left" w:leader="none"/>
        </w:tabs>
        <w:spacing w:line="240" w:lineRule="auto" w:before="117" w:after="0"/>
        <w:ind w:left="2894" w:right="0" w:hanging="2682"/>
        <w:jc w:val="left"/>
        <w:rPr>
          <w:sz w:val="21"/>
        </w:rPr>
      </w:pPr>
      <w:r>
        <w:rPr>
          <w:rFonts w:ascii="微软雅黑" w:eastAsia="微软雅黑" w:hint="eastAsia"/>
          <w:b/>
          <w:sz w:val="21"/>
        </w:rPr>
        <w:t>争议处理</w:t>
        <w:tab/>
      </w:r>
      <w:r>
        <w:rPr>
          <w:spacing w:val="-1"/>
          <w:sz w:val="21"/>
        </w:rPr>
        <w:t>本合</w:t>
      </w:r>
      <w:r>
        <w:rPr>
          <w:sz w:val="21"/>
        </w:rPr>
        <w:t>同争</w:t>
      </w:r>
      <w:r>
        <w:rPr>
          <w:spacing w:val="-3"/>
          <w:sz w:val="21"/>
        </w:rPr>
        <w:t>议</w:t>
      </w:r>
      <w:r>
        <w:rPr>
          <w:sz w:val="21"/>
        </w:rPr>
        <w:t>的</w:t>
      </w:r>
      <w:r>
        <w:rPr>
          <w:spacing w:val="-3"/>
          <w:sz w:val="21"/>
        </w:rPr>
        <w:t>解</w:t>
      </w:r>
      <w:r>
        <w:rPr>
          <w:sz w:val="21"/>
        </w:rPr>
        <w:t>决</w:t>
      </w:r>
      <w:r>
        <w:rPr>
          <w:spacing w:val="-3"/>
          <w:sz w:val="21"/>
        </w:rPr>
        <w:t>方</w:t>
      </w:r>
      <w:r>
        <w:rPr>
          <w:sz w:val="21"/>
        </w:rPr>
        <w:t>式</w:t>
      </w:r>
      <w:r>
        <w:rPr>
          <w:spacing w:val="-3"/>
          <w:sz w:val="21"/>
        </w:rPr>
        <w:t>，</w:t>
      </w:r>
      <w:r>
        <w:rPr>
          <w:sz w:val="21"/>
        </w:rPr>
        <w:t>由当</w:t>
      </w:r>
      <w:r>
        <w:rPr>
          <w:spacing w:val="-3"/>
          <w:sz w:val="21"/>
        </w:rPr>
        <w:t>事</w:t>
      </w:r>
      <w:r>
        <w:rPr>
          <w:sz w:val="21"/>
        </w:rPr>
        <w:t>人</w:t>
      </w:r>
      <w:r>
        <w:rPr>
          <w:spacing w:val="-3"/>
          <w:sz w:val="21"/>
        </w:rPr>
        <w:t>在</w:t>
      </w:r>
      <w:r>
        <w:rPr>
          <w:sz w:val="21"/>
        </w:rPr>
        <w:t>合</w:t>
      </w:r>
      <w:r>
        <w:rPr>
          <w:spacing w:val="-3"/>
          <w:sz w:val="21"/>
        </w:rPr>
        <w:t>同</w:t>
      </w:r>
      <w:r>
        <w:rPr>
          <w:sz w:val="21"/>
        </w:rPr>
        <w:t>中</w:t>
      </w:r>
      <w:r>
        <w:rPr>
          <w:spacing w:val="-3"/>
          <w:sz w:val="21"/>
        </w:rPr>
        <w:t>约</w:t>
      </w:r>
      <w:r>
        <w:rPr>
          <w:sz w:val="21"/>
        </w:rPr>
        <w:t>定</w:t>
      </w:r>
      <w:r>
        <w:rPr>
          <w:spacing w:val="-3"/>
          <w:sz w:val="21"/>
        </w:rPr>
        <w:t>从</w:t>
      </w:r>
      <w:r>
        <w:rPr>
          <w:sz w:val="21"/>
        </w:rPr>
        <w:t>下列</w:t>
      </w:r>
      <w:r>
        <w:rPr>
          <w:spacing w:val="-3"/>
          <w:sz w:val="21"/>
        </w:rPr>
        <w:t>两</w:t>
      </w:r>
      <w:r>
        <w:rPr>
          <w:sz w:val="21"/>
        </w:rPr>
        <w:t>种</w:t>
      </w:r>
      <w:r>
        <w:rPr>
          <w:spacing w:val="-3"/>
          <w:sz w:val="21"/>
        </w:rPr>
        <w:t>方</w:t>
      </w:r>
      <w:r>
        <w:rPr>
          <w:sz w:val="21"/>
        </w:rPr>
        <w:t>式</w:t>
      </w:r>
      <w:r>
        <w:rPr>
          <w:spacing w:val="-3"/>
          <w:sz w:val="21"/>
        </w:rPr>
        <w:t>中</w:t>
      </w:r>
      <w:r>
        <w:rPr>
          <w:sz w:val="21"/>
        </w:rPr>
        <w:t>选</w:t>
      </w:r>
      <w:r>
        <w:rPr>
          <w:spacing w:val="-3"/>
          <w:sz w:val="21"/>
        </w:rPr>
        <w:t>择一种</w:t>
      </w:r>
      <w:r>
        <w:rPr>
          <w:sz w:val="21"/>
        </w:rPr>
        <w:t>：</w:t>
      </w:r>
    </w:p>
    <w:p>
      <w:pPr>
        <w:pStyle w:val="BodyText"/>
        <w:tabs>
          <w:tab w:pos="10028" w:val="left" w:leader="none"/>
        </w:tabs>
        <w:spacing w:line="273" w:lineRule="auto" w:before="12"/>
        <w:ind w:left="3470" w:right="156" w:hanging="577"/>
      </w:pPr>
      <w:r>
        <w:rPr/>
        <w:t>（1）</w:t>
      </w:r>
      <w:r>
        <w:rPr>
          <w:spacing w:val="-22"/>
        </w:rPr>
        <w:t> </w:t>
      </w:r>
      <w:r>
        <w:rPr/>
        <w:t>因履</w:t>
      </w:r>
      <w:r>
        <w:rPr>
          <w:spacing w:val="-3"/>
        </w:rPr>
        <w:t>行</w:t>
      </w:r>
      <w:r>
        <w:rPr/>
        <w:t>本</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决，协</w:t>
      </w:r>
      <w:r>
        <w:rPr/>
        <w:t>商不</w:t>
      </w:r>
      <w:r>
        <w:rPr>
          <w:spacing w:val="-3"/>
        </w:rPr>
        <w:t>成</w:t>
      </w:r>
      <w:r>
        <w:rPr/>
        <w:t>的</w:t>
      </w:r>
      <w:r>
        <w:rPr>
          <w:spacing w:val="-5"/>
        </w:rPr>
        <w:t>，</w:t>
      </w:r>
      <w:r>
        <w:rPr/>
        <w:t>提</w:t>
      </w:r>
      <w:r>
        <w:rPr>
          <w:spacing w:val="-3"/>
        </w:rPr>
        <w:t>交</w:t>
      </w:r>
      <w:r>
        <w:rPr>
          <w:rFonts w:ascii="Times New Roman" w:eastAsia="Times New Roman"/>
          <w:w w:val="100"/>
          <w:u w:val="single"/>
        </w:rPr>
        <w:t> </w:t>
      </w:r>
      <w:r>
        <w:rPr>
          <w:rFonts w:ascii="Times New Roman" w:eastAsia="Times New Roman"/>
          <w:u w:val="single"/>
        </w:rPr>
        <w:tab/>
        <w:t>   </w:t>
      </w:r>
      <w:r>
        <w:rPr/>
        <w:t>仲裁</w:t>
      </w:r>
      <w:r>
        <w:rPr>
          <w:spacing w:val="-3"/>
        </w:rPr>
        <w:t>委</w:t>
      </w:r>
      <w:r>
        <w:rPr/>
        <w:t>员</w:t>
      </w:r>
      <w:r>
        <w:rPr>
          <w:spacing w:val="-3"/>
        </w:rPr>
        <w:t>会</w:t>
      </w:r>
      <w:r>
        <w:rPr/>
        <w:t>仲</w:t>
      </w:r>
      <w:r>
        <w:rPr>
          <w:spacing w:val="-3"/>
        </w:rPr>
        <w:t>裁</w:t>
      </w:r>
      <w:r>
        <w:rPr/>
        <w:t>；</w:t>
      </w:r>
    </w:p>
    <w:p>
      <w:pPr>
        <w:pStyle w:val="BodyText"/>
        <w:spacing w:line="273" w:lineRule="auto" w:before="8"/>
        <w:ind w:left="3470" w:right="204" w:hanging="577"/>
      </w:pPr>
      <w:r>
        <w:rPr/>
        <w:t>（2）</w:t>
      </w:r>
      <w:r>
        <w:rPr>
          <w:spacing w:val="-7"/>
        </w:rPr>
        <w:t> 因履行本合同发生的争议，由当事人协商解决，协商不成的，依法向人</w:t>
      </w:r>
      <w:r>
        <w:rPr>
          <w:spacing w:val="-5"/>
        </w:rPr>
        <w:t>民法院提起诉讼。</w:t>
      </w:r>
    </w:p>
    <w:p>
      <w:pPr>
        <w:pStyle w:val="BodyText"/>
        <w:spacing w:before="12"/>
        <w:rPr>
          <w:sz w:val="13"/>
        </w:rPr>
      </w:pPr>
    </w:p>
    <w:p>
      <w:pPr>
        <w:tabs>
          <w:tab w:pos="952" w:val="left" w:leader="none"/>
        </w:tabs>
        <w:spacing w:before="29"/>
        <w:ind w:left="212" w:right="0" w:firstLine="0"/>
        <w:jc w:val="left"/>
        <w:rPr>
          <w:rFonts w:ascii="微软雅黑" w:hAnsi="微软雅黑" w:eastAsia="微软雅黑" w:hint="eastAsia"/>
          <w:b/>
          <w:sz w:val="24"/>
        </w:rPr>
      </w:pPr>
      <w:r>
        <w:rPr/>
        <w:pict>
          <v:group style="position:absolute;margin-left:48.119999pt;margin-top:29.594765pt;width:498.95pt;height:1pt;mso-position-horizontal-relative:page;mso-position-vertical-relative:paragraph;z-index:1096;mso-wrap-distance-left:0;mso-wrap-distance-right:0" coordorigin="962,592" coordsize="9979,20">
            <v:line style="position:absolute" from="962,601" to="1702,601" stroked="true" strokeweight=".95999pt" strokecolor="#000000">
              <v:stroke dashstyle="solid"/>
            </v:line>
            <v:rect style="position:absolute;left:1702;top:591;width:20;height:20" filled="true" fillcolor="#000000" stroked="false">
              <v:fill type="solid"/>
            </v:rect>
            <v:line style="position:absolute" from="1721,601" to="3646,601" stroked="true" strokeweight=".95999pt" strokecolor="#000000">
              <v:stroke dashstyle="solid"/>
            </v:line>
            <v:rect style="position:absolute;left:3646;top:591;width:20;height:20" filled="true" fillcolor="#000000" stroked="false">
              <v:fill type="solid"/>
            </v:rect>
            <v:line style="position:absolute" from="3665,601" to="10941,601" stroked="true" strokeweight=".95999pt" strokecolor="#000000">
              <v:stroke dashstyle="solid"/>
            </v:line>
            <w10:wrap type="topAndBottom"/>
          </v:group>
        </w:pict>
      </w:r>
      <w:r>
        <w:rPr>
          <w:rFonts w:ascii="Arial" w:hAnsi="Arial" w:eastAsia="Arial"/>
          <w:b/>
          <w:color w:val="333333"/>
          <w:w w:val="110"/>
          <w:position w:val="-5"/>
          <w:sz w:val="40"/>
        </w:rPr>
        <w:t></w:t>
        <w:tab/>
      </w:r>
      <w:r>
        <w:rPr>
          <w:rFonts w:ascii="微软雅黑" w:hAnsi="微软雅黑" w:eastAsia="微软雅黑" w:hint="eastAsia"/>
          <w:b/>
          <w:sz w:val="24"/>
        </w:rPr>
        <w:t>释义</w:t>
      </w:r>
    </w:p>
    <w:p>
      <w:pPr>
        <w:pStyle w:val="ListParagraph"/>
        <w:numPr>
          <w:ilvl w:val="1"/>
          <w:numId w:val="4"/>
        </w:numPr>
        <w:tabs>
          <w:tab w:pos="952" w:val="left" w:leader="none"/>
          <w:tab w:pos="953" w:val="left" w:leader="none"/>
          <w:tab w:pos="2893" w:val="left" w:leader="none"/>
        </w:tabs>
        <w:spacing w:line="240" w:lineRule="auto" w:before="37" w:after="0"/>
        <w:ind w:left="2894" w:right="0" w:hanging="2682"/>
        <w:jc w:val="left"/>
        <w:rPr>
          <w:sz w:val="21"/>
        </w:rPr>
      </w:pPr>
      <w:r>
        <w:rPr>
          <w:rFonts w:ascii="微软雅黑" w:eastAsia="微软雅黑" w:hint="eastAsia"/>
          <w:b/>
          <w:sz w:val="21"/>
        </w:rPr>
        <w:t>本公司</w:t>
        <w:tab/>
      </w:r>
      <w:r>
        <w:rPr>
          <w:spacing w:val="-1"/>
          <w:sz w:val="21"/>
        </w:rPr>
        <w:t>指珠</w:t>
      </w:r>
      <w:r>
        <w:rPr>
          <w:sz w:val="21"/>
        </w:rPr>
        <w:t>江人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4"/>
        </w:numPr>
        <w:tabs>
          <w:tab w:pos="952" w:val="left" w:leader="none"/>
          <w:tab w:pos="953" w:val="left" w:leader="none"/>
          <w:tab w:pos="2893" w:val="left" w:leader="none"/>
        </w:tabs>
        <w:spacing w:line="247" w:lineRule="auto" w:before="108" w:after="0"/>
        <w:ind w:left="2894" w:right="206" w:hanging="2682"/>
        <w:jc w:val="left"/>
        <w:rPr>
          <w:sz w:val="21"/>
        </w:rPr>
      </w:pPr>
      <w:r>
        <w:rPr>
          <w:rFonts w:ascii="微软雅黑" w:eastAsia="微软雅黑" w:hint="eastAsia"/>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34"/>
          <w:sz w:val="21"/>
        </w:rPr>
        <w:t>，</w:t>
      </w:r>
      <w:r>
        <w:rPr>
          <w:sz w:val="21"/>
        </w:rPr>
        <w:t>每 经过</w:t>
      </w:r>
      <w:r>
        <w:rPr>
          <w:spacing w:val="-49"/>
          <w:sz w:val="21"/>
        </w:rPr>
        <w:t> </w:t>
      </w:r>
      <w:r>
        <w:rPr>
          <w:sz w:val="21"/>
        </w:rPr>
        <w:t>1</w:t>
      </w:r>
      <w:r>
        <w:rPr>
          <w:spacing w:val="-52"/>
          <w:sz w:val="21"/>
        </w:rPr>
        <w:t> </w:t>
      </w:r>
      <w:r>
        <w:rPr>
          <w:sz w:val="21"/>
        </w:rPr>
        <w:t>年</w:t>
      </w:r>
      <w:r>
        <w:rPr>
          <w:spacing w:val="-3"/>
          <w:sz w:val="21"/>
        </w:rPr>
        <w:t>增</w:t>
      </w:r>
      <w:r>
        <w:rPr>
          <w:sz w:val="21"/>
        </w:rPr>
        <w:t>加</w:t>
      </w:r>
      <w:r>
        <w:rPr>
          <w:spacing w:val="-50"/>
          <w:sz w:val="21"/>
        </w:rPr>
        <w:t> </w:t>
      </w:r>
      <w:r>
        <w:rPr>
          <w:sz w:val="21"/>
        </w:rPr>
        <w:t>1</w:t>
      </w:r>
      <w:r>
        <w:rPr>
          <w:spacing w:val="-52"/>
          <w:sz w:val="21"/>
        </w:rPr>
        <w:t> </w:t>
      </w:r>
      <w:r>
        <w:rPr>
          <w:sz w:val="21"/>
        </w:rPr>
        <w:t>周</w:t>
      </w:r>
      <w:r>
        <w:rPr>
          <w:spacing w:val="-3"/>
          <w:sz w:val="21"/>
        </w:rPr>
        <w:t>岁</w:t>
      </w:r>
      <w:r>
        <w:rPr>
          <w:sz w:val="21"/>
        </w:rPr>
        <w:t>，</w:t>
      </w:r>
      <w:r>
        <w:rPr>
          <w:spacing w:val="-3"/>
          <w:sz w:val="21"/>
        </w:rPr>
        <w:t>不</w:t>
      </w:r>
      <w:r>
        <w:rPr>
          <w:sz w:val="21"/>
        </w:rPr>
        <w:t>足</w:t>
      </w:r>
      <w:r>
        <w:rPr>
          <w:spacing w:val="-50"/>
          <w:sz w:val="21"/>
        </w:rPr>
        <w:t> </w:t>
      </w:r>
      <w:r>
        <w:rPr>
          <w:sz w:val="21"/>
        </w:rPr>
        <w:t>1</w:t>
      </w:r>
      <w:r>
        <w:rPr>
          <w:spacing w:val="-49"/>
          <w:sz w:val="21"/>
        </w:rPr>
        <w:t> </w:t>
      </w:r>
      <w:r>
        <w:rPr>
          <w:spacing w:val="-3"/>
          <w:sz w:val="21"/>
        </w:rPr>
        <w:t>年</w:t>
      </w:r>
      <w:r>
        <w:rPr>
          <w:sz w:val="21"/>
        </w:rPr>
        <w:t>的</w:t>
      </w:r>
      <w:r>
        <w:rPr>
          <w:spacing w:val="-3"/>
          <w:sz w:val="21"/>
        </w:rPr>
        <w:t>不</w:t>
      </w:r>
      <w:r>
        <w:rPr>
          <w:sz w:val="21"/>
        </w:rPr>
        <w:t>计。</w:t>
      </w:r>
    </w:p>
    <w:p>
      <w:pPr>
        <w:pStyle w:val="BodyText"/>
        <w:spacing w:before="12"/>
        <w:rPr>
          <w:sz w:val="13"/>
        </w:rPr>
      </w:pPr>
    </w:p>
    <w:p>
      <w:pPr>
        <w:pStyle w:val="ListParagraph"/>
        <w:numPr>
          <w:ilvl w:val="1"/>
          <w:numId w:val="4"/>
        </w:numPr>
        <w:tabs>
          <w:tab w:pos="952" w:val="left" w:leader="none"/>
          <w:tab w:pos="953" w:val="left" w:leader="none"/>
          <w:tab w:pos="2893" w:val="left" w:leader="none"/>
        </w:tabs>
        <w:spacing w:line="240" w:lineRule="auto" w:before="0" w:after="0"/>
        <w:ind w:left="2894" w:right="0" w:hanging="268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3"/>
        <w:rPr>
          <w:sz w:val="14"/>
        </w:rPr>
      </w:pPr>
    </w:p>
    <w:p>
      <w:pPr>
        <w:spacing w:after="0"/>
        <w:rPr>
          <w:sz w:val="14"/>
        </w:rPr>
        <w:sectPr>
          <w:pgSz w:w="11910" w:h="16840"/>
          <w:pgMar w:header="0" w:footer="375" w:top="1260" w:bottom="560" w:left="860" w:right="860"/>
        </w:sectPr>
      </w:pPr>
    </w:p>
    <w:p>
      <w:pPr>
        <w:pStyle w:val="Heading2"/>
        <w:numPr>
          <w:ilvl w:val="1"/>
          <w:numId w:val="4"/>
        </w:numPr>
        <w:tabs>
          <w:tab w:pos="952" w:val="left" w:leader="none"/>
          <w:tab w:pos="953" w:val="left" w:leader="none"/>
        </w:tabs>
        <w:spacing w:line="312" w:lineRule="exact" w:before="0" w:after="0"/>
        <w:ind w:left="2894" w:right="0" w:hanging="2682"/>
        <w:jc w:val="left"/>
      </w:pPr>
      <w:r>
        <w:rPr/>
        <w:t>本公司认可的医疗</w:t>
      </w:r>
    </w:p>
    <w:p>
      <w:pPr>
        <w:spacing w:line="337" w:lineRule="exact" w:before="0"/>
        <w:ind w:left="935"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211" w:right="249"/>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60" w:right="860"/>
          <w:cols w:num="2" w:equalWidth="0">
            <w:col w:w="2643" w:space="40"/>
            <w:col w:w="7507"/>
          </w:cols>
        </w:sectPr>
      </w:pPr>
    </w:p>
    <w:p>
      <w:pPr>
        <w:pStyle w:val="BodyText"/>
        <w:rPr>
          <w:sz w:val="10"/>
        </w:rPr>
      </w:pPr>
    </w:p>
    <w:p>
      <w:pPr>
        <w:spacing w:after="0"/>
        <w:rPr>
          <w:sz w:val="10"/>
        </w:rPr>
        <w:sectPr>
          <w:type w:val="continuous"/>
          <w:pgSz w:w="11910" w:h="16840"/>
          <w:pgMar w:top="1360" w:bottom="280" w:left="860" w:right="860"/>
        </w:sectPr>
      </w:pPr>
    </w:p>
    <w:p>
      <w:pPr>
        <w:pStyle w:val="Heading2"/>
        <w:numPr>
          <w:ilvl w:val="1"/>
          <w:numId w:val="4"/>
        </w:numPr>
        <w:tabs>
          <w:tab w:pos="952" w:val="left" w:leader="none"/>
          <w:tab w:pos="953" w:val="left" w:leader="none"/>
        </w:tabs>
        <w:spacing w:line="312" w:lineRule="exact" w:before="0" w:after="0"/>
        <w:ind w:left="2894" w:right="0" w:hanging="2682"/>
        <w:jc w:val="left"/>
      </w:pPr>
      <w:r>
        <w:rPr/>
        <w:t>本合同约定的重大</w:t>
      </w:r>
    </w:p>
    <w:p>
      <w:pPr>
        <w:spacing w:line="337" w:lineRule="exact" w:before="0"/>
        <w:ind w:left="935" w:right="1247" w:firstLine="0"/>
        <w:jc w:val="center"/>
        <w:rPr>
          <w:rFonts w:ascii="微软雅黑" w:eastAsia="微软雅黑" w:hint="eastAsia"/>
          <w:b/>
          <w:sz w:val="21"/>
        </w:rPr>
      </w:pPr>
      <w:r>
        <w:rPr>
          <w:rFonts w:ascii="微软雅黑" w:eastAsia="微软雅黑" w:hint="eastAsia"/>
          <w:b/>
          <w:sz w:val="21"/>
        </w:rPr>
        <w:t>疾病</w:t>
      </w:r>
    </w:p>
    <w:p>
      <w:pPr>
        <w:pStyle w:val="BodyText"/>
        <w:spacing w:line="273" w:lineRule="auto" w:before="37"/>
        <w:ind w:left="211" w:right="206"/>
        <w:jc w:val="both"/>
      </w:pPr>
      <w:r>
        <w:rPr/>
        <w:br w:type="column"/>
      </w:r>
      <w:r>
        <w:rPr>
          <w:spacing w:val="-6"/>
        </w:rPr>
        <w:t>本合同约定的重大疾病在本合同中有确定的含义，不仅包括部分一般意义上的</w:t>
      </w:r>
      <w:r>
        <w:rPr>
          <w:spacing w:val="-10"/>
        </w:rPr>
        <w:t>重大疾病，还包括某些重大手术，本合同所指的重大疾病可能与临床医学所指</w:t>
      </w:r>
      <w:r>
        <w:rPr>
          <w:spacing w:val="-9"/>
        </w:rPr>
        <w:t>的重大疾病在概念和范围上有所不同，本公司将在本合同重大疾病定义中详细</w:t>
      </w:r>
      <w:r>
        <w:rPr>
          <w:spacing w:val="-5"/>
        </w:rPr>
        <w:t>列明，投保人投保本合同即表明认可并遵从本合同中对重大疾病的定义。</w:t>
      </w:r>
    </w:p>
    <w:p>
      <w:pPr>
        <w:spacing w:after="0" w:line="273" w:lineRule="auto"/>
        <w:jc w:val="both"/>
        <w:sectPr>
          <w:type w:val="continuous"/>
          <w:pgSz w:w="11910" w:h="16840"/>
          <w:pgMar w:top="1360" w:bottom="280" w:left="860" w:right="860"/>
          <w:cols w:num="2" w:equalWidth="0">
            <w:col w:w="2643" w:space="40"/>
            <w:col w:w="7507"/>
          </w:cols>
        </w:sectPr>
      </w:pPr>
    </w:p>
    <w:p>
      <w:pPr>
        <w:pStyle w:val="BodyText"/>
        <w:spacing w:before="6"/>
        <w:rPr>
          <w:sz w:val="6"/>
        </w:rPr>
      </w:pPr>
    </w:p>
    <w:tbl>
      <w:tblPr>
        <w:tblW w:w="0" w:type="auto"/>
        <w:jc w:val="left"/>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3108"/>
        <w:gridCol w:w="409"/>
        <w:gridCol w:w="3188"/>
      </w:tblGrid>
      <w:tr>
        <w:trPr>
          <w:trHeight w:val="246" w:hRule="atLeast"/>
        </w:trPr>
        <w:tc>
          <w:tcPr>
            <w:tcW w:w="491" w:type="dxa"/>
          </w:tcPr>
          <w:p>
            <w:pPr>
              <w:pStyle w:val="TableParagraph"/>
              <w:spacing w:line="180" w:lineRule="exact"/>
              <w:ind w:left="200"/>
              <w:rPr>
                <w:sz w:val="18"/>
              </w:rPr>
            </w:pPr>
            <w:r>
              <w:rPr>
                <w:sz w:val="18"/>
              </w:rPr>
              <w:t>1</w:t>
            </w:r>
          </w:p>
        </w:tc>
        <w:tc>
          <w:tcPr>
            <w:tcW w:w="3108" w:type="dxa"/>
          </w:tcPr>
          <w:p>
            <w:pPr>
              <w:pStyle w:val="TableParagraph"/>
              <w:spacing w:line="180" w:lineRule="exact"/>
              <w:ind w:left="108"/>
              <w:rPr>
                <w:sz w:val="18"/>
              </w:rPr>
            </w:pPr>
            <w:r>
              <w:rPr>
                <w:sz w:val="18"/>
              </w:rPr>
              <w:t>恶性肿瘤</w:t>
            </w:r>
          </w:p>
        </w:tc>
        <w:tc>
          <w:tcPr>
            <w:tcW w:w="409" w:type="dxa"/>
          </w:tcPr>
          <w:p>
            <w:pPr>
              <w:pStyle w:val="TableParagraph"/>
              <w:spacing w:line="180" w:lineRule="exact"/>
              <w:ind w:left="98" w:right="89"/>
              <w:jc w:val="center"/>
              <w:rPr>
                <w:sz w:val="18"/>
              </w:rPr>
            </w:pPr>
            <w:r>
              <w:rPr>
                <w:sz w:val="18"/>
              </w:rPr>
              <w:t>26</w:t>
            </w:r>
          </w:p>
        </w:tc>
        <w:tc>
          <w:tcPr>
            <w:tcW w:w="3188" w:type="dxa"/>
          </w:tcPr>
          <w:p>
            <w:pPr>
              <w:pStyle w:val="TableParagraph"/>
              <w:spacing w:line="180" w:lineRule="exact"/>
              <w:ind w:left="105"/>
              <w:rPr>
                <w:sz w:val="18"/>
              </w:rPr>
            </w:pPr>
            <w:r>
              <w:rPr>
                <w:sz w:val="18"/>
              </w:rPr>
              <w:t>严重多发性硬化</w:t>
            </w:r>
          </w:p>
        </w:tc>
      </w:tr>
      <w:tr>
        <w:trPr>
          <w:trHeight w:val="311" w:hRule="atLeast"/>
        </w:trPr>
        <w:tc>
          <w:tcPr>
            <w:tcW w:w="491" w:type="dxa"/>
          </w:tcPr>
          <w:p>
            <w:pPr>
              <w:pStyle w:val="TableParagraph"/>
              <w:spacing w:before="10"/>
              <w:ind w:left="200"/>
              <w:rPr>
                <w:sz w:val="18"/>
              </w:rPr>
            </w:pPr>
            <w:r>
              <w:rPr>
                <w:sz w:val="18"/>
              </w:rPr>
              <w:t>2</w:t>
            </w:r>
          </w:p>
        </w:tc>
        <w:tc>
          <w:tcPr>
            <w:tcW w:w="3108" w:type="dxa"/>
          </w:tcPr>
          <w:p>
            <w:pPr>
              <w:pStyle w:val="TableParagraph"/>
              <w:spacing w:before="10"/>
              <w:ind w:left="108"/>
              <w:rPr>
                <w:sz w:val="18"/>
              </w:rPr>
            </w:pPr>
            <w:r>
              <w:rPr>
                <w:sz w:val="18"/>
              </w:rPr>
              <w:t>急性心肌梗塞</w:t>
            </w:r>
          </w:p>
        </w:tc>
        <w:tc>
          <w:tcPr>
            <w:tcW w:w="409" w:type="dxa"/>
          </w:tcPr>
          <w:p>
            <w:pPr>
              <w:pStyle w:val="TableParagraph"/>
              <w:spacing w:before="10"/>
              <w:ind w:left="98" w:right="89"/>
              <w:jc w:val="center"/>
              <w:rPr>
                <w:sz w:val="18"/>
              </w:rPr>
            </w:pPr>
            <w:r>
              <w:rPr>
                <w:sz w:val="18"/>
              </w:rPr>
              <w:t>27</w:t>
            </w:r>
          </w:p>
        </w:tc>
        <w:tc>
          <w:tcPr>
            <w:tcW w:w="3188" w:type="dxa"/>
          </w:tcPr>
          <w:p>
            <w:pPr>
              <w:pStyle w:val="TableParagraph"/>
              <w:spacing w:before="10"/>
              <w:ind w:left="105"/>
              <w:rPr>
                <w:sz w:val="18"/>
              </w:rPr>
            </w:pPr>
            <w:r>
              <w:rPr>
                <w:sz w:val="18"/>
              </w:rPr>
              <w:t>终末期肺病</w:t>
            </w:r>
          </w:p>
        </w:tc>
      </w:tr>
      <w:tr>
        <w:trPr>
          <w:trHeight w:val="309" w:hRule="atLeast"/>
        </w:trPr>
        <w:tc>
          <w:tcPr>
            <w:tcW w:w="491" w:type="dxa"/>
          </w:tcPr>
          <w:p>
            <w:pPr>
              <w:pStyle w:val="TableParagraph"/>
              <w:spacing w:before="10"/>
              <w:ind w:left="200"/>
              <w:rPr>
                <w:sz w:val="18"/>
              </w:rPr>
            </w:pPr>
            <w:r>
              <w:rPr>
                <w:sz w:val="18"/>
              </w:rPr>
              <w:t>3</w:t>
            </w:r>
          </w:p>
        </w:tc>
        <w:tc>
          <w:tcPr>
            <w:tcW w:w="3108" w:type="dxa"/>
          </w:tcPr>
          <w:p>
            <w:pPr>
              <w:pStyle w:val="TableParagraph"/>
              <w:spacing w:before="10"/>
              <w:ind w:left="108"/>
              <w:rPr>
                <w:sz w:val="18"/>
              </w:rPr>
            </w:pPr>
            <w:r>
              <w:rPr>
                <w:sz w:val="18"/>
              </w:rPr>
              <w:t>脑中风后遗症</w:t>
            </w:r>
          </w:p>
        </w:tc>
        <w:tc>
          <w:tcPr>
            <w:tcW w:w="409" w:type="dxa"/>
          </w:tcPr>
          <w:p>
            <w:pPr>
              <w:pStyle w:val="TableParagraph"/>
              <w:spacing w:before="10"/>
              <w:ind w:left="98" w:right="89"/>
              <w:jc w:val="center"/>
              <w:rPr>
                <w:sz w:val="18"/>
              </w:rPr>
            </w:pPr>
            <w:r>
              <w:rPr>
                <w:sz w:val="18"/>
              </w:rPr>
              <w:t>28</w:t>
            </w:r>
          </w:p>
        </w:tc>
        <w:tc>
          <w:tcPr>
            <w:tcW w:w="3188" w:type="dxa"/>
          </w:tcPr>
          <w:p>
            <w:pPr>
              <w:pStyle w:val="TableParagraph"/>
              <w:spacing w:before="10"/>
              <w:ind w:left="105"/>
              <w:rPr>
                <w:sz w:val="18"/>
              </w:rPr>
            </w:pPr>
            <w:r>
              <w:rPr>
                <w:sz w:val="18"/>
              </w:rPr>
              <w:t>颅脑手术</w:t>
            </w:r>
          </w:p>
        </w:tc>
      </w:tr>
      <w:tr>
        <w:trPr>
          <w:trHeight w:val="295" w:hRule="atLeast"/>
        </w:trPr>
        <w:tc>
          <w:tcPr>
            <w:tcW w:w="491" w:type="dxa"/>
          </w:tcPr>
          <w:p>
            <w:pPr>
              <w:pStyle w:val="TableParagraph"/>
              <w:spacing w:before="8"/>
              <w:ind w:left="200"/>
              <w:rPr>
                <w:sz w:val="18"/>
              </w:rPr>
            </w:pPr>
            <w:r>
              <w:rPr>
                <w:sz w:val="18"/>
              </w:rPr>
              <w:t>4</w:t>
            </w:r>
          </w:p>
        </w:tc>
        <w:tc>
          <w:tcPr>
            <w:tcW w:w="3108" w:type="dxa"/>
          </w:tcPr>
          <w:p>
            <w:pPr>
              <w:pStyle w:val="TableParagraph"/>
              <w:spacing w:before="8"/>
              <w:ind w:left="108"/>
              <w:rPr>
                <w:sz w:val="18"/>
              </w:rPr>
            </w:pPr>
            <w:r>
              <w:rPr>
                <w:sz w:val="18"/>
              </w:rPr>
              <w:t>重大器官移植术或造血干细胞移植术</w:t>
            </w:r>
          </w:p>
        </w:tc>
        <w:tc>
          <w:tcPr>
            <w:tcW w:w="409" w:type="dxa"/>
          </w:tcPr>
          <w:p>
            <w:pPr>
              <w:pStyle w:val="TableParagraph"/>
              <w:spacing w:before="8"/>
              <w:ind w:left="98" w:right="90"/>
              <w:jc w:val="center"/>
              <w:rPr>
                <w:sz w:val="18"/>
              </w:rPr>
            </w:pPr>
            <w:r>
              <w:rPr>
                <w:sz w:val="18"/>
              </w:rPr>
              <w:t>29</w:t>
            </w:r>
          </w:p>
        </w:tc>
        <w:tc>
          <w:tcPr>
            <w:tcW w:w="3188" w:type="dxa"/>
          </w:tcPr>
          <w:p>
            <w:pPr>
              <w:pStyle w:val="TableParagraph"/>
              <w:spacing w:before="8"/>
              <w:ind w:left="105"/>
              <w:rPr>
                <w:sz w:val="18"/>
              </w:rPr>
            </w:pPr>
            <w:r>
              <w:rPr>
                <w:sz w:val="18"/>
              </w:rPr>
              <w:t>严重Ｉ型糖尿病</w:t>
            </w:r>
          </w:p>
        </w:tc>
      </w:tr>
      <w:tr>
        <w:trPr>
          <w:trHeight w:val="283" w:hRule="atLeast"/>
        </w:trPr>
        <w:tc>
          <w:tcPr>
            <w:tcW w:w="491" w:type="dxa"/>
          </w:tcPr>
          <w:p>
            <w:pPr>
              <w:pStyle w:val="TableParagraph"/>
              <w:spacing w:line="232" w:lineRule="exact"/>
              <w:ind w:left="200"/>
              <w:rPr>
                <w:sz w:val="18"/>
              </w:rPr>
            </w:pPr>
            <w:r>
              <w:rPr>
                <w:sz w:val="18"/>
              </w:rPr>
              <w:t>5</w:t>
            </w:r>
          </w:p>
        </w:tc>
        <w:tc>
          <w:tcPr>
            <w:tcW w:w="3108" w:type="dxa"/>
          </w:tcPr>
          <w:p>
            <w:pPr>
              <w:pStyle w:val="TableParagraph"/>
              <w:spacing w:line="232" w:lineRule="exact"/>
              <w:ind w:left="108"/>
              <w:rPr>
                <w:sz w:val="18"/>
              </w:rPr>
            </w:pPr>
            <w:r>
              <w:rPr>
                <w:sz w:val="18"/>
              </w:rPr>
              <w:t>冠状动脉搭桥术</w:t>
            </w:r>
          </w:p>
        </w:tc>
        <w:tc>
          <w:tcPr>
            <w:tcW w:w="409" w:type="dxa"/>
          </w:tcPr>
          <w:p>
            <w:pPr>
              <w:pStyle w:val="TableParagraph"/>
              <w:spacing w:line="232" w:lineRule="exact"/>
              <w:ind w:left="98" w:right="89"/>
              <w:jc w:val="center"/>
              <w:rPr>
                <w:sz w:val="18"/>
              </w:rPr>
            </w:pPr>
            <w:r>
              <w:rPr>
                <w:sz w:val="18"/>
              </w:rPr>
              <w:t>30</w:t>
            </w:r>
          </w:p>
        </w:tc>
        <w:tc>
          <w:tcPr>
            <w:tcW w:w="3188" w:type="dxa"/>
          </w:tcPr>
          <w:p>
            <w:pPr>
              <w:pStyle w:val="TableParagraph"/>
              <w:spacing w:line="232" w:lineRule="exact"/>
              <w:ind w:left="105"/>
              <w:rPr>
                <w:sz w:val="18"/>
              </w:rPr>
            </w:pPr>
            <w:r>
              <w:rPr>
                <w:sz w:val="18"/>
              </w:rPr>
              <w:t>严重类风湿性关节炎</w:t>
            </w:r>
          </w:p>
        </w:tc>
      </w:tr>
      <w:tr>
        <w:trPr>
          <w:trHeight w:val="281" w:hRule="atLeast"/>
        </w:trPr>
        <w:tc>
          <w:tcPr>
            <w:tcW w:w="491" w:type="dxa"/>
          </w:tcPr>
          <w:p>
            <w:pPr>
              <w:pStyle w:val="TableParagraph"/>
              <w:ind w:left="0"/>
              <w:rPr>
                <w:rFonts w:ascii="Times New Roman"/>
                <w:sz w:val="20"/>
              </w:rPr>
            </w:pPr>
          </w:p>
        </w:tc>
        <w:tc>
          <w:tcPr>
            <w:tcW w:w="3108" w:type="dxa"/>
          </w:tcPr>
          <w:p>
            <w:pPr>
              <w:pStyle w:val="TableParagraph"/>
              <w:spacing w:line="232" w:lineRule="exact"/>
              <w:ind w:left="108"/>
              <w:rPr>
                <w:sz w:val="18"/>
              </w:rPr>
            </w:pPr>
            <w:r>
              <w:rPr>
                <w:sz w:val="18"/>
              </w:rPr>
              <w:t>（或称冠状动脉旁路移植术）</w:t>
            </w:r>
          </w:p>
        </w:tc>
        <w:tc>
          <w:tcPr>
            <w:tcW w:w="409" w:type="dxa"/>
          </w:tcPr>
          <w:p>
            <w:pPr>
              <w:pStyle w:val="TableParagraph"/>
              <w:spacing w:line="232" w:lineRule="exact"/>
              <w:ind w:left="98" w:right="89"/>
              <w:jc w:val="center"/>
              <w:rPr>
                <w:sz w:val="18"/>
              </w:rPr>
            </w:pPr>
            <w:r>
              <w:rPr>
                <w:sz w:val="18"/>
              </w:rPr>
              <w:t>31</w:t>
            </w:r>
          </w:p>
        </w:tc>
        <w:tc>
          <w:tcPr>
            <w:tcW w:w="3188" w:type="dxa"/>
          </w:tcPr>
          <w:p>
            <w:pPr>
              <w:pStyle w:val="TableParagraph"/>
              <w:spacing w:line="232" w:lineRule="exact"/>
              <w:ind w:left="105"/>
              <w:rPr>
                <w:sz w:val="18"/>
              </w:rPr>
            </w:pPr>
            <w:r>
              <w:rPr>
                <w:sz w:val="18"/>
              </w:rPr>
              <w:t>急性出血坏死性胰腺炎开腹手术</w:t>
            </w:r>
          </w:p>
        </w:tc>
      </w:tr>
      <w:tr>
        <w:trPr>
          <w:trHeight w:val="281" w:hRule="atLeast"/>
        </w:trPr>
        <w:tc>
          <w:tcPr>
            <w:tcW w:w="491" w:type="dxa"/>
          </w:tcPr>
          <w:p>
            <w:pPr>
              <w:pStyle w:val="TableParagraph"/>
              <w:spacing w:line="230" w:lineRule="exact"/>
              <w:ind w:left="200"/>
              <w:rPr>
                <w:sz w:val="18"/>
              </w:rPr>
            </w:pPr>
            <w:r>
              <w:rPr>
                <w:sz w:val="18"/>
              </w:rPr>
              <w:t>6</w:t>
            </w:r>
          </w:p>
        </w:tc>
        <w:tc>
          <w:tcPr>
            <w:tcW w:w="3108" w:type="dxa"/>
          </w:tcPr>
          <w:p>
            <w:pPr>
              <w:pStyle w:val="TableParagraph"/>
              <w:spacing w:line="230" w:lineRule="exact"/>
              <w:ind w:left="108"/>
              <w:rPr>
                <w:sz w:val="18"/>
              </w:rPr>
            </w:pPr>
            <w:r>
              <w:rPr>
                <w:sz w:val="18"/>
              </w:rPr>
              <w:t>终末期肾病</w:t>
            </w:r>
          </w:p>
        </w:tc>
        <w:tc>
          <w:tcPr>
            <w:tcW w:w="409" w:type="dxa"/>
          </w:tcPr>
          <w:p>
            <w:pPr>
              <w:pStyle w:val="TableParagraph"/>
              <w:spacing w:line="230" w:lineRule="exact"/>
              <w:ind w:left="98" w:right="89"/>
              <w:jc w:val="center"/>
              <w:rPr>
                <w:sz w:val="18"/>
              </w:rPr>
            </w:pPr>
            <w:r>
              <w:rPr>
                <w:sz w:val="18"/>
              </w:rPr>
              <w:t>32</w:t>
            </w:r>
          </w:p>
        </w:tc>
        <w:tc>
          <w:tcPr>
            <w:tcW w:w="3188" w:type="dxa"/>
          </w:tcPr>
          <w:p>
            <w:pPr>
              <w:pStyle w:val="TableParagraph"/>
              <w:spacing w:line="230" w:lineRule="exact"/>
              <w:ind w:left="105"/>
              <w:rPr>
                <w:sz w:val="18"/>
              </w:rPr>
            </w:pPr>
            <w:r>
              <w:rPr>
                <w:sz w:val="18"/>
              </w:rPr>
              <w:t>侵蚀性葡萄胎（或称恶性葡萄胎）</w:t>
            </w:r>
          </w:p>
        </w:tc>
      </w:tr>
      <w:tr>
        <w:trPr>
          <w:trHeight w:val="283" w:hRule="atLeast"/>
        </w:trPr>
        <w:tc>
          <w:tcPr>
            <w:tcW w:w="491" w:type="dxa"/>
          </w:tcPr>
          <w:p>
            <w:pPr>
              <w:pStyle w:val="TableParagraph"/>
              <w:ind w:left="0"/>
              <w:rPr>
                <w:rFonts w:ascii="Times New Roman"/>
                <w:sz w:val="20"/>
              </w:rPr>
            </w:pPr>
          </w:p>
        </w:tc>
        <w:tc>
          <w:tcPr>
            <w:tcW w:w="3108" w:type="dxa"/>
          </w:tcPr>
          <w:p>
            <w:pPr>
              <w:pStyle w:val="TableParagraph"/>
              <w:spacing w:line="232" w:lineRule="exact"/>
              <w:ind w:left="108"/>
              <w:rPr>
                <w:sz w:val="18"/>
              </w:rPr>
            </w:pPr>
            <w:r>
              <w:rPr>
                <w:sz w:val="18"/>
              </w:rPr>
              <w:t>（或称慢性肾功能衰竭尿毒症期）</w:t>
            </w:r>
          </w:p>
        </w:tc>
        <w:tc>
          <w:tcPr>
            <w:tcW w:w="409" w:type="dxa"/>
          </w:tcPr>
          <w:p>
            <w:pPr>
              <w:pStyle w:val="TableParagraph"/>
              <w:spacing w:line="232" w:lineRule="exact"/>
              <w:ind w:left="98" w:right="89"/>
              <w:jc w:val="center"/>
              <w:rPr>
                <w:sz w:val="18"/>
              </w:rPr>
            </w:pPr>
            <w:r>
              <w:rPr>
                <w:sz w:val="18"/>
              </w:rPr>
              <w:t>33</w:t>
            </w:r>
          </w:p>
        </w:tc>
        <w:tc>
          <w:tcPr>
            <w:tcW w:w="3188" w:type="dxa"/>
          </w:tcPr>
          <w:p>
            <w:pPr>
              <w:pStyle w:val="TableParagraph"/>
              <w:spacing w:line="232" w:lineRule="exact"/>
              <w:ind w:left="105"/>
              <w:rPr>
                <w:sz w:val="18"/>
              </w:rPr>
            </w:pPr>
            <w:r>
              <w:rPr>
                <w:sz w:val="18"/>
              </w:rPr>
              <w:t>经输血导致的感染艾滋病病毒或者患</w:t>
            </w:r>
          </w:p>
        </w:tc>
      </w:tr>
      <w:tr>
        <w:trPr>
          <w:trHeight w:val="283" w:hRule="atLeast"/>
        </w:trPr>
        <w:tc>
          <w:tcPr>
            <w:tcW w:w="491" w:type="dxa"/>
          </w:tcPr>
          <w:p>
            <w:pPr>
              <w:pStyle w:val="TableParagraph"/>
              <w:spacing w:line="232" w:lineRule="exact"/>
              <w:ind w:left="200"/>
              <w:rPr>
                <w:sz w:val="18"/>
              </w:rPr>
            </w:pPr>
            <w:r>
              <w:rPr>
                <w:sz w:val="18"/>
              </w:rPr>
              <w:t>7</w:t>
            </w:r>
          </w:p>
        </w:tc>
        <w:tc>
          <w:tcPr>
            <w:tcW w:w="3108" w:type="dxa"/>
          </w:tcPr>
          <w:p>
            <w:pPr>
              <w:pStyle w:val="TableParagraph"/>
              <w:spacing w:line="232" w:lineRule="exact"/>
              <w:ind w:left="108"/>
              <w:rPr>
                <w:sz w:val="18"/>
              </w:rPr>
            </w:pPr>
            <w:r>
              <w:rPr>
                <w:sz w:val="18"/>
              </w:rPr>
              <w:t>多个肢体缺失</w:t>
            </w:r>
          </w:p>
        </w:tc>
        <w:tc>
          <w:tcPr>
            <w:tcW w:w="409" w:type="dxa"/>
          </w:tcPr>
          <w:p>
            <w:pPr>
              <w:pStyle w:val="TableParagraph"/>
              <w:ind w:left="0"/>
              <w:rPr>
                <w:rFonts w:ascii="Times New Roman"/>
                <w:sz w:val="20"/>
              </w:rPr>
            </w:pPr>
          </w:p>
        </w:tc>
        <w:tc>
          <w:tcPr>
            <w:tcW w:w="3188" w:type="dxa"/>
          </w:tcPr>
          <w:p>
            <w:pPr>
              <w:pStyle w:val="TableParagraph"/>
              <w:spacing w:line="232" w:lineRule="exact"/>
              <w:ind w:left="105"/>
              <w:rPr>
                <w:sz w:val="18"/>
              </w:rPr>
            </w:pPr>
            <w:r>
              <w:rPr>
                <w:sz w:val="18"/>
              </w:rPr>
              <w:t>艾滋病</w:t>
            </w:r>
          </w:p>
        </w:tc>
      </w:tr>
      <w:tr>
        <w:trPr>
          <w:trHeight w:val="283" w:hRule="atLeast"/>
        </w:trPr>
        <w:tc>
          <w:tcPr>
            <w:tcW w:w="491" w:type="dxa"/>
          </w:tcPr>
          <w:p>
            <w:pPr>
              <w:pStyle w:val="TableParagraph"/>
              <w:spacing w:line="232" w:lineRule="exact"/>
              <w:ind w:left="200"/>
              <w:rPr>
                <w:sz w:val="18"/>
              </w:rPr>
            </w:pPr>
            <w:r>
              <w:rPr>
                <w:sz w:val="18"/>
              </w:rPr>
              <w:t>8</w:t>
            </w:r>
          </w:p>
        </w:tc>
        <w:tc>
          <w:tcPr>
            <w:tcW w:w="3108" w:type="dxa"/>
          </w:tcPr>
          <w:p>
            <w:pPr>
              <w:pStyle w:val="TableParagraph"/>
              <w:spacing w:line="232" w:lineRule="exact"/>
              <w:ind w:left="108"/>
              <w:rPr>
                <w:sz w:val="18"/>
              </w:rPr>
            </w:pPr>
            <w:r>
              <w:rPr>
                <w:sz w:val="18"/>
              </w:rPr>
              <w:t>急性或亚急性重症肝炎</w:t>
            </w:r>
          </w:p>
        </w:tc>
        <w:tc>
          <w:tcPr>
            <w:tcW w:w="409" w:type="dxa"/>
          </w:tcPr>
          <w:p>
            <w:pPr>
              <w:pStyle w:val="TableParagraph"/>
              <w:spacing w:line="232" w:lineRule="exact"/>
              <w:ind w:left="98" w:right="89"/>
              <w:jc w:val="center"/>
              <w:rPr>
                <w:sz w:val="18"/>
              </w:rPr>
            </w:pPr>
            <w:r>
              <w:rPr>
                <w:sz w:val="18"/>
              </w:rPr>
              <w:t>34</w:t>
            </w:r>
          </w:p>
        </w:tc>
        <w:tc>
          <w:tcPr>
            <w:tcW w:w="3188" w:type="dxa"/>
          </w:tcPr>
          <w:p>
            <w:pPr>
              <w:pStyle w:val="TableParagraph"/>
              <w:spacing w:line="232" w:lineRule="exact"/>
              <w:ind w:left="105"/>
              <w:rPr>
                <w:sz w:val="18"/>
              </w:rPr>
            </w:pPr>
            <w:r>
              <w:rPr>
                <w:sz w:val="18"/>
              </w:rPr>
              <w:t>系统性红斑狼疮并发重度的肾功能损</w:t>
            </w:r>
          </w:p>
        </w:tc>
      </w:tr>
      <w:tr>
        <w:trPr>
          <w:trHeight w:val="285" w:hRule="atLeast"/>
        </w:trPr>
        <w:tc>
          <w:tcPr>
            <w:tcW w:w="491" w:type="dxa"/>
          </w:tcPr>
          <w:p>
            <w:pPr>
              <w:pStyle w:val="TableParagraph"/>
              <w:spacing w:line="232" w:lineRule="exact"/>
              <w:ind w:left="200"/>
              <w:rPr>
                <w:sz w:val="18"/>
              </w:rPr>
            </w:pPr>
            <w:r>
              <w:rPr>
                <w:sz w:val="18"/>
              </w:rPr>
              <w:t>9</w:t>
            </w:r>
          </w:p>
        </w:tc>
        <w:tc>
          <w:tcPr>
            <w:tcW w:w="3108" w:type="dxa"/>
          </w:tcPr>
          <w:p>
            <w:pPr>
              <w:pStyle w:val="TableParagraph"/>
              <w:spacing w:line="232" w:lineRule="exact"/>
              <w:ind w:left="108"/>
              <w:rPr>
                <w:sz w:val="18"/>
              </w:rPr>
            </w:pPr>
            <w:r>
              <w:rPr>
                <w:sz w:val="18"/>
              </w:rPr>
              <w:t>良性脑肿瘤</w:t>
            </w:r>
          </w:p>
        </w:tc>
        <w:tc>
          <w:tcPr>
            <w:tcW w:w="409" w:type="dxa"/>
          </w:tcPr>
          <w:p>
            <w:pPr>
              <w:pStyle w:val="TableParagraph"/>
              <w:ind w:left="0"/>
              <w:rPr>
                <w:rFonts w:ascii="Times New Roman"/>
                <w:sz w:val="20"/>
              </w:rPr>
            </w:pPr>
          </w:p>
        </w:tc>
        <w:tc>
          <w:tcPr>
            <w:tcW w:w="3188" w:type="dxa"/>
          </w:tcPr>
          <w:p>
            <w:pPr>
              <w:pStyle w:val="TableParagraph"/>
              <w:spacing w:line="232" w:lineRule="exact"/>
              <w:ind w:left="105"/>
              <w:rPr>
                <w:sz w:val="18"/>
              </w:rPr>
            </w:pPr>
            <w:r>
              <w:rPr>
                <w:sz w:val="18"/>
              </w:rPr>
              <w:t>害</w:t>
            </w:r>
          </w:p>
        </w:tc>
      </w:tr>
      <w:tr>
        <w:trPr>
          <w:trHeight w:val="300" w:hRule="atLeast"/>
        </w:trPr>
        <w:tc>
          <w:tcPr>
            <w:tcW w:w="491" w:type="dxa"/>
          </w:tcPr>
          <w:p>
            <w:pPr>
              <w:pStyle w:val="TableParagraph"/>
              <w:spacing w:line="234" w:lineRule="exact"/>
              <w:ind w:left="200"/>
              <w:rPr>
                <w:sz w:val="18"/>
              </w:rPr>
            </w:pPr>
            <w:r>
              <w:rPr>
                <w:sz w:val="18"/>
              </w:rPr>
              <w:t>10</w:t>
            </w:r>
          </w:p>
        </w:tc>
        <w:tc>
          <w:tcPr>
            <w:tcW w:w="3108" w:type="dxa"/>
          </w:tcPr>
          <w:p>
            <w:pPr>
              <w:pStyle w:val="TableParagraph"/>
              <w:spacing w:line="234" w:lineRule="exact"/>
              <w:ind w:left="108"/>
              <w:rPr>
                <w:sz w:val="18"/>
              </w:rPr>
            </w:pPr>
            <w:r>
              <w:rPr>
                <w:sz w:val="18"/>
              </w:rPr>
              <w:t>慢性肝功能衰竭失代偿期</w:t>
            </w:r>
          </w:p>
        </w:tc>
        <w:tc>
          <w:tcPr>
            <w:tcW w:w="409" w:type="dxa"/>
          </w:tcPr>
          <w:p>
            <w:pPr>
              <w:pStyle w:val="TableParagraph"/>
              <w:spacing w:line="234" w:lineRule="exact"/>
              <w:ind w:left="98" w:right="89"/>
              <w:jc w:val="center"/>
              <w:rPr>
                <w:sz w:val="18"/>
              </w:rPr>
            </w:pPr>
            <w:r>
              <w:rPr>
                <w:sz w:val="18"/>
              </w:rPr>
              <w:t>35</w:t>
            </w:r>
          </w:p>
        </w:tc>
        <w:tc>
          <w:tcPr>
            <w:tcW w:w="3188" w:type="dxa"/>
          </w:tcPr>
          <w:p>
            <w:pPr>
              <w:pStyle w:val="TableParagraph"/>
              <w:spacing w:line="234" w:lineRule="exact"/>
              <w:ind w:left="105"/>
              <w:rPr>
                <w:sz w:val="18"/>
              </w:rPr>
            </w:pPr>
            <w:r>
              <w:rPr>
                <w:sz w:val="18"/>
              </w:rPr>
              <w:t>重症肌无力</w:t>
            </w:r>
          </w:p>
        </w:tc>
      </w:tr>
      <w:tr>
        <w:trPr>
          <w:trHeight w:val="311" w:hRule="atLeast"/>
        </w:trPr>
        <w:tc>
          <w:tcPr>
            <w:tcW w:w="491" w:type="dxa"/>
          </w:tcPr>
          <w:p>
            <w:pPr>
              <w:pStyle w:val="TableParagraph"/>
              <w:spacing w:before="10"/>
              <w:ind w:left="200"/>
              <w:rPr>
                <w:sz w:val="18"/>
              </w:rPr>
            </w:pPr>
            <w:r>
              <w:rPr>
                <w:sz w:val="18"/>
              </w:rPr>
              <w:t>11</w:t>
            </w:r>
          </w:p>
        </w:tc>
        <w:tc>
          <w:tcPr>
            <w:tcW w:w="3108" w:type="dxa"/>
          </w:tcPr>
          <w:p>
            <w:pPr>
              <w:pStyle w:val="TableParagraph"/>
              <w:spacing w:before="10"/>
              <w:ind w:left="108"/>
              <w:rPr>
                <w:sz w:val="18"/>
              </w:rPr>
            </w:pPr>
            <w:r>
              <w:rPr>
                <w:sz w:val="18"/>
              </w:rPr>
              <w:t>脑炎后遗症或脑膜炎后遗症</w:t>
            </w:r>
          </w:p>
        </w:tc>
        <w:tc>
          <w:tcPr>
            <w:tcW w:w="409" w:type="dxa"/>
          </w:tcPr>
          <w:p>
            <w:pPr>
              <w:pStyle w:val="TableParagraph"/>
              <w:spacing w:before="10"/>
              <w:ind w:left="98" w:right="89"/>
              <w:jc w:val="center"/>
              <w:rPr>
                <w:sz w:val="18"/>
              </w:rPr>
            </w:pPr>
            <w:r>
              <w:rPr>
                <w:sz w:val="18"/>
              </w:rPr>
              <w:t>36</w:t>
            </w:r>
          </w:p>
        </w:tc>
        <w:tc>
          <w:tcPr>
            <w:tcW w:w="3188" w:type="dxa"/>
          </w:tcPr>
          <w:p>
            <w:pPr>
              <w:pStyle w:val="TableParagraph"/>
              <w:spacing w:before="10"/>
              <w:ind w:left="105"/>
              <w:rPr>
                <w:sz w:val="18"/>
              </w:rPr>
            </w:pPr>
            <w:r>
              <w:rPr>
                <w:sz w:val="18"/>
              </w:rPr>
              <w:t>持续植物人状态</w:t>
            </w:r>
          </w:p>
        </w:tc>
      </w:tr>
      <w:tr>
        <w:trPr>
          <w:trHeight w:val="312" w:hRule="atLeast"/>
        </w:trPr>
        <w:tc>
          <w:tcPr>
            <w:tcW w:w="491" w:type="dxa"/>
          </w:tcPr>
          <w:p>
            <w:pPr>
              <w:pStyle w:val="TableParagraph"/>
              <w:spacing w:before="10"/>
              <w:ind w:left="200"/>
              <w:rPr>
                <w:sz w:val="18"/>
              </w:rPr>
            </w:pPr>
            <w:r>
              <w:rPr>
                <w:sz w:val="18"/>
              </w:rPr>
              <w:t>12</w:t>
            </w:r>
          </w:p>
        </w:tc>
        <w:tc>
          <w:tcPr>
            <w:tcW w:w="3108" w:type="dxa"/>
          </w:tcPr>
          <w:p>
            <w:pPr>
              <w:pStyle w:val="TableParagraph"/>
              <w:spacing w:before="10"/>
              <w:ind w:left="108"/>
              <w:rPr>
                <w:sz w:val="18"/>
              </w:rPr>
            </w:pPr>
            <w:r>
              <w:rPr>
                <w:sz w:val="18"/>
              </w:rPr>
              <w:t>深度昏迷</w:t>
            </w:r>
          </w:p>
        </w:tc>
        <w:tc>
          <w:tcPr>
            <w:tcW w:w="409" w:type="dxa"/>
          </w:tcPr>
          <w:p>
            <w:pPr>
              <w:pStyle w:val="TableParagraph"/>
              <w:spacing w:before="10"/>
              <w:ind w:left="98" w:right="89"/>
              <w:jc w:val="center"/>
              <w:rPr>
                <w:sz w:val="18"/>
              </w:rPr>
            </w:pPr>
            <w:r>
              <w:rPr>
                <w:sz w:val="18"/>
              </w:rPr>
              <w:t>37</w:t>
            </w:r>
          </w:p>
        </w:tc>
        <w:tc>
          <w:tcPr>
            <w:tcW w:w="3188" w:type="dxa"/>
          </w:tcPr>
          <w:p>
            <w:pPr>
              <w:pStyle w:val="TableParagraph"/>
              <w:spacing w:before="10"/>
              <w:ind w:left="105"/>
              <w:rPr>
                <w:sz w:val="18"/>
              </w:rPr>
            </w:pPr>
            <w:r>
              <w:rPr>
                <w:sz w:val="18"/>
              </w:rPr>
              <w:t>严重心肌病</w:t>
            </w:r>
          </w:p>
        </w:tc>
      </w:tr>
      <w:tr>
        <w:trPr>
          <w:trHeight w:val="245" w:hRule="atLeast"/>
        </w:trPr>
        <w:tc>
          <w:tcPr>
            <w:tcW w:w="491" w:type="dxa"/>
          </w:tcPr>
          <w:p>
            <w:pPr>
              <w:pStyle w:val="TableParagraph"/>
              <w:spacing w:line="216" w:lineRule="exact" w:before="10"/>
              <w:ind w:left="200"/>
              <w:rPr>
                <w:sz w:val="18"/>
              </w:rPr>
            </w:pPr>
            <w:r>
              <w:rPr>
                <w:sz w:val="18"/>
              </w:rPr>
              <w:t>13</w:t>
            </w:r>
          </w:p>
        </w:tc>
        <w:tc>
          <w:tcPr>
            <w:tcW w:w="3108" w:type="dxa"/>
          </w:tcPr>
          <w:p>
            <w:pPr>
              <w:pStyle w:val="TableParagraph"/>
              <w:spacing w:line="216" w:lineRule="exact" w:before="10"/>
              <w:ind w:left="108"/>
              <w:rPr>
                <w:sz w:val="18"/>
              </w:rPr>
            </w:pPr>
            <w:r>
              <w:rPr>
                <w:sz w:val="18"/>
              </w:rPr>
              <w:t>双耳失聪</w:t>
            </w:r>
          </w:p>
        </w:tc>
        <w:tc>
          <w:tcPr>
            <w:tcW w:w="409" w:type="dxa"/>
          </w:tcPr>
          <w:p>
            <w:pPr>
              <w:pStyle w:val="TableParagraph"/>
              <w:spacing w:line="216" w:lineRule="exact" w:before="10"/>
              <w:ind w:left="98" w:right="89"/>
              <w:jc w:val="center"/>
              <w:rPr>
                <w:sz w:val="18"/>
              </w:rPr>
            </w:pPr>
            <w:r>
              <w:rPr>
                <w:sz w:val="18"/>
              </w:rPr>
              <w:t>38</w:t>
            </w:r>
          </w:p>
        </w:tc>
        <w:tc>
          <w:tcPr>
            <w:tcW w:w="3188" w:type="dxa"/>
          </w:tcPr>
          <w:p>
            <w:pPr>
              <w:pStyle w:val="TableParagraph"/>
              <w:spacing w:line="216" w:lineRule="exact" w:before="10"/>
              <w:ind w:left="105"/>
              <w:rPr>
                <w:sz w:val="18"/>
              </w:rPr>
            </w:pPr>
            <w:r>
              <w:rPr>
                <w:sz w:val="18"/>
              </w:rPr>
              <w:t>严重溃疡性结肠炎</w:t>
            </w:r>
          </w:p>
        </w:tc>
      </w:tr>
    </w:tbl>
    <w:p>
      <w:pPr>
        <w:spacing w:after="0" w:line="216" w:lineRule="exact"/>
        <w:rPr>
          <w:sz w:val="18"/>
        </w:rPr>
        <w:sectPr>
          <w:type w:val="continuous"/>
          <w:pgSz w:w="11910" w:h="16840"/>
          <w:pgMar w:top="1360" w:bottom="280" w:left="860" w:right="860"/>
        </w:sectPr>
      </w:pPr>
    </w:p>
    <w:tbl>
      <w:tblPr>
        <w:tblW w:w="0" w:type="auto"/>
        <w:jc w:val="left"/>
        <w:tblInd w:w="1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2568"/>
        <w:gridCol w:w="949"/>
        <w:gridCol w:w="2648"/>
      </w:tblGrid>
      <w:tr>
        <w:trPr>
          <w:trHeight w:val="246" w:hRule="atLeast"/>
        </w:trPr>
        <w:tc>
          <w:tcPr>
            <w:tcW w:w="491" w:type="dxa"/>
          </w:tcPr>
          <w:p>
            <w:pPr>
              <w:pStyle w:val="TableParagraph"/>
              <w:spacing w:line="180" w:lineRule="exact"/>
              <w:ind w:left="0" w:right="106"/>
              <w:jc w:val="right"/>
              <w:rPr>
                <w:sz w:val="18"/>
              </w:rPr>
            </w:pPr>
            <w:r>
              <w:rPr>
                <w:sz w:val="18"/>
              </w:rPr>
              <w:t>14</w:t>
            </w:r>
          </w:p>
        </w:tc>
        <w:tc>
          <w:tcPr>
            <w:tcW w:w="2568" w:type="dxa"/>
          </w:tcPr>
          <w:p>
            <w:pPr>
              <w:pStyle w:val="TableParagraph"/>
              <w:spacing w:line="180" w:lineRule="exact"/>
              <w:ind w:left="108"/>
              <w:rPr>
                <w:sz w:val="18"/>
              </w:rPr>
            </w:pPr>
            <w:r>
              <w:rPr>
                <w:sz w:val="18"/>
              </w:rPr>
              <w:t>双目失明</w:t>
            </w:r>
          </w:p>
        </w:tc>
        <w:tc>
          <w:tcPr>
            <w:tcW w:w="949" w:type="dxa"/>
          </w:tcPr>
          <w:p>
            <w:pPr>
              <w:pStyle w:val="TableParagraph"/>
              <w:spacing w:line="180" w:lineRule="exact"/>
              <w:ind w:left="0" w:right="106"/>
              <w:jc w:val="right"/>
              <w:rPr>
                <w:sz w:val="18"/>
              </w:rPr>
            </w:pPr>
            <w:r>
              <w:rPr>
                <w:sz w:val="18"/>
              </w:rPr>
              <w:t>39</w:t>
            </w:r>
          </w:p>
        </w:tc>
        <w:tc>
          <w:tcPr>
            <w:tcW w:w="2648" w:type="dxa"/>
          </w:tcPr>
          <w:p>
            <w:pPr>
              <w:pStyle w:val="TableParagraph"/>
              <w:spacing w:line="180" w:lineRule="exact"/>
              <w:ind w:left="105"/>
              <w:rPr>
                <w:sz w:val="18"/>
              </w:rPr>
            </w:pPr>
            <w:r>
              <w:rPr>
                <w:sz w:val="18"/>
              </w:rPr>
              <w:t>溶血性链球菌引起的坏疽</w:t>
            </w:r>
          </w:p>
        </w:tc>
      </w:tr>
      <w:tr>
        <w:trPr>
          <w:trHeight w:val="312" w:hRule="atLeast"/>
        </w:trPr>
        <w:tc>
          <w:tcPr>
            <w:tcW w:w="491" w:type="dxa"/>
          </w:tcPr>
          <w:p>
            <w:pPr>
              <w:pStyle w:val="TableParagraph"/>
              <w:spacing w:before="10"/>
              <w:ind w:left="0" w:right="106"/>
              <w:jc w:val="right"/>
              <w:rPr>
                <w:sz w:val="18"/>
              </w:rPr>
            </w:pPr>
            <w:r>
              <w:rPr>
                <w:sz w:val="18"/>
              </w:rPr>
              <w:t>15</w:t>
            </w:r>
          </w:p>
        </w:tc>
        <w:tc>
          <w:tcPr>
            <w:tcW w:w="2568" w:type="dxa"/>
          </w:tcPr>
          <w:p>
            <w:pPr>
              <w:pStyle w:val="TableParagraph"/>
              <w:spacing w:before="10"/>
              <w:ind w:left="108"/>
              <w:rPr>
                <w:sz w:val="18"/>
              </w:rPr>
            </w:pPr>
            <w:r>
              <w:rPr>
                <w:sz w:val="18"/>
              </w:rPr>
              <w:t>瘫痪</w:t>
            </w:r>
          </w:p>
        </w:tc>
        <w:tc>
          <w:tcPr>
            <w:tcW w:w="949" w:type="dxa"/>
          </w:tcPr>
          <w:p>
            <w:pPr>
              <w:pStyle w:val="TableParagraph"/>
              <w:spacing w:before="10"/>
              <w:ind w:left="0" w:right="106"/>
              <w:jc w:val="right"/>
              <w:rPr>
                <w:sz w:val="18"/>
              </w:rPr>
            </w:pPr>
            <w:r>
              <w:rPr>
                <w:sz w:val="18"/>
              </w:rPr>
              <w:t>40</w:t>
            </w:r>
          </w:p>
        </w:tc>
        <w:tc>
          <w:tcPr>
            <w:tcW w:w="2648" w:type="dxa"/>
          </w:tcPr>
          <w:p>
            <w:pPr>
              <w:pStyle w:val="TableParagraph"/>
              <w:spacing w:before="10"/>
              <w:ind w:left="105"/>
              <w:rPr>
                <w:sz w:val="18"/>
              </w:rPr>
            </w:pPr>
            <w:r>
              <w:rPr>
                <w:sz w:val="18"/>
              </w:rPr>
              <w:t>坏死性筋膜炎</w:t>
            </w:r>
          </w:p>
        </w:tc>
      </w:tr>
      <w:tr>
        <w:trPr>
          <w:trHeight w:val="311" w:hRule="atLeast"/>
        </w:trPr>
        <w:tc>
          <w:tcPr>
            <w:tcW w:w="491" w:type="dxa"/>
          </w:tcPr>
          <w:p>
            <w:pPr>
              <w:pStyle w:val="TableParagraph"/>
              <w:spacing w:before="10"/>
              <w:ind w:left="0" w:right="106"/>
              <w:jc w:val="right"/>
              <w:rPr>
                <w:sz w:val="18"/>
              </w:rPr>
            </w:pPr>
            <w:r>
              <w:rPr>
                <w:sz w:val="18"/>
              </w:rPr>
              <w:t>16</w:t>
            </w:r>
          </w:p>
        </w:tc>
        <w:tc>
          <w:tcPr>
            <w:tcW w:w="2568" w:type="dxa"/>
          </w:tcPr>
          <w:p>
            <w:pPr>
              <w:pStyle w:val="TableParagraph"/>
              <w:spacing w:before="10"/>
              <w:ind w:left="108"/>
              <w:rPr>
                <w:sz w:val="18"/>
              </w:rPr>
            </w:pPr>
            <w:r>
              <w:rPr>
                <w:sz w:val="18"/>
              </w:rPr>
              <w:t>心脏瓣膜手术</w:t>
            </w:r>
          </w:p>
        </w:tc>
        <w:tc>
          <w:tcPr>
            <w:tcW w:w="949" w:type="dxa"/>
          </w:tcPr>
          <w:p>
            <w:pPr>
              <w:pStyle w:val="TableParagraph"/>
              <w:spacing w:before="10"/>
              <w:ind w:left="0" w:right="106"/>
              <w:jc w:val="right"/>
              <w:rPr>
                <w:sz w:val="18"/>
              </w:rPr>
            </w:pPr>
            <w:r>
              <w:rPr>
                <w:sz w:val="18"/>
              </w:rPr>
              <w:t>41</w:t>
            </w:r>
          </w:p>
        </w:tc>
        <w:tc>
          <w:tcPr>
            <w:tcW w:w="2648" w:type="dxa"/>
          </w:tcPr>
          <w:p>
            <w:pPr>
              <w:pStyle w:val="TableParagraph"/>
              <w:spacing w:before="10"/>
              <w:ind w:left="105"/>
              <w:rPr>
                <w:sz w:val="18"/>
              </w:rPr>
            </w:pPr>
            <w:r>
              <w:rPr>
                <w:sz w:val="18"/>
              </w:rPr>
              <w:t>系统性硬皮病</w:t>
            </w:r>
          </w:p>
        </w:tc>
      </w:tr>
      <w:tr>
        <w:trPr>
          <w:trHeight w:val="312" w:hRule="atLeast"/>
        </w:trPr>
        <w:tc>
          <w:tcPr>
            <w:tcW w:w="491" w:type="dxa"/>
          </w:tcPr>
          <w:p>
            <w:pPr>
              <w:pStyle w:val="TableParagraph"/>
              <w:spacing w:before="10"/>
              <w:ind w:left="0" w:right="106"/>
              <w:jc w:val="right"/>
              <w:rPr>
                <w:sz w:val="18"/>
              </w:rPr>
            </w:pPr>
            <w:r>
              <w:rPr>
                <w:sz w:val="18"/>
              </w:rPr>
              <w:t>17</w:t>
            </w:r>
          </w:p>
        </w:tc>
        <w:tc>
          <w:tcPr>
            <w:tcW w:w="2568" w:type="dxa"/>
          </w:tcPr>
          <w:p>
            <w:pPr>
              <w:pStyle w:val="TableParagraph"/>
              <w:spacing w:before="10"/>
              <w:ind w:left="108"/>
              <w:rPr>
                <w:sz w:val="18"/>
              </w:rPr>
            </w:pPr>
            <w:r>
              <w:rPr>
                <w:sz w:val="18"/>
              </w:rPr>
              <w:t>严重阿尔茨海默病</w:t>
            </w:r>
          </w:p>
        </w:tc>
        <w:tc>
          <w:tcPr>
            <w:tcW w:w="949" w:type="dxa"/>
          </w:tcPr>
          <w:p>
            <w:pPr>
              <w:pStyle w:val="TableParagraph"/>
              <w:spacing w:before="10"/>
              <w:ind w:left="0" w:right="106"/>
              <w:jc w:val="right"/>
              <w:rPr>
                <w:sz w:val="18"/>
              </w:rPr>
            </w:pPr>
            <w:r>
              <w:rPr>
                <w:sz w:val="18"/>
              </w:rPr>
              <w:t>42</w:t>
            </w:r>
          </w:p>
        </w:tc>
        <w:tc>
          <w:tcPr>
            <w:tcW w:w="2648" w:type="dxa"/>
          </w:tcPr>
          <w:p>
            <w:pPr>
              <w:pStyle w:val="TableParagraph"/>
              <w:spacing w:before="10"/>
              <w:ind w:left="105"/>
              <w:rPr>
                <w:sz w:val="18"/>
              </w:rPr>
            </w:pPr>
            <w:r>
              <w:rPr>
                <w:sz w:val="18"/>
              </w:rPr>
              <w:t>严重克隆病</w:t>
            </w:r>
          </w:p>
        </w:tc>
      </w:tr>
      <w:tr>
        <w:trPr>
          <w:trHeight w:val="311" w:hRule="atLeast"/>
        </w:trPr>
        <w:tc>
          <w:tcPr>
            <w:tcW w:w="491" w:type="dxa"/>
          </w:tcPr>
          <w:p>
            <w:pPr>
              <w:pStyle w:val="TableParagraph"/>
              <w:spacing w:before="10"/>
              <w:ind w:left="0" w:right="106"/>
              <w:jc w:val="right"/>
              <w:rPr>
                <w:sz w:val="18"/>
              </w:rPr>
            </w:pPr>
            <w:r>
              <w:rPr>
                <w:sz w:val="18"/>
              </w:rPr>
              <w:t>18</w:t>
            </w:r>
          </w:p>
        </w:tc>
        <w:tc>
          <w:tcPr>
            <w:tcW w:w="2568" w:type="dxa"/>
          </w:tcPr>
          <w:p>
            <w:pPr>
              <w:pStyle w:val="TableParagraph"/>
              <w:spacing w:before="10"/>
              <w:ind w:left="108"/>
              <w:rPr>
                <w:sz w:val="18"/>
              </w:rPr>
            </w:pPr>
            <w:r>
              <w:rPr>
                <w:sz w:val="18"/>
              </w:rPr>
              <w:t>严重脑损伤</w:t>
            </w:r>
          </w:p>
        </w:tc>
        <w:tc>
          <w:tcPr>
            <w:tcW w:w="949" w:type="dxa"/>
          </w:tcPr>
          <w:p>
            <w:pPr>
              <w:pStyle w:val="TableParagraph"/>
              <w:spacing w:before="10"/>
              <w:ind w:left="0" w:right="106"/>
              <w:jc w:val="right"/>
              <w:rPr>
                <w:sz w:val="18"/>
              </w:rPr>
            </w:pPr>
            <w:r>
              <w:rPr>
                <w:sz w:val="18"/>
              </w:rPr>
              <w:t>43</w:t>
            </w:r>
          </w:p>
        </w:tc>
        <w:tc>
          <w:tcPr>
            <w:tcW w:w="2648" w:type="dxa"/>
          </w:tcPr>
          <w:p>
            <w:pPr>
              <w:pStyle w:val="TableParagraph"/>
              <w:spacing w:before="10"/>
              <w:ind w:left="105"/>
              <w:rPr>
                <w:sz w:val="18"/>
              </w:rPr>
            </w:pPr>
            <w:r>
              <w:rPr>
                <w:sz w:val="18"/>
              </w:rPr>
              <w:t>非阿尔茨海默病所致严重痴呆</w:t>
            </w:r>
          </w:p>
        </w:tc>
      </w:tr>
      <w:tr>
        <w:trPr>
          <w:trHeight w:val="311" w:hRule="atLeast"/>
        </w:trPr>
        <w:tc>
          <w:tcPr>
            <w:tcW w:w="491" w:type="dxa"/>
          </w:tcPr>
          <w:p>
            <w:pPr>
              <w:pStyle w:val="TableParagraph"/>
              <w:spacing w:before="10"/>
              <w:ind w:left="0" w:right="106"/>
              <w:jc w:val="right"/>
              <w:rPr>
                <w:sz w:val="18"/>
              </w:rPr>
            </w:pPr>
            <w:r>
              <w:rPr>
                <w:sz w:val="18"/>
              </w:rPr>
              <w:t>19</w:t>
            </w:r>
          </w:p>
        </w:tc>
        <w:tc>
          <w:tcPr>
            <w:tcW w:w="2568" w:type="dxa"/>
          </w:tcPr>
          <w:p>
            <w:pPr>
              <w:pStyle w:val="TableParagraph"/>
              <w:spacing w:before="10"/>
              <w:ind w:left="108"/>
              <w:rPr>
                <w:sz w:val="18"/>
              </w:rPr>
            </w:pPr>
            <w:r>
              <w:rPr>
                <w:sz w:val="18"/>
              </w:rPr>
              <w:t>严重帕金森病</w:t>
            </w:r>
          </w:p>
        </w:tc>
        <w:tc>
          <w:tcPr>
            <w:tcW w:w="949" w:type="dxa"/>
          </w:tcPr>
          <w:p>
            <w:pPr>
              <w:pStyle w:val="TableParagraph"/>
              <w:spacing w:before="10"/>
              <w:ind w:left="0" w:right="106"/>
              <w:jc w:val="right"/>
              <w:rPr>
                <w:sz w:val="18"/>
              </w:rPr>
            </w:pPr>
            <w:r>
              <w:rPr>
                <w:sz w:val="18"/>
              </w:rPr>
              <w:t>44</w:t>
            </w:r>
          </w:p>
        </w:tc>
        <w:tc>
          <w:tcPr>
            <w:tcW w:w="2648" w:type="dxa"/>
          </w:tcPr>
          <w:p>
            <w:pPr>
              <w:pStyle w:val="TableParagraph"/>
              <w:spacing w:before="10"/>
              <w:ind w:left="105"/>
              <w:rPr>
                <w:sz w:val="18"/>
              </w:rPr>
            </w:pPr>
            <w:r>
              <w:rPr>
                <w:sz w:val="18"/>
              </w:rPr>
              <w:t>严重冠心病</w:t>
            </w:r>
          </w:p>
        </w:tc>
      </w:tr>
      <w:tr>
        <w:trPr>
          <w:trHeight w:val="312" w:hRule="atLeast"/>
        </w:trPr>
        <w:tc>
          <w:tcPr>
            <w:tcW w:w="491" w:type="dxa"/>
          </w:tcPr>
          <w:p>
            <w:pPr>
              <w:pStyle w:val="TableParagraph"/>
              <w:spacing w:before="10"/>
              <w:ind w:left="0" w:right="106"/>
              <w:jc w:val="right"/>
              <w:rPr>
                <w:sz w:val="18"/>
              </w:rPr>
            </w:pPr>
            <w:r>
              <w:rPr>
                <w:sz w:val="18"/>
              </w:rPr>
              <w:t>20</w:t>
            </w:r>
          </w:p>
        </w:tc>
        <w:tc>
          <w:tcPr>
            <w:tcW w:w="2568" w:type="dxa"/>
          </w:tcPr>
          <w:p>
            <w:pPr>
              <w:pStyle w:val="TableParagraph"/>
              <w:spacing w:before="10"/>
              <w:ind w:left="108"/>
              <w:rPr>
                <w:sz w:val="18"/>
              </w:rPr>
            </w:pPr>
            <w:r>
              <w:rPr>
                <w:sz w:val="18"/>
              </w:rPr>
              <w:t>严重Ⅲ度烧伤</w:t>
            </w:r>
          </w:p>
        </w:tc>
        <w:tc>
          <w:tcPr>
            <w:tcW w:w="949" w:type="dxa"/>
          </w:tcPr>
          <w:p>
            <w:pPr>
              <w:pStyle w:val="TableParagraph"/>
              <w:spacing w:before="10"/>
              <w:ind w:left="0" w:right="106"/>
              <w:jc w:val="right"/>
              <w:rPr>
                <w:sz w:val="18"/>
              </w:rPr>
            </w:pPr>
            <w:r>
              <w:rPr>
                <w:sz w:val="18"/>
              </w:rPr>
              <w:t>45</w:t>
            </w:r>
          </w:p>
        </w:tc>
        <w:tc>
          <w:tcPr>
            <w:tcW w:w="2648" w:type="dxa"/>
          </w:tcPr>
          <w:p>
            <w:pPr>
              <w:pStyle w:val="TableParagraph"/>
              <w:spacing w:before="10"/>
              <w:ind w:left="105"/>
              <w:rPr>
                <w:sz w:val="18"/>
              </w:rPr>
            </w:pPr>
            <w:r>
              <w:rPr>
                <w:sz w:val="18"/>
              </w:rPr>
              <w:t>脊髓灰质炎</w:t>
            </w:r>
          </w:p>
        </w:tc>
      </w:tr>
      <w:tr>
        <w:trPr>
          <w:trHeight w:val="311" w:hRule="atLeast"/>
        </w:trPr>
        <w:tc>
          <w:tcPr>
            <w:tcW w:w="491" w:type="dxa"/>
          </w:tcPr>
          <w:p>
            <w:pPr>
              <w:pStyle w:val="TableParagraph"/>
              <w:spacing w:before="10"/>
              <w:ind w:left="0" w:right="106"/>
              <w:jc w:val="right"/>
              <w:rPr>
                <w:sz w:val="18"/>
              </w:rPr>
            </w:pPr>
            <w:r>
              <w:rPr>
                <w:sz w:val="18"/>
              </w:rPr>
              <w:t>21</w:t>
            </w:r>
          </w:p>
        </w:tc>
        <w:tc>
          <w:tcPr>
            <w:tcW w:w="2568" w:type="dxa"/>
          </w:tcPr>
          <w:p>
            <w:pPr>
              <w:pStyle w:val="TableParagraph"/>
              <w:spacing w:before="10"/>
              <w:ind w:left="108"/>
              <w:rPr>
                <w:sz w:val="18"/>
              </w:rPr>
            </w:pPr>
            <w:r>
              <w:rPr>
                <w:sz w:val="18"/>
              </w:rPr>
              <w:t>严重原发性肺动脉高压</w:t>
            </w:r>
          </w:p>
        </w:tc>
        <w:tc>
          <w:tcPr>
            <w:tcW w:w="949" w:type="dxa"/>
          </w:tcPr>
          <w:p>
            <w:pPr>
              <w:pStyle w:val="TableParagraph"/>
              <w:spacing w:before="10"/>
              <w:ind w:left="0" w:right="106"/>
              <w:jc w:val="right"/>
              <w:rPr>
                <w:sz w:val="18"/>
              </w:rPr>
            </w:pPr>
            <w:r>
              <w:rPr>
                <w:sz w:val="18"/>
              </w:rPr>
              <w:t>46</w:t>
            </w:r>
          </w:p>
        </w:tc>
        <w:tc>
          <w:tcPr>
            <w:tcW w:w="2648" w:type="dxa"/>
          </w:tcPr>
          <w:p>
            <w:pPr>
              <w:pStyle w:val="TableParagraph"/>
              <w:spacing w:before="10"/>
              <w:ind w:left="105"/>
              <w:rPr>
                <w:sz w:val="18"/>
              </w:rPr>
            </w:pPr>
            <w:r>
              <w:rPr>
                <w:sz w:val="18"/>
              </w:rPr>
              <w:t>严重哮喘</w:t>
            </w:r>
          </w:p>
        </w:tc>
      </w:tr>
      <w:tr>
        <w:trPr>
          <w:trHeight w:val="312" w:hRule="atLeast"/>
        </w:trPr>
        <w:tc>
          <w:tcPr>
            <w:tcW w:w="491" w:type="dxa"/>
          </w:tcPr>
          <w:p>
            <w:pPr>
              <w:pStyle w:val="TableParagraph"/>
              <w:spacing w:before="10"/>
              <w:ind w:left="0" w:right="106"/>
              <w:jc w:val="right"/>
              <w:rPr>
                <w:sz w:val="18"/>
              </w:rPr>
            </w:pPr>
            <w:r>
              <w:rPr>
                <w:sz w:val="18"/>
              </w:rPr>
              <w:t>22</w:t>
            </w:r>
          </w:p>
        </w:tc>
        <w:tc>
          <w:tcPr>
            <w:tcW w:w="2568" w:type="dxa"/>
          </w:tcPr>
          <w:p>
            <w:pPr>
              <w:pStyle w:val="TableParagraph"/>
              <w:spacing w:before="10"/>
              <w:ind w:left="108"/>
              <w:rPr>
                <w:sz w:val="18"/>
              </w:rPr>
            </w:pPr>
            <w:r>
              <w:rPr>
                <w:sz w:val="18"/>
              </w:rPr>
              <w:t>严重运动神经元病</w:t>
            </w:r>
          </w:p>
        </w:tc>
        <w:tc>
          <w:tcPr>
            <w:tcW w:w="949" w:type="dxa"/>
          </w:tcPr>
          <w:p>
            <w:pPr>
              <w:pStyle w:val="TableParagraph"/>
              <w:spacing w:before="10"/>
              <w:ind w:left="0" w:right="106"/>
              <w:jc w:val="right"/>
              <w:rPr>
                <w:sz w:val="18"/>
              </w:rPr>
            </w:pPr>
            <w:r>
              <w:rPr>
                <w:sz w:val="18"/>
              </w:rPr>
              <w:t>47</w:t>
            </w:r>
          </w:p>
        </w:tc>
        <w:tc>
          <w:tcPr>
            <w:tcW w:w="2648" w:type="dxa"/>
          </w:tcPr>
          <w:p>
            <w:pPr>
              <w:pStyle w:val="TableParagraph"/>
              <w:spacing w:before="10"/>
              <w:ind w:left="105"/>
              <w:rPr>
                <w:sz w:val="18"/>
              </w:rPr>
            </w:pPr>
            <w:r>
              <w:rPr>
                <w:sz w:val="18"/>
              </w:rPr>
              <w:t>慢性肾上腺皮质功能衰竭</w:t>
            </w:r>
          </w:p>
        </w:tc>
      </w:tr>
      <w:tr>
        <w:trPr>
          <w:trHeight w:val="311" w:hRule="atLeast"/>
        </w:trPr>
        <w:tc>
          <w:tcPr>
            <w:tcW w:w="491" w:type="dxa"/>
          </w:tcPr>
          <w:p>
            <w:pPr>
              <w:pStyle w:val="TableParagraph"/>
              <w:spacing w:before="10"/>
              <w:ind w:left="0" w:right="106"/>
              <w:jc w:val="right"/>
              <w:rPr>
                <w:sz w:val="18"/>
              </w:rPr>
            </w:pPr>
            <w:r>
              <w:rPr>
                <w:sz w:val="18"/>
              </w:rPr>
              <w:t>23</w:t>
            </w:r>
          </w:p>
        </w:tc>
        <w:tc>
          <w:tcPr>
            <w:tcW w:w="2568" w:type="dxa"/>
          </w:tcPr>
          <w:p>
            <w:pPr>
              <w:pStyle w:val="TableParagraph"/>
              <w:spacing w:before="10"/>
              <w:ind w:left="108"/>
              <w:rPr>
                <w:sz w:val="18"/>
              </w:rPr>
            </w:pPr>
            <w:r>
              <w:rPr>
                <w:sz w:val="18"/>
              </w:rPr>
              <w:t>语言能力丧失</w:t>
            </w:r>
          </w:p>
        </w:tc>
        <w:tc>
          <w:tcPr>
            <w:tcW w:w="949" w:type="dxa"/>
          </w:tcPr>
          <w:p>
            <w:pPr>
              <w:pStyle w:val="TableParagraph"/>
              <w:spacing w:before="10"/>
              <w:ind w:left="0" w:right="106"/>
              <w:jc w:val="right"/>
              <w:rPr>
                <w:sz w:val="18"/>
              </w:rPr>
            </w:pPr>
            <w:r>
              <w:rPr>
                <w:sz w:val="18"/>
              </w:rPr>
              <w:t>48</w:t>
            </w:r>
          </w:p>
        </w:tc>
        <w:tc>
          <w:tcPr>
            <w:tcW w:w="2648" w:type="dxa"/>
          </w:tcPr>
          <w:p>
            <w:pPr>
              <w:pStyle w:val="TableParagraph"/>
              <w:spacing w:before="10"/>
              <w:ind w:left="105"/>
              <w:rPr>
                <w:sz w:val="18"/>
              </w:rPr>
            </w:pPr>
            <w:r>
              <w:rPr>
                <w:sz w:val="18"/>
              </w:rPr>
              <w:t>埃博拉病毒感染</w:t>
            </w:r>
          </w:p>
        </w:tc>
      </w:tr>
      <w:tr>
        <w:trPr>
          <w:trHeight w:val="312" w:hRule="atLeast"/>
        </w:trPr>
        <w:tc>
          <w:tcPr>
            <w:tcW w:w="491" w:type="dxa"/>
          </w:tcPr>
          <w:p>
            <w:pPr>
              <w:pStyle w:val="TableParagraph"/>
              <w:spacing w:before="10"/>
              <w:ind w:left="0" w:right="106"/>
              <w:jc w:val="right"/>
              <w:rPr>
                <w:sz w:val="18"/>
              </w:rPr>
            </w:pPr>
            <w:r>
              <w:rPr>
                <w:sz w:val="18"/>
              </w:rPr>
              <w:t>24</w:t>
            </w:r>
          </w:p>
        </w:tc>
        <w:tc>
          <w:tcPr>
            <w:tcW w:w="2568" w:type="dxa"/>
          </w:tcPr>
          <w:p>
            <w:pPr>
              <w:pStyle w:val="TableParagraph"/>
              <w:spacing w:before="10"/>
              <w:ind w:left="108"/>
              <w:rPr>
                <w:sz w:val="18"/>
              </w:rPr>
            </w:pPr>
            <w:r>
              <w:rPr>
                <w:sz w:val="18"/>
              </w:rPr>
              <w:t>重型再生障碍性贫血</w:t>
            </w:r>
          </w:p>
        </w:tc>
        <w:tc>
          <w:tcPr>
            <w:tcW w:w="949" w:type="dxa"/>
          </w:tcPr>
          <w:p>
            <w:pPr>
              <w:pStyle w:val="TableParagraph"/>
              <w:spacing w:before="10"/>
              <w:ind w:left="0" w:right="106"/>
              <w:jc w:val="right"/>
              <w:rPr>
                <w:sz w:val="18"/>
              </w:rPr>
            </w:pPr>
            <w:r>
              <w:rPr>
                <w:sz w:val="18"/>
              </w:rPr>
              <w:t>49</w:t>
            </w:r>
          </w:p>
        </w:tc>
        <w:tc>
          <w:tcPr>
            <w:tcW w:w="2648" w:type="dxa"/>
          </w:tcPr>
          <w:p>
            <w:pPr>
              <w:pStyle w:val="TableParagraph"/>
              <w:spacing w:before="10"/>
              <w:ind w:left="105"/>
              <w:rPr>
                <w:sz w:val="18"/>
              </w:rPr>
            </w:pPr>
            <w:r>
              <w:rPr>
                <w:sz w:val="18"/>
              </w:rPr>
              <w:t>原发性硬化性胆管炎</w:t>
            </w:r>
          </w:p>
        </w:tc>
      </w:tr>
      <w:tr>
        <w:trPr>
          <w:trHeight w:val="246" w:hRule="atLeast"/>
        </w:trPr>
        <w:tc>
          <w:tcPr>
            <w:tcW w:w="491" w:type="dxa"/>
          </w:tcPr>
          <w:p>
            <w:pPr>
              <w:pStyle w:val="TableParagraph"/>
              <w:spacing w:line="216" w:lineRule="exact" w:before="10"/>
              <w:ind w:left="0" w:right="106"/>
              <w:jc w:val="right"/>
              <w:rPr>
                <w:sz w:val="18"/>
              </w:rPr>
            </w:pPr>
            <w:r>
              <w:rPr>
                <w:sz w:val="18"/>
              </w:rPr>
              <w:t>25</w:t>
            </w:r>
          </w:p>
        </w:tc>
        <w:tc>
          <w:tcPr>
            <w:tcW w:w="2568" w:type="dxa"/>
          </w:tcPr>
          <w:p>
            <w:pPr>
              <w:pStyle w:val="TableParagraph"/>
              <w:spacing w:line="216" w:lineRule="exact" w:before="10"/>
              <w:ind w:left="108"/>
              <w:rPr>
                <w:sz w:val="18"/>
              </w:rPr>
            </w:pPr>
            <w:r>
              <w:rPr>
                <w:sz w:val="18"/>
              </w:rPr>
              <w:t>主动脉手术</w:t>
            </w:r>
          </w:p>
        </w:tc>
        <w:tc>
          <w:tcPr>
            <w:tcW w:w="949" w:type="dxa"/>
          </w:tcPr>
          <w:p>
            <w:pPr>
              <w:pStyle w:val="TableParagraph"/>
              <w:spacing w:line="216" w:lineRule="exact" w:before="10"/>
              <w:ind w:left="0" w:right="106"/>
              <w:jc w:val="right"/>
              <w:rPr>
                <w:sz w:val="18"/>
              </w:rPr>
            </w:pPr>
            <w:r>
              <w:rPr>
                <w:sz w:val="18"/>
              </w:rPr>
              <w:t>50</w:t>
            </w:r>
          </w:p>
        </w:tc>
        <w:tc>
          <w:tcPr>
            <w:tcW w:w="2648" w:type="dxa"/>
          </w:tcPr>
          <w:p>
            <w:pPr>
              <w:pStyle w:val="TableParagraph"/>
              <w:spacing w:line="216" w:lineRule="exact" w:before="10"/>
              <w:ind w:left="105"/>
              <w:rPr>
                <w:sz w:val="18"/>
              </w:rPr>
            </w:pPr>
            <w:r>
              <w:rPr>
                <w:sz w:val="18"/>
              </w:rPr>
              <w:t>疯牛病</w:t>
            </w:r>
          </w:p>
        </w:tc>
      </w:tr>
    </w:tbl>
    <w:p>
      <w:pPr>
        <w:pStyle w:val="BodyText"/>
        <w:spacing w:line="259" w:lineRule="auto"/>
        <w:ind w:left="2073" w:right="141"/>
      </w:pPr>
      <w:r>
        <w:rPr>
          <w:spacing w:val="-3"/>
        </w:rPr>
        <w:t>以上各种重大疾病须本公司认可的</w:t>
      </w:r>
      <w:r>
        <w:rPr>
          <w:rFonts w:ascii="微软雅黑" w:eastAsia="微软雅黑" w:hint="eastAsia"/>
          <w:b/>
        </w:rPr>
        <w:t>专科医生</w:t>
      </w:r>
      <w:r>
        <w:rPr>
          <w:spacing w:val="-3"/>
        </w:rPr>
        <w:t>明确诊断，符合以下定义（</w:t>
      </w:r>
      <w:r>
        <w:rPr>
          <w:spacing w:val="-2"/>
        </w:rPr>
        <w:t>其中， </w:t>
      </w:r>
      <w:r>
        <w:rPr>
          <w:spacing w:val="-23"/>
        </w:rPr>
        <w:t>前 </w:t>
      </w:r>
      <w:r>
        <w:rPr/>
        <w:t>25</w:t>
      </w:r>
      <w:r>
        <w:rPr>
          <w:spacing w:val="-8"/>
        </w:rPr>
        <w:t> 种重大疾病定义完全采用了中国保险行业协会发布的《重大疾病保险的</w:t>
      </w:r>
      <w:r>
        <w:rPr>
          <w:spacing w:val="-5"/>
          <w:w w:val="100"/>
        </w:rPr>
        <w:t>疾病定义使用规范》中的疾病定义</w:t>
      </w:r>
      <w:r>
        <w:rPr>
          <w:spacing w:val="-108"/>
          <w:w w:val="100"/>
        </w:rPr>
        <w:t>）</w:t>
      </w:r>
      <w:r>
        <w:rPr>
          <w:w w:val="100"/>
        </w:rPr>
        <w:t>：</w:t>
      </w:r>
    </w:p>
    <w:p>
      <w:pPr>
        <w:pStyle w:val="BodyText"/>
        <w:tabs>
          <w:tab w:pos="2073" w:val="left" w:leader="none"/>
        </w:tabs>
        <w:spacing w:line="312" w:lineRule="exact" w:before="14"/>
        <w:ind w:left="2073" w:right="206" w:hanging="1961"/>
        <w:jc w:val="both"/>
      </w:pPr>
      <w:r>
        <w:rPr>
          <w:rFonts w:ascii="微软雅黑" w:eastAsia="微软雅黑" w:hint="eastAsia"/>
          <w:b/>
          <w:spacing w:val="5"/>
        </w:rPr>
        <w:t>1.</w:t>
      </w:r>
      <w:r>
        <w:rPr>
          <w:rFonts w:ascii="微软雅黑" w:eastAsia="微软雅黑" w:hint="eastAsia"/>
          <w:b/>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 血管</w:t>
      </w:r>
      <w:r>
        <w:rPr>
          <w:spacing w:val="-34"/>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32"/>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6"/>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before="4"/>
        <w:ind w:left="2073" w:right="4556"/>
      </w:pPr>
      <w:r>
        <w:rPr/>
        <w:t>（ICD-10）的恶性肿瘤范畴。下列疾病不在保障范围内：</w:t>
      </w:r>
    </w:p>
    <w:p>
      <w:pPr>
        <w:pStyle w:val="BodyText"/>
        <w:spacing w:before="118"/>
        <w:ind w:left="2073"/>
      </w:pPr>
      <w:r>
        <w:rPr/>
        <w:t>（1）原位癌；</w:t>
      </w:r>
    </w:p>
    <w:p>
      <w:pPr>
        <w:pStyle w:val="BodyText"/>
        <w:spacing w:before="37"/>
        <w:ind w:left="2073"/>
      </w:pPr>
      <w:r>
        <w:rPr/>
        <w:t>（2）相当于 Binet 分期方案 A 期程度的慢性淋巴细胞白血病；</w:t>
      </w:r>
    </w:p>
    <w:p>
      <w:pPr>
        <w:pStyle w:val="BodyText"/>
        <w:spacing w:before="36"/>
        <w:ind w:left="2073"/>
      </w:pPr>
      <w:r>
        <w:rPr/>
        <w:t>（3）相当于 Ann Arbor 分期方案 I 期程度的何杰金氏病；</w:t>
      </w:r>
    </w:p>
    <w:p>
      <w:pPr>
        <w:pStyle w:val="BodyText"/>
        <w:spacing w:before="36"/>
        <w:ind w:left="20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0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073"/>
      </w:pPr>
      <w:r>
        <w:rPr/>
        <w:t>（6）感染艾滋病病毒或患艾滋病期间所患恶性肿瘤。</w:t>
      </w:r>
    </w:p>
    <w:p>
      <w:pPr>
        <w:spacing w:line="247" w:lineRule="auto" w:before="106"/>
        <w:ind w:left="2073" w:right="206" w:hanging="1961"/>
        <w:jc w:val="both"/>
        <w:rPr>
          <w:sz w:val="21"/>
        </w:rPr>
      </w:pPr>
      <w:r>
        <w:rPr>
          <w:rFonts w:ascii="微软雅黑" w:eastAsia="微软雅黑" w:hint="eastAsia"/>
          <w:b/>
          <w:spacing w:val="5"/>
          <w:sz w:val="21"/>
        </w:rPr>
        <w:t>2</w:t>
      </w:r>
      <w:r>
        <w:rPr>
          <w:rFonts w:ascii="微软雅黑" w:eastAsia="微软雅黑" w:hint="eastAsia"/>
          <w:b/>
          <w:spacing w:val="2"/>
          <w:sz w:val="21"/>
        </w:rPr>
        <w:t>.急性心肌梗塞     </w:t>
      </w:r>
      <w:r>
        <w:rPr>
          <w:spacing w:val="-6"/>
          <w:sz w:val="21"/>
        </w:rPr>
        <w:t>指因冠状动脉阻塞导致的相应区域供血不足造成部分心肌坏死。须满足下列至</w:t>
      </w:r>
      <w:r>
        <w:rPr>
          <w:spacing w:val="-4"/>
          <w:sz w:val="21"/>
        </w:rPr>
        <w:t>少三项条件：</w:t>
      </w:r>
    </w:p>
    <w:p>
      <w:pPr>
        <w:pStyle w:val="BodyText"/>
        <w:spacing w:before="30"/>
        <w:ind w:left="2073"/>
      </w:pPr>
      <w:r>
        <w:rPr/>
        <w:t>（1）典型临床表现，例如急性胸痛等；</w:t>
      </w:r>
    </w:p>
    <w:p>
      <w:pPr>
        <w:pStyle w:val="BodyText"/>
        <w:spacing w:before="36"/>
        <w:ind w:left="2073"/>
      </w:pPr>
      <w:r>
        <w:rPr/>
        <w:t>（2）新近的心电图改变提示急性心肌梗塞；</w:t>
      </w:r>
    </w:p>
    <w:p>
      <w:pPr>
        <w:pStyle w:val="BodyText"/>
        <w:spacing w:line="273" w:lineRule="auto" w:before="36"/>
        <w:ind w:left="2600" w:right="249" w:hanging="527"/>
      </w:pPr>
      <w:r>
        <w:rPr/>
        <w:t>（3）心肌酶或肌钙蛋白有诊断意义的升高，或呈符合急性心肌梗塞的动态性变化；</w:t>
      </w:r>
    </w:p>
    <w:p>
      <w:pPr>
        <w:pStyle w:val="BodyText"/>
        <w:spacing w:before="7"/>
        <w:ind w:left="2073"/>
      </w:pPr>
      <w:r>
        <w:rPr>
          <w:spacing w:val="-13"/>
        </w:rPr>
        <w:t>（4）</w:t>
      </w:r>
      <w:r>
        <w:rPr>
          <w:spacing w:val="-16"/>
        </w:rPr>
        <w:t>发病 </w:t>
      </w:r>
      <w:r>
        <w:rPr/>
        <w:t>90</w:t>
      </w:r>
      <w:r>
        <w:rPr>
          <w:spacing w:val="-15"/>
        </w:rPr>
        <w:t> 天后，经检查证实左心室功能降低，如左心室射血分数低于 </w:t>
      </w:r>
      <w:r>
        <w:rPr/>
        <w:t>50%。</w:t>
      </w:r>
    </w:p>
    <w:p>
      <w:pPr>
        <w:pStyle w:val="BodyText"/>
        <w:spacing w:before="7"/>
        <w:rPr>
          <w:sz w:val="14"/>
        </w:rPr>
      </w:pPr>
    </w:p>
    <w:p>
      <w:pPr>
        <w:pStyle w:val="BodyText"/>
        <w:spacing w:line="259" w:lineRule="auto"/>
        <w:ind w:left="2073" w:right="206" w:hanging="1961"/>
        <w:jc w:val="both"/>
      </w:pPr>
      <w:r>
        <w:rPr>
          <w:rFonts w:ascii="微软雅黑" w:eastAsia="微软雅黑" w:hint="eastAsia"/>
          <w:b/>
          <w:spacing w:val="5"/>
        </w:rPr>
        <w:t>3</w:t>
      </w:r>
      <w:r>
        <w:rPr>
          <w:rFonts w:ascii="微软雅黑" w:eastAsia="微软雅黑" w:hint="eastAsia"/>
          <w:b/>
          <w:spacing w:val="2"/>
        </w:rPr>
        <w:t>.脑中风后遗症     </w:t>
      </w:r>
      <w:r>
        <w:rPr>
          <w:spacing w:val="-7"/>
        </w:rPr>
        <w:t>指因脑血管的突发病变引起脑血管出血、栓塞或梗塞，并导致神经系统永久性</w:t>
      </w:r>
      <w:r>
        <w:rPr>
          <w:spacing w:val="-10"/>
        </w:rPr>
        <w:t>的功能障碍。神经系统永久性的功能障碍，指疾病确诊 </w:t>
      </w:r>
      <w:r>
        <w:rPr/>
        <w:t>180</w:t>
      </w:r>
      <w:r>
        <w:rPr>
          <w:spacing w:val="-10"/>
        </w:rPr>
        <w:t> 天后，仍遗留下列</w:t>
      </w:r>
      <w:r>
        <w:rPr>
          <w:spacing w:val="-5"/>
        </w:rPr>
        <w:t>一种或一种以上障碍：</w:t>
      </w:r>
    </w:p>
    <w:p>
      <w:pPr>
        <w:pStyle w:val="BodyText"/>
        <w:spacing w:before="20"/>
        <w:ind w:left="2073"/>
      </w:pPr>
      <w:r>
        <w:rPr/>
        <w:t>（1）一肢或一肢以上肢体机能完全丧失；</w:t>
      </w:r>
    </w:p>
    <w:p>
      <w:pPr>
        <w:pStyle w:val="BodyText"/>
        <w:spacing w:line="262" w:lineRule="exact" w:before="37"/>
        <w:ind w:left="2073"/>
      </w:pPr>
      <w:r>
        <w:rPr/>
        <w:t>（2）语言能力或咀嚼吞咽能力完全丧失；</w:t>
      </w:r>
    </w:p>
    <w:p>
      <w:pPr>
        <w:spacing w:line="247" w:lineRule="auto" w:before="0"/>
        <w:ind w:left="2073" w:right="242"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4"/>
        <w:rPr>
          <w:sz w:val="16"/>
        </w:rPr>
      </w:pPr>
    </w:p>
    <w:p>
      <w:pPr>
        <w:spacing w:after="0"/>
        <w:rPr>
          <w:sz w:val="16"/>
        </w:rPr>
        <w:sectPr>
          <w:pgSz w:w="11910" w:h="16840"/>
          <w:pgMar w:header="0" w:footer="375" w:top="1340" w:bottom="640" w:left="1680" w:right="860"/>
        </w:sectPr>
      </w:pPr>
    </w:p>
    <w:p>
      <w:pPr>
        <w:pStyle w:val="Heading2"/>
        <w:spacing w:line="206" w:lineRule="auto" w:before="25"/>
        <w:ind w:left="336" w:hanging="224"/>
        <w:jc w:val="both"/>
      </w:pPr>
      <w:r>
        <w:rPr/>
        <w:t>4.重大器官移植术或造血干细胞移植术</w:t>
      </w:r>
    </w:p>
    <w:p>
      <w:pPr>
        <w:pStyle w:val="BodyText"/>
        <w:spacing w:line="273" w:lineRule="auto" w:before="37"/>
        <w:ind w:left="113" w:right="209"/>
      </w:pPr>
      <w:r>
        <w:rPr/>
        <w:br w:type="column"/>
      </w:r>
      <w:r>
        <w:rPr>
          <w:spacing w:val="-8"/>
        </w:rPr>
        <w:t>重大器官移植术，指因相应器官功能衰竭，已经实施了肾脏、肝脏、心脏或肺</w:t>
      </w:r>
      <w:r>
        <w:rPr>
          <w:spacing w:val="-5"/>
        </w:rPr>
        <w:t>脏的异体移植手术。</w:t>
      </w:r>
    </w:p>
    <w:p>
      <w:pPr>
        <w:pStyle w:val="BodyText"/>
        <w:spacing w:line="273" w:lineRule="auto" w:before="8"/>
        <w:ind w:left="113" w:right="206"/>
      </w:pPr>
      <w:r>
        <w:rPr>
          <w:spacing w:val="-8"/>
        </w:rPr>
        <w:t>造血干细胞移植术，指因造血功能损害或造血系统恶性肿瘤，已经实施了造血</w:t>
      </w:r>
      <w:r>
        <w:rPr>
          <w:spacing w:val="-13"/>
        </w:rPr>
        <w:t>干细胞</w:t>
      </w:r>
      <w:r>
        <w:rPr>
          <w:spacing w:val="-3"/>
        </w:rPr>
        <w:t>（</w:t>
      </w:r>
      <w:r>
        <w:rPr>
          <w:spacing w:val="-5"/>
        </w:rPr>
        <w:t>包括骨髓造血干细胞、外周血造血干细胞和脐血造血干细胞</w:t>
      </w:r>
      <w:r>
        <w:rPr>
          <w:spacing w:val="-20"/>
        </w:rPr>
        <w:t>）</w:t>
      </w:r>
      <w:r>
        <w:rPr>
          <w:spacing w:val="-2"/>
        </w:rPr>
        <w:t>的异体</w:t>
      </w:r>
    </w:p>
    <w:p>
      <w:pPr>
        <w:spacing w:after="0" w:line="273" w:lineRule="auto"/>
        <w:sectPr>
          <w:type w:val="continuous"/>
          <w:pgSz w:w="11910" w:h="16840"/>
          <w:pgMar w:top="1360" w:bottom="280" w:left="1680" w:right="860"/>
          <w:cols w:num="2" w:equalWidth="0">
            <w:col w:w="1815" w:space="145"/>
            <w:col w:w="7410"/>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412"/>
      </w:tblGrid>
      <w:tr>
        <w:trPr>
          <w:trHeight w:val="284" w:hRule="atLeast"/>
        </w:trPr>
        <w:tc>
          <w:tcPr>
            <w:tcW w:w="2034" w:type="dxa"/>
          </w:tcPr>
          <w:p>
            <w:pPr>
              <w:pStyle w:val="TableParagraph"/>
              <w:ind w:left="0"/>
              <w:rPr>
                <w:rFonts w:ascii="Times New Roman"/>
                <w:sz w:val="20"/>
              </w:rPr>
            </w:pPr>
          </w:p>
        </w:tc>
        <w:tc>
          <w:tcPr>
            <w:tcW w:w="7412" w:type="dxa"/>
          </w:tcPr>
          <w:p>
            <w:pPr>
              <w:pStyle w:val="TableParagraph"/>
              <w:spacing w:line="205" w:lineRule="exact"/>
              <w:ind w:left="126"/>
              <w:rPr>
                <w:sz w:val="21"/>
              </w:rPr>
            </w:pPr>
            <w:r>
              <w:rPr>
                <w:sz w:val="21"/>
              </w:rPr>
              <w:t>移植手术。</w:t>
            </w:r>
          </w:p>
        </w:tc>
      </w:tr>
      <w:tr>
        <w:trPr>
          <w:trHeight w:val="1353" w:hRule="atLeast"/>
        </w:trPr>
        <w:tc>
          <w:tcPr>
            <w:tcW w:w="2034" w:type="dxa"/>
          </w:tcPr>
          <w:p>
            <w:pPr>
              <w:pStyle w:val="TableParagraph"/>
              <w:spacing w:line="278" w:lineRule="exact"/>
              <w:ind w:left="200"/>
              <w:rPr>
                <w:rFonts w:ascii="微软雅黑" w:eastAsia="微软雅黑" w:hint="eastAsia"/>
                <w:b/>
                <w:sz w:val="21"/>
              </w:rPr>
            </w:pPr>
            <w:r>
              <w:rPr>
                <w:rFonts w:ascii="微软雅黑" w:eastAsia="微软雅黑" w:hint="eastAsia"/>
                <w:b/>
                <w:sz w:val="21"/>
              </w:rPr>
              <w:t>5.冠状动脉搭桥术</w:t>
            </w:r>
          </w:p>
          <w:p>
            <w:pPr>
              <w:pStyle w:val="TableParagraph"/>
              <w:spacing w:line="206" w:lineRule="auto" w:before="25"/>
              <w:ind w:left="423" w:right="130"/>
              <w:rPr>
                <w:rFonts w:ascii="微软雅黑" w:eastAsia="微软雅黑" w:hint="eastAsia"/>
                <w:b/>
                <w:sz w:val="21"/>
              </w:rPr>
            </w:pPr>
            <w:r>
              <w:rPr>
                <w:rFonts w:ascii="微软雅黑" w:eastAsia="微软雅黑" w:hint="eastAsia"/>
                <w:b/>
                <w:sz w:val="21"/>
              </w:rPr>
              <w:t>（或称冠状动脉旁路移植术）</w:t>
            </w:r>
          </w:p>
        </w:tc>
        <w:tc>
          <w:tcPr>
            <w:tcW w:w="7412" w:type="dxa"/>
          </w:tcPr>
          <w:p>
            <w:pPr>
              <w:pStyle w:val="TableParagraph"/>
              <w:spacing w:line="273" w:lineRule="auto" w:before="3"/>
              <w:ind w:left="126" w:right="346"/>
              <w:rPr>
                <w:sz w:val="21"/>
              </w:rPr>
            </w:pPr>
            <w:r>
              <w:rPr>
                <w:sz w:val="21"/>
              </w:rPr>
              <w:t>指为治疗严重的冠心病，实际实施了开胸进行的冠状动脉血管旁路移植的手术。</w:t>
            </w:r>
          </w:p>
          <w:p>
            <w:pPr>
              <w:pStyle w:val="TableParagraph"/>
              <w:spacing w:line="273" w:lineRule="auto" w:before="7"/>
              <w:ind w:left="126" w:right="199"/>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1106" w:hRule="atLeast"/>
        </w:trPr>
        <w:tc>
          <w:tcPr>
            <w:tcW w:w="2034" w:type="dxa"/>
          </w:tcPr>
          <w:p>
            <w:pPr>
              <w:pStyle w:val="TableParagraph"/>
              <w:spacing w:line="206" w:lineRule="auto" w:before="51"/>
              <w:ind w:left="423" w:right="130" w:hanging="224"/>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412" w:type="dxa"/>
          </w:tcPr>
          <w:p>
            <w:pPr>
              <w:pStyle w:val="TableParagraph"/>
              <w:spacing w:line="273" w:lineRule="auto" w:before="63"/>
              <w:ind w:left="126" w:right="233"/>
              <w:rPr>
                <w:sz w:val="21"/>
              </w:rPr>
            </w:pPr>
            <w:r>
              <w:rPr>
                <w:sz w:val="21"/>
              </w:rPr>
              <w:t>指双肾功能慢性不可逆性衰竭，达到尿毒症期，经诊断后已经进行了至少 90 天的规律性透析治疗或实施了肾脏移植手术。</w:t>
            </w:r>
          </w:p>
        </w:tc>
      </w:tr>
      <w:tr>
        <w:trPr>
          <w:trHeight w:val="757" w:hRule="atLeast"/>
        </w:trPr>
        <w:tc>
          <w:tcPr>
            <w:tcW w:w="2034" w:type="dxa"/>
          </w:tcPr>
          <w:p>
            <w:pPr>
              <w:pStyle w:val="TableParagraph"/>
              <w:spacing w:before="5"/>
              <w:ind w:left="200"/>
              <w:rPr>
                <w:rFonts w:ascii="微软雅黑" w:eastAsia="微软雅黑" w:hint="eastAsia"/>
                <w:b/>
                <w:sz w:val="21"/>
              </w:rPr>
            </w:pPr>
            <w:r>
              <w:rPr>
                <w:rFonts w:ascii="微软雅黑" w:eastAsia="微软雅黑" w:hint="eastAsia"/>
                <w:b/>
                <w:sz w:val="21"/>
              </w:rPr>
              <w:t>7.多个肢体缺失</w:t>
            </w:r>
          </w:p>
        </w:tc>
        <w:tc>
          <w:tcPr>
            <w:tcW w:w="7412" w:type="dxa"/>
          </w:tcPr>
          <w:p>
            <w:pPr>
              <w:pStyle w:val="TableParagraph"/>
              <w:spacing w:line="273" w:lineRule="auto" w:before="68"/>
              <w:ind w:left="126" w:right="132"/>
              <w:rPr>
                <w:sz w:val="21"/>
              </w:rPr>
            </w:pPr>
            <w:r>
              <w:rPr>
                <w:sz w:val="21"/>
              </w:rPr>
              <w:t>指因疾病或意外伤害导致两个或两个以上肢体自腕关节或踝关节近端（靠近躯干端）以上完全性断离。</w:t>
            </w:r>
          </w:p>
        </w:tc>
      </w:tr>
      <w:tr>
        <w:trPr>
          <w:trHeight w:val="2039" w:hRule="atLeast"/>
        </w:trPr>
        <w:tc>
          <w:tcPr>
            <w:tcW w:w="2034" w:type="dxa"/>
          </w:tcPr>
          <w:p>
            <w:pPr>
              <w:pStyle w:val="TableParagraph"/>
              <w:spacing w:line="206" w:lineRule="auto" w:before="14"/>
              <w:ind w:left="423" w:right="130" w:hanging="224"/>
              <w:rPr>
                <w:rFonts w:ascii="微软雅黑" w:eastAsia="微软雅黑" w:hint="eastAsia"/>
                <w:b/>
                <w:sz w:val="21"/>
              </w:rPr>
            </w:pPr>
            <w:r>
              <w:rPr>
                <w:rFonts w:ascii="微软雅黑" w:eastAsia="微软雅黑" w:hint="eastAsia"/>
                <w:b/>
                <w:sz w:val="21"/>
              </w:rPr>
              <w:t>8.急性或亚急性重症肝炎</w:t>
            </w:r>
          </w:p>
        </w:tc>
        <w:tc>
          <w:tcPr>
            <w:tcW w:w="7412" w:type="dxa"/>
          </w:tcPr>
          <w:p>
            <w:pPr>
              <w:pStyle w:val="TableParagraph"/>
              <w:spacing w:line="273" w:lineRule="auto" w:before="26"/>
              <w:ind w:left="126" w:right="144"/>
              <w:rPr>
                <w:sz w:val="21"/>
              </w:rPr>
            </w:pPr>
            <w:r>
              <w:rPr>
                <w:sz w:val="21"/>
              </w:rPr>
              <w:t>指因肝炎病毒感染引起肝脏组织弥漫性坏死，导致急性肝功能衰竭，且经血清学或病毒学检查证实，并须满足下列全部条件：</w:t>
            </w:r>
          </w:p>
          <w:p>
            <w:pPr>
              <w:pStyle w:val="TableParagraph"/>
              <w:spacing w:before="7"/>
              <w:ind w:left="126"/>
              <w:rPr>
                <w:sz w:val="21"/>
              </w:rPr>
            </w:pPr>
            <w:r>
              <w:rPr>
                <w:sz w:val="21"/>
              </w:rPr>
              <w:t>（1）重度黄疸或黄疸迅速加重；</w:t>
            </w:r>
          </w:p>
          <w:p>
            <w:pPr>
              <w:pStyle w:val="TableParagraph"/>
              <w:spacing w:before="36"/>
              <w:ind w:left="126"/>
              <w:rPr>
                <w:sz w:val="21"/>
              </w:rPr>
            </w:pPr>
            <w:r>
              <w:rPr>
                <w:sz w:val="21"/>
              </w:rPr>
              <w:t>（2）肝性脑病；</w:t>
            </w:r>
          </w:p>
          <w:p>
            <w:pPr>
              <w:pStyle w:val="TableParagraph"/>
              <w:spacing w:before="36"/>
              <w:ind w:left="126"/>
              <w:rPr>
                <w:sz w:val="21"/>
              </w:rPr>
            </w:pPr>
            <w:r>
              <w:rPr>
                <w:sz w:val="21"/>
              </w:rPr>
              <w:t>（3）B 超或其它影像学检查显示肝脏体积急速萎缩；</w:t>
            </w:r>
          </w:p>
          <w:p>
            <w:pPr>
              <w:pStyle w:val="TableParagraph"/>
              <w:spacing w:before="36"/>
              <w:ind w:left="126"/>
              <w:rPr>
                <w:sz w:val="21"/>
              </w:rPr>
            </w:pPr>
            <w:r>
              <w:rPr>
                <w:sz w:val="21"/>
              </w:rPr>
              <w:t>（4）肝功能指标进行性恶化。</w:t>
            </w:r>
          </w:p>
        </w:tc>
      </w:tr>
      <w:tr>
        <w:trPr>
          <w:trHeight w:val="2389" w:hRule="atLeast"/>
        </w:trPr>
        <w:tc>
          <w:tcPr>
            <w:tcW w:w="2034" w:type="dxa"/>
          </w:tcPr>
          <w:p>
            <w:pPr>
              <w:pStyle w:val="TableParagraph"/>
              <w:spacing w:before="39"/>
              <w:ind w:left="200"/>
              <w:rPr>
                <w:rFonts w:ascii="微软雅黑" w:eastAsia="微软雅黑" w:hint="eastAsia"/>
                <w:b/>
                <w:sz w:val="21"/>
              </w:rPr>
            </w:pPr>
            <w:r>
              <w:rPr>
                <w:rFonts w:ascii="微软雅黑" w:eastAsia="微软雅黑" w:hint="eastAsia"/>
                <w:b/>
                <w:sz w:val="21"/>
              </w:rPr>
              <w:t>9.良性脑肿瘤</w:t>
            </w:r>
          </w:p>
        </w:tc>
        <w:tc>
          <w:tcPr>
            <w:tcW w:w="7412" w:type="dxa"/>
          </w:tcPr>
          <w:p>
            <w:pPr>
              <w:pStyle w:val="TableParagraph"/>
              <w:spacing w:line="273" w:lineRule="auto" w:before="101"/>
              <w:ind w:left="126" w:right="201"/>
              <w:jc w:val="both"/>
              <w:rPr>
                <w:sz w:val="21"/>
              </w:rPr>
            </w:pPr>
            <w:r>
              <w:rPr>
                <w:spacing w:val="-8"/>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ind w:left="126"/>
              <w:jc w:val="both"/>
              <w:rPr>
                <w:sz w:val="21"/>
              </w:rPr>
            </w:pPr>
            <w:r>
              <w:rPr>
                <w:sz w:val="21"/>
              </w:rPr>
              <w:t>（1）实际实施了开颅进行的脑肿瘤完全切除或部分切除的手术；</w:t>
            </w:r>
          </w:p>
          <w:p>
            <w:pPr>
              <w:pStyle w:val="TableParagraph"/>
              <w:spacing w:before="37"/>
              <w:ind w:left="126"/>
              <w:jc w:val="both"/>
              <w:rPr>
                <w:sz w:val="21"/>
              </w:rPr>
            </w:pPr>
            <w:r>
              <w:rPr>
                <w:sz w:val="21"/>
              </w:rPr>
              <w:t>（2）实际实施了对脑肿瘤进行的放射治疗。</w:t>
            </w:r>
          </w:p>
          <w:p>
            <w:pPr>
              <w:pStyle w:val="TableParagraph"/>
              <w:spacing w:before="37"/>
              <w:ind w:left="126"/>
              <w:jc w:val="both"/>
              <w:rPr>
                <w:sz w:val="21"/>
              </w:rPr>
            </w:pPr>
            <w:r>
              <w:rPr>
                <w:sz w:val="21"/>
              </w:rPr>
              <w:t>脑垂体瘤、脑囊肿、脑血管性疾病不在保障范围内。</w:t>
            </w:r>
          </w:p>
        </w:tc>
      </w:tr>
      <w:tr>
        <w:trPr>
          <w:trHeight w:val="2003" w:hRule="atLeast"/>
        </w:trPr>
        <w:tc>
          <w:tcPr>
            <w:tcW w:w="2034" w:type="dxa"/>
          </w:tcPr>
          <w:p>
            <w:pPr>
              <w:pStyle w:val="TableParagraph"/>
              <w:spacing w:line="206" w:lineRule="auto" w:before="52"/>
              <w:ind w:left="639" w:right="125" w:hanging="420"/>
              <w:rPr>
                <w:rFonts w:ascii="微软雅黑" w:eastAsia="微软雅黑" w:hint="eastAsia"/>
                <w:b/>
                <w:sz w:val="21"/>
              </w:rPr>
            </w:pPr>
            <w:r>
              <w:rPr>
                <w:rFonts w:ascii="微软雅黑" w:eastAsia="微软雅黑" w:hint="eastAsia"/>
                <w:b/>
                <w:sz w:val="21"/>
              </w:rPr>
              <w:t>10. 慢性肝功能衰竭失代偿期</w:t>
            </w:r>
          </w:p>
        </w:tc>
        <w:tc>
          <w:tcPr>
            <w:tcW w:w="7412" w:type="dxa"/>
          </w:tcPr>
          <w:p>
            <w:pPr>
              <w:pStyle w:val="TableParagraph"/>
              <w:spacing w:before="64"/>
              <w:ind w:left="126"/>
              <w:rPr>
                <w:sz w:val="21"/>
              </w:rPr>
            </w:pPr>
            <w:r>
              <w:rPr>
                <w:sz w:val="21"/>
              </w:rPr>
              <w:t>指因慢性肝脏疾病导致肝功能衰竭,须满足下列全部条件：</w:t>
            </w:r>
          </w:p>
          <w:p>
            <w:pPr>
              <w:pStyle w:val="TableParagraph"/>
              <w:spacing w:before="37"/>
              <w:ind w:left="126"/>
              <w:rPr>
                <w:sz w:val="21"/>
              </w:rPr>
            </w:pPr>
            <w:r>
              <w:rPr>
                <w:sz w:val="21"/>
              </w:rPr>
              <w:t>（1）持续性黄疸；</w:t>
            </w:r>
          </w:p>
          <w:p>
            <w:pPr>
              <w:pStyle w:val="TableParagraph"/>
              <w:spacing w:before="37"/>
              <w:ind w:left="126"/>
              <w:rPr>
                <w:sz w:val="21"/>
              </w:rPr>
            </w:pPr>
            <w:r>
              <w:rPr>
                <w:sz w:val="21"/>
              </w:rPr>
              <w:t>（2）腹水；</w:t>
            </w:r>
          </w:p>
          <w:p>
            <w:pPr>
              <w:pStyle w:val="TableParagraph"/>
              <w:spacing w:before="37"/>
              <w:ind w:left="126"/>
              <w:rPr>
                <w:sz w:val="21"/>
              </w:rPr>
            </w:pPr>
            <w:r>
              <w:rPr>
                <w:sz w:val="21"/>
              </w:rPr>
              <w:t>（3）肝性脑病；</w:t>
            </w:r>
          </w:p>
          <w:p>
            <w:pPr>
              <w:pStyle w:val="TableParagraph"/>
              <w:spacing w:line="273" w:lineRule="auto" w:before="37"/>
              <w:ind w:left="126" w:right="2133"/>
              <w:rPr>
                <w:sz w:val="21"/>
              </w:rPr>
            </w:pPr>
            <w:r>
              <w:rPr>
                <w:sz w:val="21"/>
              </w:rPr>
              <w:t>（4）充血性脾肿大伴脾功能亢进或食管胃底静脉曲张。因酗酒或药物滥用导致的肝功能衰竭不在保障范围内。</w:t>
            </w:r>
          </w:p>
        </w:tc>
      </w:tr>
      <w:tr>
        <w:trPr>
          <w:trHeight w:val="1979" w:hRule="atLeast"/>
        </w:trPr>
        <w:tc>
          <w:tcPr>
            <w:tcW w:w="2034" w:type="dxa"/>
          </w:tcPr>
          <w:p>
            <w:pPr>
              <w:pStyle w:val="TableParagraph"/>
              <w:spacing w:line="206" w:lineRule="auto" w:before="15"/>
              <w:ind w:left="639" w:right="125" w:hanging="420"/>
              <w:rPr>
                <w:rFonts w:ascii="微软雅黑" w:eastAsia="微软雅黑" w:hint="eastAsia"/>
                <w:b/>
                <w:sz w:val="21"/>
              </w:rPr>
            </w:pPr>
            <w:r>
              <w:rPr>
                <w:rFonts w:ascii="微软雅黑" w:eastAsia="微软雅黑" w:hint="eastAsia"/>
                <w:b/>
                <w:sz w:val="21"/>
              </w:rPr>
              <w:t>11. 脑炎后遗症或脑膜炎后遗症</w:t>
            </w:r>
          </w:p>
        </w:tc>
        <w:tc>
          <w:tcPr>
            <w:tcW w:w="7412" w:type="dxa"/>
          </w:tcPr>
          <w:p>
            <w:pPr>
              <w:pStyle w:val="TableParagraph"/>
              <w:spacing w:line="273" w:lineRule="auto" w:before="27"/>
              <w:ind w:left="126" w:right="199"/>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3"/>
                <w:sz w:val="21"/>
              </w:rPr>
              <w:t> 天后，仍遗留下列一种或一种以上障碍：</w:t>
            </w:r>
          </w:p>
          <w:p>
            <w:pPr>
              <w:pStyle w:val="TableParagraph"/>
              <w:spacing w:line="283" w:lineRule="exact"/>
              <w:ind w:left="126"/>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ind w:left="126"/>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left="126" w:right="242"/>
              <w:rPr>
                <w:sz w:val="21"/>
              </w:rPr>
            </w:pPr>
            <w:r>
              <w:rPr>
                <w:sz w:val="21"/>
              </w:rPr>
              <w:t>（3）自主生活能力完全丧失，无法独立完成六项基本日常生活活动中的三项或三项以上。</w:t>
            </w:r>
          </w:p>
        </w:tc>
      </w:tr>
      <w:tr>
        <w:trPr>
          <w:trHeight w:val="1389" w:hRule="atLeast"/>
        </w:trPr>
        <w:tc>
          <w:tcPr>
            <w:tcW w:w="2034" w:type="dxa"/>
          </w:tcPr>
          <w:p>
            <w:pPr>
              <w:pStyle w:val="TableParagraph"/>
              <w:spacing w:line="341" w:lineRule="exact"/>
              <w:ind w:left="219"/>
              <w:rPr>
                <w:rFonts w:ascii="微软雅黑" w:eastAsia="微软雅黑" w:hint="eastAsia"/>
                <w:b/>
                <w:sz w:val="21"/>
              </w:rPr>
            </w:pPr>
            <w:r>
              <w:rPr>
                <w:rFonts w:ascii="微软雅黑" w:eastAsia="微软雅黑" w:hint="eastAsia"/>
                <w:b/>
                <w:sz w:val="21"/>
              </w:rPr>
              <w:t>12. 深度昏迷</w:t>
            </w:r>
          </w:p>
        </w:tc>
        <w:tc>
          <w:tcPr>
            <w:tcW w:w="7412" w:type="dxa"/>
          </w:tcPr>
          <w:p>
            <w:pPr>
              <w:pStyle w:val="TableParagraph"/>
              <w:spacing w:line="273" w:lineRule="auto" w:before="40"/>
              <w:ind w:left="126" w:right="199"/>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 小时以上。</w:t>
            </w:r>
          </w:p>
          <w:p>
            <w:pPr>
              <w:pStyle w:val="TableParagraph"/>
              <w:spacing w:before="7"/>
              <w:ind w:left="126"/>
              <w:rPr>
                <w:sz w:val="21"/>
              </w:rPr>
            </w:pPr>
            <w:r>
              <w:rPr>
                <w:sz w:val="21"/>
              </w:rPr>
              <w:t>因酗酒或药物滥用导致的深度昏迷不在保障范围内。</w:t>
            </w:r>
          </w:p>
        </w:tc>
      </w:tr>
      <w:tr>
        <w:trPr>
          <w:trHeight w:val="967" w:hRule="atLeast"/>
        </w:trPr>
        <w:tc>
          <w:tcPr>
            <w:tcW w:w="2034" w:type="dxa"/>
          </w:tcPr>
          <w:p>
            <w:pPr>
              <w:pStyle w:val="TableParagraph"/>
              <w:spacing w:line="362" w:lineRule="exact"/>
              <w:ind w:left="219"/>
              <w:rPr>
                <w:rFonts w:ascii="微软雅黑" w:eastAsia="微软雅黑" w:hint="eastAsia"/>
                <w:b/>
                <w:sz w:val="21"/>
              </w:rPr>
            </w:pPr>
            <w:r>
              <w:rPr>
                <w:rFonts w:ascii="微软雅黑" w:eastAsia="微软雅黑" w:hint="eastAsia"/>
                <w:b/>
                <w:sz w:val="21"/>
              </w:rPr>
              <w:t>13. 双耳失聪</w:t>
            </w:r>
          </w:p>
        </w:tc>
        <w:tc>
          <w:tcPr>
            <w:tcW w:w="7412" w:type="dxa"/>
          </w:tcPr>
          <w:p>
            <w:pPr>
              <w:pStyle w:val="TableParagraph"/>
              <w:spacing w:line="312" w:lineRule="exact" w:before="57"/>
              <w:ind w:left="126" w:right="20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4"/>
                <w:sz w:val="21"/>
              </w:rPr>
              <w:t> 赫兹、</w:t>
            </w:r>
            <w:r>
              <w:rPr>
                <w:sz w:val="21"/>
              </w:rPr>
              <w:t>1000</w:t>
            </w:r>
            <w:r>
              <w:rPr>
                <w:spacing w:val="-25"/>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6"/>
                <w:sz w:val="21"/>
              </w:rPr>
              <w:t>抗检测或听觉诱发电位检测等证实。</w:t>
            </w:r>
          </w:p>
        </w:tc>
      </w:tr>
    </w:tbl>
    <w:p>
      <w:pPr>
        <w:spacing w:after="0" w:line="312" w:lineRule="exact"/>
        <w:rPr>
          <w:sz w:val="21"/>
        </w:rPr>
        <w:sectPr>
          <w:pgSz w:w="11910" w:h="16840"/>
          <w:pgMar w:header="0" w:footer="375" w:top="1340" w:bottom="560" w:left="148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7"/>
      </w:tblGrid>
      <w:tr>
        <w:trPr>
          <w:trHeight w:val="691" w:hRule="atLeast"/>
        </w:trPr>
        <w:tc>
          <w:tcPr>
            <w:tcW w:w="2014" w:type="dxa"/>
          </w:tcPr>
          <w:p>
            <w:pPr>
              <w:pStyle w:val="TableParagraph"/>
              <w:ind w:left="0"/>
              <w:rPr>
                <w:rFonts w:ascii="Times New Roman"/>
                <w:sz w:val="20"/>
              </w:rPr>
            </w:pPr>
          </w:p>
        </w:tc>
        <w:tc>
          <w:tcPr>
            <w:tcW w:w="7517" w:type="dxa"/>
          </w:tcPr>
          <w:p>
            <w:pPr>
              <w:pStyle w:val="TableParagraph"/>
              <w:spacing w:line="205" w:lineRule="exact"/>
              <w:rPr>
                <w:sz w:val="21"/>
              </w:rPr>
            </w:pPr>
            <w:r>
              <w:rPr>
                <w:sz w:val="21"/>
              </w:rPr>
              <w:t>被保险人申请理赔时年龄必须在三周岁以上，并且提供理赔当时的听力丧失诊</w:t>
            </w:r>
          </w:p>
          <w:p>
            <w:pPr>
              <w:pStyle w:val="TableParagraph"/>
              <w:spacing w:before="37"/>
              <w:rPr>
                <w:sz w:val="21"/>
              </w:rPr>
            </w:pPr>
            <w:r>
              <w:rPr>
                <w:sz w:val="21"/>
              </w:rPr>
              <w:t>断及检查证据。</w:t>
            </w:r>
          </w:p>
        </w:tc>
      </w:tr>
      <w:tr>
        <w:trPr>
          <w:trHeight w:val="2709" w:hRule="atLeast"/>
        </w:trPr>
        <w:tc>
          <w:tcPr>
            <w:tcW w:w="2014" w:type="dxa"/>
          </w:tcPr>
          <w:p>
            <w:pPr>
              <w:pStyle w:val="TableParagraph"/>
              <w:spacing w:before="35"/>
              <w:ind w:left="200"/>
              <w:rPr>
                <w:rFonts w:ascii="微软雅黑" w:eastAsia="微软雅黑" w:hint="eastAsia"/>
                <w:b/>
                <w:sz w:val="21"/>
              </w:rPr>
            </w:pPr>
            <w:r>
              <w:rPr>
                <w:rFonts w:ascii="微软雅黑" w:eastAsia="微软雅黑" w:hint="eastAsia"/>
                <w:b/>
                <w:sz w:val="21"/>
              </w:rPr>
              <w:t>14. 双目失明</w:t>
            </w:r>
          </w:p>
        </w:tc>
        <w:tc>
          <w:tcPr>
            <w:tcW w:w="7517" w:type="dxa"/>
          </w:tcPr>
          <w:p>
            <w:pPr>
              <w:pStyle w:val="TableParagraph"/>
              <w:spacing w:line="273" w:lineRule="auto" w:before="98"/>
              <w:ind w:right="24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right="303"/>
              <w:rPr>
                <w:sz w:val="21"/>
              </w:rPr>
            </w:pPr>
            <w:r>
              <w:rPr>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6"/>
              <w:ind w:right="248"/>
              <w:rPr>
                <w:sz w:val="21"/>
              </w:rPr>
            </w:pPr>
            <w:r>
              <w:rPr>
                <w:sz w:val="21"/>
              </w:rPr>
              <w:t>被保险人申请理赔时年龄必须在三周岁以上，并且提供理赔当时的视力丧失诊断及检查证据。</w:t>
            </w:r>
          </w:p>
        </w:tc>
      </w:tr>
      <w:tr>
        <w:trPr>
          <w:trHeight w:val="1140" w:hRule="atLeast"/>
        </w:trPr>
        <w:tc>
          <w:tcPr>
            <w:tcW w:w="2014" w:type="dxa"/>
          </w:tcPr>
          <w:p>
            <w:pPr>
              <w:pStyle w:val="TableParagraph"/>
              <w:spacing w:before="14"/>
              <w:ind w:left="200"/>
              <w:rPr>
                <w:rFonts w:ascii="微软雅黑" w:eastAsia="微软雅黑" w:hint="eastAsia"/>
                <w:b/>
                <w:sz w:val="21"/>
              </w:rPr>
            </w:pPr>
            <w:r>
              <w:rPr>
                <w:rFonts w:ascii="微软雅黑" w:eastAsia="微软雅黑" w:hint="eastAsia"/>
                <w:b/>
                <w:sz w:val="21"/>
              </w:rPr>
              <w:t>15. 瘫 痪</w:t>
            </w:r>
          </w:p>
        </w:tc>
        <w:tc>
          <w:tcPr>
            <w:tcW w:w="7517" w:type="dxa"/>
          </w:tcPr>
          <w:p>
            <w:pPr>
              <w:pStyle w:val="TableParagraph"/>
              <w:spacing w:line="273" w:lineRule="auto" w:before="76"/>
              <w:ind w:right="303"/>
              <w:jc w:val="both"/>
              <w:rPr>
                <w:sz w:val="21"/>
              </w:rPr>
            </w:pPr>
            <w:r>
              <w:rPr>
                <w:spacing w:val="-5"/>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512" w:hRule="atLeast"/>
        </w:trPr>
        <w:tc>
          <w:tcPr>
            <w:tcW w:w="2014" w:type="dxa"/>
          </w:tcPr>
          <w:p>
            <w:pPr>
              <w:pStyle w:val="TableParagraph"/>
              <w:spacing w:before="26"/>
              <w:ind w:left="200"/>
              <w:rPr>
                <w:rFonts w:ascii="微软雅黑" w:eastAsia="微软雅黑" w:hint="eastAsia"/>
                <w:b/>
                <w:sz w:val="21"/>
              </w:rPr>
            </w:pPr>
            <w:r>
              <w:rPr>
                <w:rFonts w:ascii="微软雅黑" w:eastAsia="微软雅黑" w:hint="eastAsia"/>
                <w:b/>
                <w:sz w:val="21"/>
              </w:rPr>
              <w:t>16. 心脏瓣膜手术</w:t>
            </w:r>
          </w:p>
        </w:tc>
        <w:tc>
          <w:tcPr>
            <w:tcW w:w="7517" w:type="dxa"/>
          </w:tcPr>
          <w:p>
            <w:pPr>
              <w:pStyle w:val="TableParagraph"/>
              <w:spacing w:before="88"/>
              <w:rPr>
                <w:sz w:val="21"/>
              </w:rPr>
            </w:pPr>
            <w:r>
              <w:rPr>
                <w:sz w:val="21"/>
              </w:rPr>
              <w:t>指为治疗心脏瓣膜疾病，实际实施了开胸进行的心脏瓣膜置换或修复的手术。</w:t>
            </w:r>
          </w:p>
        </w:tc>
      </w:tr>
      <w:tr>
        <w:trPr>
          <w:trHeight w:val="750" w:hRule="atLeast"/>
        </w:trPr>
        <w:tc>
          <w:tcPr>
            <w:tcW w:w="2014" w:type="dxa"/>
          </w:tcPr>
          <w:p>
            <w:pPr>
              <w:pStyle w:val="TableParagraph"/>
              <w:spacing w:line="206" w:lineRule="auto" w:before="61"/>
              <w:ind w:left="619" w:right="124" w:hanging="420"/>
              <w:rPr>
                <w:rFonts w:ascii="微软雅黑" w:eastAsia="微软雅黑" w:hint="eastAsia"/>
                <w:b/>
                <w:sz w:val="21"/>
              </w:rPr>
            </w:pPr>
            <w:r>
              <w:rPr>
                <w:rFonts w:ascii="微软雅黑" w:eastAsia="微软雅黑" w:hint="eastAsia"/>
                <w:b/>
                <w:sz w:val="21"/>
              </w:rPr>
              <w:t>17. 严重阿尔茨海默病</w:t>
            </w:r>
          </w:p>
        </w:tc>
        <w:tc>
          <w:tcPr>
            <w:tcW w:w="7517" w:type="dxa"/>
          </w:tcPr>
          <w:p>
            <w:pPr>
              <w:pStyle w:val="TableParagraph"/>
              <w:spacing w:line="273" w:lineRule="auto" w:before="72"/>
              <w:ind w:right="200"/>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p>
        </w:tc>
      </w:tr>
      <w:tr>
        <w:trPr>
          <w:trHeight w:val="1378" w:hRule="atLeast"/>
        </w:trPr>
        <w:tc>
          <w:tcPr>
            <w:tcW w:w="2014" w:type="dxa"/>
          </w:tcPr>
          <w:p>
            <w:pPr>
              <w:pStyle w:val="TableParagraph"/>
              <w:ind w:left="0"/>
              <w:rPr>
                <w:rFonts w:ascii="Times New Roman"/>
                <w:sz w:val="20"/>
              </w:rPr>
            </w:pPr>
          </w:p>
        </w:tc>
        <w:tc>
          <w:tcPr>
            <w:tcW w:w="7517" w:type="dxa"/>
          </w:tcPr>
          <w:p>
            <w:pPr>
              <w:pStyle w:val="TableParagraph"/>
              <w:spacing w:line="273" w:lineRule="auto" w:before="14"/>
              <w:ind w:right="197"/>
              <w:rPr>
                <w:sz w:val="21"/>
              </w:rPr>
            </w:pPr>
            <w:r>
              <w:rPr>
                <w:spacing w:val="-5"/>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8"/>
              <w:rPr>
                <w:sz w:val="21"/>
              </w:rPr>
            </w:pPr>
            <w:r>
              <w:rPr>
                <w:sz w:val="21"/>
              </w:rPr>
              <w:t>神经官能症和精神疾病不在保障范围内。</w:t>
            </w:r>
          </w:p>
        </w:tc>
      </w:tr>
      <w:tr>
        <w:trPr>
          <w:trHeight w:val="2690" w:hRule="atLeast"/>
        </w:trPr>
        <w:tc>
          <w:tcPr>
            <w:tcW w:w="2014" w:type="dxa"/>
          </w:tcPr>
          <w:p>
            <w:pPr>
              <w:pStyle w:val="TableParagraph"/>
              <w:spacing w:before="14"/>
              <w:ind w:left="200"/>
              <w:rPr>
                <w:rFonts w:ascii="微软雅黑" w:eastAsia="微软雅黑" w:hint="eastAsia"/>
                <w:b/>
                <w:sz w:val="21"/>
              </w:rPr>
            </w:pPr>
            <w:r>
              <w:rPr>
                <w:rFonts w:ascii="微软雅黑" w:eastAsia="微软雅黑" w:hint="eastAsia"/>
                <w:b/>
                <w:sz w:val="21"/>
              </w:rPr>
              <w:t>18. 严重脑损伤</w:t>
            </w:r>
          </w:p>
        </w:tc>
        <w:tc>
          <w:tcPr>
            <w:tcW w:w="7517" w:type="dxa"/>
          </w:tcPr>
          <w:p>
            <w:pPr>
              <w:pStyle w:val="TableParagraph"/>
              <w:spacing w:line="273" w:lineRule="auto" w:before="76"/>
              <w:ind w:right="304"/>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right="197"/>
              <w:rPr>
                <w:sz w:val="21"/>
              </w:rPr>
            </w:pPr>
            <w:r>
              <w:rPr>
                <w:spacing w:val="-9"/>
                <w:sz w:val="21"/>
              </w:rPr>
              <w:t>（PET）</w:t>
            </w:r>
            <w:r>
              <w:rPr>
                <w:spacing w:val="-11"/>
                <w:sz w:val="21"/>
              </w:rPr>
              <w:t>等影像学检查证实。神经系统永久性的功能障碍，指脑损伤 </w:t>
            </w:r>
            <w:r>
              <w:rPr>
                <w:sz w:val="21"/>
              </w:rPr>
              <w:t>180</w:t>
            </w:r>
            <w:r>
              <w:rPr>
                <w:spacing w:val="5"/>
                <w:sz w:val="21"/>
              </w:rPr>
              <w:t> 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46"/>
              <w:rPr>
                <w:sz w:val="21"/>
              </w:rPr>
            </w:pPr>
            <w:r>
              <w:rPr>
                <w:sz w:val="21"/>
              </w:rPr>
              <w:t>（3）自主生活能力完全丧失，无法独立完成六项基本日常生活活动中的三项或三项以上。</w:t>
            </w:r>
          </w:p>
        </w:tc>
      </w:tr>
      <w:tr>
        <w:trPr>
          <w:trHeight w:val="2089" w:hRule="atLeast"/>
        </w:trPr>
        <w:tc>
          <w:tcPr>
            <w:tcW w:w="2014" w:type="dxa"/>
          </w:tcPr>
          <w:p>
            <w:pPr>
              <w:pStyle w:val="TableParagraph"/>
              <w:spacing w:before="16"/>
              <w:ind w:left="200"/>
              <w:rPr>
                <w:rFonts w:ascii="微软雅黑" w:eastAsia="微软雅黑" w:hint="eastAsia"/>
                <w:b/>
                <w:sz w:val="21"/>
              </w:rPr>
            </w:pPr>
            <w:r>
              <w:rPr>
                <w:rFonts w:ascii="微软雅黑" w:eastAsia="微软雅黑" w:hint="eastAsia"/>
                <w:b/>
                <w:sz w:val="21"/>
              </w:rPr>
              <w:t>19. 严重帕金森病</w:t>
            </w:r>
          </w:p>
        </w:tc>
        <w:tc>
          <w:tcPr>
            <w:tcW w:w="7517" w:type="dxa"/>
          </w:tcPr>
          <w:p>
            <w:pPr>
              <w:pStyle w:val="TableParagraph"/>
              <w:spacing w:line="273" w:lineRule="auto" w:before="79"/>
              <w:ind w:right="303"/>
              <w:rPr>
                <w:sz w:val="21"/>
              </w:rPr>
            </w:pPr>
            <w:r>
              <w:rPr>
                <w:spacing w:val="-7"/>
                <w:sz w:val="21"/>
              </w:rPr>
              <w:t>是一种中枢神经系统的退行性疾病，临床表现为震颤麻痹、共济失调等。须满</w:t>
            </w:r>
            <w:r>
              <w:rPr>
                <w:spacing w:val="-5"/>
                <w:sz w:val="21"/>
              </w:rPr>
              <w:t>足下列全部条件：</w:t>
            </w:r>
          </w:p>
          <w:p>
            <w:pPr>
              <w:pStyle w:val="TableParagraph"/>
              <w:spacing w:before="7"/>
              <w:rPr>
                <w:sz w:val="21"/>
              </w:rPr>
            </w:pPr>
            <w:r>
              <w:rPr>
                <w:sz w:val="21"/>
              </w:rPr>
              <w:t>（1）药物治疗无法控制病情；</w:t>
            </w:r>
          </w:p>
          <w:p>
            <w:pPr>
              <w:pStyle w:val="TableParagraph"/>
              <w:spacing w:line="273" w:lineRule="auto" w:before="36"/>
              <w:ind w:right="346"/>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5" w:hRule="atLeast"/>
        </w:trPr>
        <w:tc>
          <w:tcPr>
            <w:tcW w:w="2014" w:type="dxa"/>
          </w:tcPr>
          <w:p>
            <w:pPr>
              <w:pStyle w:val="TableParagraph"/>
              <w:spacing w:before="36"/>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517" w:type="dxa"/>
          </w:tcPr>
          <w:p>
            <w:pPr>
              <w:pStyle w:val="TableParagraph"/>
              <w:spacing w:line="273" w:lineRule="auto" w:before="99"/>
              <w:ind w:right="34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998" w:hRule="atLeast"/>
        </w:trPr>
        <w:tc>
          <w:tcPr>
            <w:tcW w:w="2014" w:type="dxa"/>
          </w:tcPr>
          <w:p>
            <w:pPr>
              <w:pStyle w:val="TableParagraph"/>
              <w:spacing w:line="206" w:lineRule="auto" w:before="81"/>
              <w:ind w:left="619" w:right="124" w:hanging="420"/>
              <w:rPr>
                <w:rFonts w:ascii="微软雅黑" w:eastAsia="微软雅黑" w:hint="eastAsia"/>
                <w:b/>
                <w:sz w:val="21"/>
              </w:rPr>
            </w:pPr>
            <w:r>
              <w:rPr>
                <w:rFonts w:ascii="微软雅黑" w:eastAsia="微软雅黑" w:hint="eastAsia"/>
                <w:b/>
                <w:sz w:val="21"/>
              </w:rPr>
              <w:t>21. 严重原发性肺动脉高压</w:t>
            </w:r>
          </w:p>
        </w:tc>
        <w:tc>
          <w:tcPr>
            <w:tcW w:w="7517" w:type="dxa"/>
          </w:tcPr>
          <w:p>
            <w:pPr>
              <w:pStyle w:val="TableParagraph"/>
              <w:spacing w:line="310" w:lineRule="atLeast" w:before="58"/>
              <w:ind w:right="303"/>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3OmmHg。</w:t>
            </w:r>
          </w:p>
        </w:tc>
      </w:tr>
    </w:tbl>
    <w:p>
      <w:pPr>
        <w:spacing w:after="0" w:line="310" w:lineRule="atLeast"/>
        <w:jc w:val="both"/>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473"/>
      </w:tblGrid>
      <w:tr>
        <w:trPr>
          <w:trHeight w:val="1274" w:hRule="atLeast"/>
        </w:trPr>
        <w:tc>
          <w:tcPr>
            <w:tcW w:w="2014"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22. 严重运动神经</w:t>
            </w:r>
          </w:p>
          <w:p>
            <w:pPr>
              <w:pStyle w:val="TableParagraph"/>
              <w:spacing w:line="338" w:lineRule="exact"/>
              <w:ind w:left="619"/>
              <w:rPr>
                <w:rFonts w:ascii="微软雅黑" w:eastAsia="微软雅黑" w:hint="eastAsia"/>
                <w:b/>
                <w:sz w:val="21"/>
              </w:rPr>
            </w:pPr>
            <w:r>
              <w:rPr>
                <w:rFonts w:ascii="微软雅黑" w:eastAsia="微软雅黑" w:hint="eastAsia"/>
                <w:b/>
                <w:sz w:val="21"/>
              </w:rPr>
              <w:t>元病</w:t>
            </w:r>
          </w:p>
        </w:tc>
        <w:tc>
          <w:tcPr>
            <w:tcW w:w="7473" w:type="dxa"/>
          </w:tcPr>
          <w:p>
            <w:pPr>
              <w:pStyle w:val="TableParagraph"/>
              <w:spacing w:line="205" w:lineRule="exact"/>
              <w:rPr>
                <w:sz w:val="21"/>
              </w:rPr>
            </w:pPr>
            <w:r>
              <w:rPr>
                <w:sz w:val="21"/>
              </w:rPr>
              <w:t>是一组中枢神经系统运动神经元的进行性变性疾病，包括进行性脊肌萎缩症、</w:t>
            </w:r>
          </w:p>
          <w:p>
            <w:pPr>
              <w:pStyle w:val="TableParagraph"/>
              <w:spacing w:line="273" w:lineRule="auto" w:before="37"/>
              <w:ind w:right="259"/>
              <w:jc w:val="both"/>
              <w:rPr>
                <w:sz w:val="21"/>
              </w:rPr>
            </w:pPr>
            <w:r>
              <w:rPr>
                <w:spacing w:val="-7"/>
                <w:sz w:val="21"/>
              </w:rPr>
              <w:t>进行性延髓麻痹症、原发性侧索硬化症、肌萎缩性侧索硬化症。须满足自主生</w:t>
            </w:r>
            <w:r>
              <w:rPr>
                <w:spacing w:val="-11"/>
                <w:sz w:val="21"/>
              </w:rPr>
              <w:t>活能力完全丧失，无法独立完成六项基本日常生活活动中的三项或三项以上的条件。</w:t>
            </w:r>
          </w:p>
        </w:tc>
      </w:tr>
      <w:tr>
        <w:trPr>
          <w:trHeight w:val="1701" w:hRule="atLeast"/>
        </w:trPr>
        <w:tc>
          <w:tcPr>
            <w:tcW w:w="2014" w:type="dxa"/>
          </w:tcPr>
          <w:p>
            <w:pPr>
              <w:pStyle w:val="TableParagraph"/>
              <w:spacing w:line="357" w:lineRule="exact"/>
              <w:ind w:left="200"/>
              <w:rPr>
                <w:rFonts w:ascii="微软雅黑" w:eastAsia="微软雅黑" w:hint="eastAsia"/>
                <w:b/>
                <w:sz w:val="21"/>
              </w:rPr>
            </w:pPr>
            <w:r>
              <w:rPr>
                <w:rFonts w:ascii="微软雅黑" w:eastAsia="微软雅黑" w:hint="eastAsia"/>
                <w:b/>
                <w:sz w:val="21"/>
              </w:rPr>
              <w:t>23. 语言能力丧失</w:t>
            </w:r>
          </w:p>
        </w:tc>
        <w:tc>
          <w:tcPr>
            <w:tcW w:w="7473" w:type="dxa"/>
          </w:tcPr>
          <w:p>
            <w:pPr>
              <w:pStyle w:val="TableParagraph"/>
              <w:spacing w:line="273" w:lineRule="auto" w:before="57"/>
              <w:ind w:right="302"/>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204"/>
              <w:rPr>
                <w:sz w:val="21"/>
              </w:rPr>
            </w:pPr>
            <w:r>
              <w:rPr>
                <w:sz w:val="21"/>
              </w:rPr>
              <w:t>被保险人申请理赔时年龄必须在三周岁以上，并且提供理赔当时的语言能力丧失诊断及检查证据。</w:t>
            </w:r>
          </w:p>
        </w:tc>
      </w:tr>
      <w:tr>
        <w:trPr>
          <w:trHeight w:val="2833" w:hRule="atLeast"/>
        </w:trPr>
        <w:tc>
          <w:tcPr>
            <w:tcW w:w="2014" w:type="dxa"/>
          </w:tcPr>
          <w:p>
            <w:pPr>
              <w:pStyle w:val="TableParagraph"/>
              <w:spacing w:line="206" w:lineRule="auto" w:before="33"/>
              <w:ind w:left="619" w:right="124" w:hanging="420"/>
              <w:rPr>
                <w:rFonts w:ascii="微软雅黑" w:eastAsia="微软雅黑" w:hint="eastAsia"/>
                <w:b/>
                <w:sz w:val="21"/>
              </w:rPr>
            </w:pPr>
            <w:r>
              <w:rPr>
                <w:rFonts w:ascii="微软雅黑" w:eastAsia="微软雅黑" w:hint="eastAsia"/>
                <w:b/>
                <w:sz w:val="21"/>
              </w:rPr>
              <w:t>24. 重型再生障碍性贫血</w:t>
            </w:r>
          </w:p>
        </w:tc>
        <w:tc>
          <w:tcPr>
            <w:tcW w:w="7473" w:type="dxa"/>
          </w:tcPr>
          <w:p>
            <w:pPr>
              <w:pStyle w:val="TableParagraph"/>
              <w:spacing w:line="273" w:lineRule="auto" w:before="45"/>
              <w:ind w:right="406"/>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（2）外周血象须具备所有三项条件：</w:t>
            </w:r>
          </w:p>
          <w:p>
            <w:pPr>
              <w:pStyle w:val="TableParagraph"/>
              <w:spacing w:before="7"/>
              <w:ind w:left="0"/>
              <w:rPr>
                <w:sz w:val="16"/>
              </w:rPr>
            </w:pPr>
          </w:p>
          <w:p>
            <w:pPr>
              <w:pStyle w:val="TableParagraph"/>
              <w:ind w:left="653"/>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6"/>
              <w:ind w:left="653"/>
              <w:rPr>
                <w:sz w:val="21"/>
              </w:rPr>
            </w:pPr>
            <w:r>
              <w:rPr>
                <w:sz w:val="21"/>
              </w:rPr>
              <w:t>② 网织红细胞＜1%；</w:t>
            </w:r>
          </w:p>
          <w:p>
            <w:pPr>
              <w:pStyle w:val="TableParagraph"/>
              <w:spacing w:before="7"/>
              <w:ind w:left="0"/>
              <w:rPr>
                <w:sz w:val="16"/>
              </w:rPr>
            </w:pPr>
          </w:p>
          <w:p>
            <w:pPr>
              <w:pStyle w:val="TableParagraph"/>
              <w:ind w:left="653"/>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13" w:hRule="atLeast"/>
        </w:trPr>
        <w:tc>
          <w:tcPr>
            <w:tcW w:w="2014" w:type="dxa"/>
          </w:tcPr>
          <w:p>
            <w:pPr>
              <w:pStyle w:val="TableParagraph"/>
              <w:spacing w:line="350" w:lineRule="exact"/>
              <w:ind w:left="200"/>
              <w:rPr>
                <w:rFonts w:ascii="微软雅黑" w:eastAsia="微软雅黑" w:hint="eastAsia"/>
                <w:b/>
                <w:sz w:val="21"/>
              </w:rPr>
            </w:pPr>
            <w:r>
              <w:rPr>
                <w:rFonts w:ascii="微软雅黑" w:eastAsia="微软雅黑" w:hint="eastAsia"/>
                <w:b/>
                <w:sz w:val="21"/>
              </w:rPr>
              <w:t>25. 主动脉手术</w:t>
            </w:r>
          </w:p>
        </w:tc>
        <w:tc>
          <w:tcPr>
            <w:tcW w:w="7473" w:type="dxa"/>
          </w:tcPr>
          <w:p>
            <w:pPr>
              <w:pStyle w:val="TableParagraph"/>
              <w:spacing w:line="273" w:lineRule="auto" w:before="49"/>
              <w:ind w:right="259"/>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jc w:val="both"/>
              <w:rPr>
                <w:sz w:val="21"/>
              </w:rPr>
            </w:pPr>
            <w:r>
              <w:rPr>
                <w:sz w:val="21"/>
              </w:rPr>
              <w:t>动脉内血管成形术不在保障范围内。</w:t>
            </w:r>
          </w:p>
        </w:tc>
      </w:tr>
      <w:tr>
        <w:trPr>
          <w:trHeight w:val="1737" w:hRule="atLeast"/>
        </w:trPr>
        <w:tc>
          <w:tcPr>
            <w:tcW w:w="2014" w:type="dxa"/>
          </w:tcPr>
          <w:p>
            <w:pPr>
              <w:pStyle w:val="TableParagraph"/>
              <w:spacing w:line="206" w:lineRule="auto" w:before="64"/>
              <w:ind w:left="619" w:right="124" w:hanging="420"/>
              <w:rPr>
                <w:rFonts w:ascii="微软雅黑" w:eastAsia="微软雅黑" w:hint="eastAsia"/>
                <w:b/>
                <w:sz w:val="21"/>
              </w:rPr>
            </w:pPr>
            <w:r>
              <w:rPr>
                <w:rFonts w:ascii="微软雅黑" w:eastAsia="微软雅黑" w:hint="eastAsia"/>
                <w:b/>
                <w:sz w:val="21"/>
              </w:rPr>
              <w:t>26. 严重多发性硬化</w:t>
            </w:r>
          </w:p>
        </w:tc>
        <w:tc>
          <w:tcPr>
            <w:tcW w:w="7473" w:type="dxa"/>
          </w:tcPr>
          <w:p>
            <w:pPr>
              <w:pStyle w:val="TableParagraph"/>
              <w:spacing w:line="273" w:lineRule="auto" w:before="76"/>
              <w:ind w:right="260"/>
              <w:jc w:val="both"/>
              <w:rPr>
                <w:sz w:val="21"/>
              </w:rPr>
            </w:pPr>
            <w:r>
              <w:rPr>
                <w:spacing w:val="-5"/>
                <w:sz w:val="21"/>
              </w:rPr>
              <w:t>指被保险人因脑及脊髓内的脱髓鞘病变而出现神经系统多灶性</w:t>
            </w:r>
            <w:r>
              <w:rPr>
                <w:sz w:val="21"/>
              </w:rPr>
              <w:t>（</w:t>
            </w:r>
            <w:r>
              <w:rPr>
                <w:spacing w:val="-2"/>
                <w:sz w:val="21"/>
              </w:rPr>
              <w:t>多发性</w:t>
            </w:r>
            <w:r>
              <w:rPr>
                <w:spacing w:val="-34"/>
                <w:sz w:val="21"/>
              </w:rPr>
              <w:t>）</w:t>
            </w:r>
            <w:r>
              <w:rPr>
                <w:spacing w:val="-2"/>
                <w:sz w:val="21"/>
              </w:rPr>
              <w:t>多时</w:t>
            </w:r>
            <w:r>
              <w:rPr>
                <w:spacing w:val="-13"/>
                <w:sz w:val="21"/>
              </w:rPr>
              <w:t>相</w:t>
            </w:r>
            <w:r>
              <w:rPr>
                <w:spacing w:val="-3"/>
                <w:sz w:val="21"/>
              </w:rPr>
              <w:t>（</w:t>
            </w:r>
            <w:r>
              <w:rPr>
                <w:spacing w:val="-14"/>
                <w:sz w:val="21"/>
              </w:rPr>
              <w:t>至少 </w:t>
            </w:r>
            <w:r>
              <w:rPr>
                <w:sz w:val="21"/>
              </w:rPr>
              <w:t>6</w:t>
            </w:r>
            <w:r>
              <w:rPr>
                <w:spacing w:val="-9"/>
                <w:sz w:val="21"/>
              </w:rPr>
              <w:t> 个月以内有一次以上</w:t>
            </w:r>
            <w:r>
              <w:rPr>
                <w:spacing w:val="-3"/>
                <w:sz w:val="21"/>
              </w:rPr>
              <w:t>（不包含一次</w:t>
            </w:r>
            <w:r>
              <w:rPr>
                <w:spacing w:val="-15"/>
                <w:sz w:val="21"/>
              </w:rPr>
              <w:t>）</w:t>
            </w:r>
            <w:r>
              <w:rPr>
                <w:spacing w:val="-3"/>
                <w:sz w:val="21"/>
              </w:rPr>
              <w:t>的发作</w:t>
            </w:r>
            <w:r>
              <w:rPr>
                <w:spacing w:val="-13"/>
                <w:sz w:val="21"/>
              </w:rPr>
              <w:t>）</w:t>
            </w:r>
            <w:r>
              <w:rPr>
                <w:spacing w:val="-5"/>
                <w:sz w:val="21"/>
              </w:rPr>
              <w:t>的病变，须由计算机</w:t>
            </w:r>
            <w:r>
              <w:rPr>
                <w:spacing w:val="-4"/>
                <w:w w:val="100"/>
                <w:sz w:val="21"/>
              </w:rPr>
              <w:t>断层扫描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w:t>
            </w:r>
            <w:r>
              <w:rPr>
                <w:spacing w:val="-9"/>
                <w:sz w:val="21"/>
              </w:rPr>
              <w:t>学检查证实，且已经造成自主生活能力完全丧失，无法独立完成六项基本日常</w:t>
            </w:r>
            <w:r>
              <w:rPr>
                <w:spacing w:val="-7"/>
                <w:sz w:val="21"/>
              </w:rPr>
              <w:t>生活活动中的三项或三项以上，持续至少 </w:t>
            </w:r>
            <w:r>
              <w:rPr>
                <w:sz w:val="21"/>
              </w:rPr>
              <w:t>180</w:t>
            </w:r>
            <w:r>
              <w:rPr>
                <w:spacing w:val="-15"/>
                <w:sz w:val="21"/>
              </w:rPr>
              <w:t> 天。</w:t>
            </w:r>
          </w:p>
        </w:tc>
      </w:tr>
      <w:tr>
        <w:trPr>
          <w:trHeight w:val="1723" w:hRule="atLeast"/>
        </w:trPr>
        <w:tc>
          <w:tcPr>
            <w:tcW w:w="2014"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27. 终末期肺病</w:t>
            </w:r>
          </w:p>
        </w:tc>
        <w:tc>
          <w:tcPr>
            <w:tcW w:w="7473" w:type="dxa"/>
          </w:tcPr>
          <w:p>
            <w:pPr>
              <w:pStyle w:val="TableParagraph"/>
              <w:spacing w:line="273" w:lineRule="auto" w:before="62"/>
              <w:ind w:right="406"/>
              <w:rPr>
                <w:sz w:val="21"/>
              </w:rPr>
            </w:pPr>
            <w:r>
              <w:rPr>
                <w:sz w:val="21"/>
              </w:rPr>
              <w:t>指被保险人因患有终末期肺病而出现慢性呼吸功能衰竭。须满足下列全部条件：</w:t>
            </w:r>
          </w:p>
          <w:p>
            <w:pPr>
              <w:pStyle w:val="TableParagraph"/>
              <w:numPr>
                <w:ilvl w:val="0"/>
                <w:numId w:val="5"/>
              </w:numPr>
              <w:tabs>
                <w:tab w:pos="551" w:val="left" w:leader="none"/>
              </w:tabs>
              <w:spacing w:line="240" w:lineRule="auto" w:before="8" w:after="0"/>
              <w:ind w:left="550" w:right="0" w:hanging="423"/>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6"/>
                <w:sz w:val="21"/>
              </w:rPr>
              <w:t> 升；</w:t>
            </w:r>
          </w:p>
          <w:p>
            <w:pPr>
              <w:pStyle w:val="TableParagraph"/>
              <w:numPr>
                <w:ilvl w:val="0"/>
                <w:numId w:val="5"/>
              </w:numPr>
              <w:tabs>
                <w:tab w:pos="551" w:val="left" w:leader="none"/>
              </w:tabs>
              <w:spacing w:line="240" w:lineRule="auto" w:before="38" w:after="0"/>
              <w:ind w:left="550" w:right="0" w:hanging="423"/>
              <w:jc w:val="left"/>
              <w:rPr>
                <w:sz w:val="21"/>
              </w:rPr>
            </w:pPr>
            <w:r>
              <w:rPr>
                <w:spacing w:val="-3"/>
                <w:sz w:val="21"/>
              </w:rPr>
              <w:t>病人缺氧必须广泛而持续地进行输氧治疗；</w:t>
            </w:r>
          </w:p>
          <w:p>
            <w:pPr>
              <w:pStyle w:val="TableParagraph"/>
              <w:numPr>
                <w:ilvl w:val="0"/>
                <w:numId w:val="5"/>
              </w:numPr>
              <w:tabs>
                <w:tab w:pos="551" w:val="left" w:leader="none"/>
              </w:tabs>
              <w:spacing w:line="240" w:lineRule="auto" w:before="37" w:after="0"/>
              <w:ind w:left="550" w:right="0" w:hanging="423"/>
              <w:jc w:val="left"/>
              <w:rPr>
                <w:sz w:val="21"/>
              </w:rPr>
            </w:pPr>
            <w:r>
              <w:rPr>
                <w:spacing w:val="-7"/>
                <w:sz w:val="21"/>
              </w:rPr>
              <w:t>动脉血气分析氧分压低于 </w:t>
            </w:r>
            <w:r>
              <w:rPr>
                <w:sz w:val="21"/>
              </w:rPr>
              <w:t>55mmHg。</w:t>
            </w:r>
          </w:p>
        </w:tc>
      </w:tr>
      <w:tr>
        <w:trPr>
          <w:trHeight w:val="1102" w:hRule="atLeast"/>
        </w:trPr>
        <w:tc>
          <w:tcPr>
            <w:tcW w:w="2014"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28. 颅脑手术</w:t>
            </w:r>
          </w:p>
        </w:tc>
        <w:tc>
          <w:tcPr>
            <w:tcW w:w="7473" w:type="dxa"/>
          </w:tcPr>
          <w:p>
            <w:pPr>
              <w:pStyle w:val="TableParagraph"/>
              <w:spacing w:line="273" w:lineRule="auto" w:before="62"/>
              <w:ind w:right="192"/>
              <w:rPr>
                <w:sz w:val="21"/>
              </w:rPr>
            </w:pPr>
            <w:r>
              <w:rPr>
                <w:sz w:val="21"/>
              </w:rPr>
              <w:t>指被保险人确已实施全麻下的开颅手术（以切开硬脑膜为准）（不包括颅骨钻孔手术）。理赔时必须提供由神经外科医生出具的诊断书及手术报告。</w:t>
            </w:r>
          </w:p>
          <w:p>
            <w:pPr>
              <w:pStyle w:val="TableParagraph"/>
              <w:spacing w:before="8"/>
              <w:rPr>
                <w:sz w:val="21"/>
              </w:rPr>
            </w:pPr>
            <w:r>
              <w:rPr>
                <w:sz w:val="21"/>
              </w:rPr>
              <w:t>因外伤而实施的颅脑手术不在保障范围内。</w:t>
            </w:r>
          </w:p>
        </w:tc>
      </w:tr>
      <w:tr>
        <w:trPr>
          <w:trHeight w:val="2219" w:hRule="atLeast"/>
        </w:trPr>
        <w:tc>
          <w:tcPr>
            <w:tcW w:w="2014" w:type="dxa"/>
          </w:tcPr>
          <w:p>
            <w:pPr>
              <w:pStyle w:val="TableParagraph"/>
              <w:spacing w:line="206" w:lineRule="auto" w:before="54"/>
              <w:ind w:left="619" w:right="124" w:hanging="420"/>
              <w:rPr>
                <w:rFonts w:ascii="微软雅黑" w:eastAsia="微软雅黑" w:hint="eastAsia"/>
                <w:b/>
                <w:sz w:val="21"/>
              </w:rPr>
            </w:pPr>
            <w:r>
              <w:rPr>
                <w:rFonts w:ascii="微软雅黑" w:eastAsia="微软雅黑" w:hint="eastAsia"/>
                <w:b/>
                <w:sz w:val="21"/>
              </w:rPr>
              <w:t>29. 严重Ｉ型糖尿病</w:t>
            </w:r>
          </w:p>
        </w:tc>
        <w:tc>
          <w:tcPr>
            <w:tcW w:w="7473" w:type="dxa"/>
          </w:tcPr>
          <w:p>
            <w:pPr>
              <w:pStyle w:val="TableParagraph"/>
              <w:spacing w:line="273" w:lineRule="auto" w:before="65"/>
              <w:ind w:right="197"/>
              <w:jc w:val="both"/>
              <w:rPr>
                <w:sz w:val="21"/>
              </w:rPr>
            </w:pPr>
            <w:r>
              <w:rPr>
                <w:spacing w:val="-7"/>
                <w:sz w:val="21"/>
              </w:rPr>
              <w:t>指因严重的胰岛素缺乏导致的一组糖、脂肪、蛋白质代谢异常综合症，且须依</w:t>
            </w:r>
            <w:r>
              <w:rPr>
                <w:spacing w:val="-5"/>
                <w:sz w:val="21"/>
              </w:rPr>
              <w:t>赖外源性胰岛素进行机体的葡萄糖代谢和维持生命。本病须经血胰岛素测定、</w:t>
            </w:r>
            <w:r>
              <w:rPr>
                <w:spacing w:val="-1"/>
                <w:sz w:val="21"/>
              </w:rPr>
              <w:t>血</w:t>
            </w:r>
            <w:r>
              <w:rPr>
                <w:sz w:val="21"/>
              </w:rPr>
              <w:t>C</w:t>
            </w:r>
            <w:r>
              <w:rPr>
                <w:spacing w:val="-3"/>
                <w:sz w:val="21"/>
              </w:rPr>
              <w:t>肽测定或尿C肽测定检查证实，且被保险人已经接受了持续的胰岛素治疗</w:t>
            </w:r>
          </w:p>
          <w:p>
            <w:pPr>
              <w:pStyle w:val="TableParagraph"/>
              <w:spacing w:before="7"/>
              <w:jc w:val="both"/>
              <w:rPr>
                <w:sz w:val="21"/>
              </w:rPr>
            </w:pPr>
            <w:r>
              <w:rPr>
                <w:sz w:val="21"/>
              </w:rPr>
              <w:t>180天以上，并须满足下列至少一项条件：</w:t>
            </w:r>
          </w:p>
          <w:p>
            <w:pPr>
              <w:pStyle w:val="TableParagraph"/>
              <w:numPr>
                <w:ilvl w:val="0"/>
                <w:numId w:val="6"/>
              </w:numPr>
              <w:tabs>
                <w:tab w:pos="551" w:val="left" w:leader="none"/>
              </w:tabs>
              <w:spacing w:line="240" w:lineRule="auto" w:before="37" w:after="0"/>
              <w:ind w:left="550" w:right="0" w:hanging="423"/>
              <w:jc w:val="both"/>
              <w:rPr>
                <w:sz w:val="21"/>
              </w:rPr>
            </w:pPr>
            <w:r>
              <w:rPr>
                <w:spacing w:val="-3"/>
                <w:sz w:val="21"/>
              </w:rPr>
              <w:t>并发增殖性视网膜病变；</w:t>
            </w:r>
          </w:p>
          <w:p>
            <w:pPr>
              <w:pStyle w:val="TableParagraph"/>
              <w:numPr>
                <w:ilvl w:val="0"/>
                <w:numId w:val="6"/>
              </w:numPr>
              <w:tabs>
                <w:tab w:pos="551" w:val="left" w:leader="none"/>
              </w:tabs>
              <w:spacing w:line="240" w:lineRule="auto" w:before="37" w:after="0"/>
              <w:ind w:left="550" w:right="0" w:hanging="423"/>
              <w:jc w:val="both"/>
              <w:rPr>
                <w:sz w:val="21"/>
              </w:rPr>
            </w:pPr>
            <w:r>
              <w:rPr>
                <w:spacing w:val="-3"/>
                <w:sz w:val="21"/>
              </w:rPr>
              <w:t>并发心脏病变，并须植入心脏起搏器进行治疗；</w:t>
            </w:r>
          </w:p>
          <w:p>
            <w:pPr>
              <w:pStyle w:val="TableParagraph"/>
              <w:numPr>
                <w:ilvl w:val="0"/>
                <w:numId w:val="6"/>
              </w:numPr>
              <w:tabs>
                <w:tab w:pos="551" w:val="left" w:leader="none"/>
              </w:tabs>
              <w:spacing w:line="261" w:lineRule="exact" w:before="37" w:after="0"/>
              <w:ind w:left="550" w:right="0" w:hanging="423"/>
              <w:jc w:val="both"/>
              <w:rPr>
                <w:sz w:val="21"/>
              </w:rPr>
            </w:pPr>
            <w:r>
              <w:rPr>
                <w:spacing w:val="-3"/>
                <w:sz w:val="21"/>
              </w:rPr>
              <w:t>至少一个脚趾发生坏疽并已实施手术切除。</w:t>
            </w:r>
          </w:p>
        </w:tc>
      </w:tr>
    </w:tbl>
    <w:p>
      <w:pPr>
        <w:spacing w:after="0" w:line="261" w:lineRule="exact"/>
        <w:jc w:val="both"/>
        <w:rPr>
          <w:sz w:val="21"/>
        </w:rPr>
        <w:sectPr>
          <w:pgSz w:w="11910" w:h="16840"/>
          <w:pgMar w:header="0" w:footer="375" w:top="1340" w:bottom="560" w:left="150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7"/>
      </w:tblGrid>
      <w:tr>
        <w:trPr>
          <w:trHeight w:val="2868" w:hRule="atLeast"/>
        </w:trPr>
        <w:tc>
          <w:tcPr>
            <w:tcW w:w="2014"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30. 严重类风湿性</w:t>
            </w:r>
          </w:p>
          <w:p>
            <w:pPr>
              <w:pStyle w:val="TableParagraph"/>
              <w:spacing w:line="338" w:lineRule="exact"/>
              <w:ind w:left="619"/>
              <w:rPr>
                <w:rFonts w:ascii="微软雅黑" w:eastAsia="微软雅黑" w:hint="eastAsia"/>
                <w:b/>
                <w:sz w:val="21"/>
              </w:rPr>
            </w:pPr>
            <w:r>
              <w:rPr>
                <w:rFonts w:ascii="微软雅黑" w:eastAsia="微软雅黑" w:hint="eastAsia"/>
                <w:b/>
                <w:sz w:val="21"/>
              </w:rPr>
              <w:t>关节炎</w:t>
            </w:r>
          </w:p>
        </w:tc>
        <w:tc>
          <w:tcPr>
            <w:tcW w:w="7517" w:type="dxa"/>
          </w:tcPr>
          <w:p>
            <w:pPr>
              <w:pStyle w:val="TableParagraph"/>
              <w:spacing w:line="205" w:lineRule="exact"/>
              <w:rPr>
                <w:sz w:val="21"/>
              </w:rPr>
            </w:pPr>
            <w:r>
              <w:rPr>
                <w:sz w:val="21"/>
              </w:rPr>
              <w:t>指广泛分布的慢性进行性多关节病变，表现为关节严重变形，侵犯至少三个主</w:t>
            </w:r>
          </w:p>
          <w:p>
            <w:pPr>
              <w:pStyle w:val="TableParagraph"/>
              <w:spacing w:line="273" w:lineRule="auto" w:before="37"/>
              <w:ind w:right="200"/>
              <w:rPr>
                <w:sz w:val="21"/>
              </w:rPr>
            </w:pPr>
            <w:r>
              <w:rPr>
                <w:spacing w:val="-4"/>
                <w:sz w:val="21"/>
              </w:rPr>
              <w:t>要关节</w:t>
            </w:r>
            <w:r>
              <w:rPr>
                <w:spacing w:val="-3"/>
                <w:sz w:val="21"/>
              </w:rPr>
              <w:t>（</w:t>
            </w:r>
            <w:r>
              <w:rPr>
                <w:spacing w:val="-8"/>
                <w:sz w:val="21"/>
              </w:rPr>
              <w:t>腕关节、肘关节、肩关节、踝关节、膝关节、髋关节</w:t>
            </w:r>
            <w:r>
              <w:rPr>
                <w:spacing w:val="-10"/>
                <w:sz w:val="21"/>
              </w:rPr>
              <w:t>）</w:t>
            </w:r>
            <w:r>
              <w:rPr>
                <w:spacing w:val="-4"/>
                <w:sz w:val="21"/>
              </w:rPr>
              <w:t>或关节组</w:t>
            </w:r>
            <w:r>
              <w:rPr>
                <w:spacing w:val="-3"/>
                <w:sz w:val="21"/>
              </w:rPr>
              <w:t>（</w:t>
            </w:r>
            <w:r>
              <w:rPr>
                <w:sz w:val="21"/>
              </w:rPr>
              <w:t>如</w:t>
            </w:r>
            <w:r>
              <w:rPr>
                <w:spacing w:val="-3"/>
                <w:w w:val="100"/>
                <w:sz w:val="21"/>
              </w:rPr>
              <w:t>手的多个指间、掌指关节，足的多个足趾、跖趾关节等</w:t>
            </w:r>
            <w:r>
              <w:rPr>
                <w:spacing w:val="-108"/>
                <w:w w:val="100"/>
                <w:sz w:val="21"/>
              </w:rPr>
              <w:t>）</w:t>
            </w:r>
            <w:r>
              <w:rPr>
                <w:spacing w:val="-3"/>
                <w:w w:val="100"/>
                <w:sz w:val="21"/>
              </w:rPr>
              <w:t>，并已达到类风湿性</w:t>
            </w:r>
            <w:r>
              <w:rPr>
                <w:spacing w:val="-9"/>
                <w:sz w:val="21"/>
              </w:rPr>
              <w:t>关节炎功能分类 </w:t>
            </w:r>
            <w:r>
              <w:rPr>
                <w:sz w:val="21"/>
              </w:rPr>
              <w:t>IV</w:t>
            </w:r>
            <w:r>
              <w:rPr>
                <w:spacing w:val="-10"/>
                <w:sz w:val="21"/>
              </w:rPr>
              <w:t> 级的永久不可逆性关节功能障碍，且须满足下列全部条件：</w:t>
            </w:r>
          </w:p>
          <w:p>
            <w:pPr>
              <w:pStyle w:val="TableParagraph"/>
              <w:numPr>
                <w:ilvl w:val="0"/>
                <w:numId w:val="7"/>
              </w:numPr>
              <w:tabs>
                <w:tab w:pos="551" w:val="left" w:leader="none"/>
              </w:tabs>
              <w:spacing w:line="240" w:lineRule="auto" w:before="7" w:after="0"/>
              <w:ind w:left="550" w:right="0" w:hanging="423"/>
              <w:jc w:val="left"/>
              <w:rPr>
                <w:sz w:val="21"/>
              </w:rPr>
            </w:pPr>
            <w:r>
              <w:rPr>
                <w:spacing w:val="-2"/>
                <w:sz w:val="21"/>
              </w:rPr>
              <w:t>晨僵；</w:t>
            </w:r>
          </w:p>
          <w:p>
            <w:pPr>
              <w:pStyle w:val="TableParagraph"/>
              <w:numPr>
                <w:ilvl w:val="0"/>
                <w:numId w:val="7"/>
              </w:numPr>
              <w:tabs>
                <w:tab w:pos="551" w:val="left" w:leader="none"/>
              </w:tabs>
              <w:spacing w:line="240" w:lineRule="auto" w:before="37" w:after="0"/>
              <w:ind w:left="550" w:right="0" w:hanging="423"/>
              <w:jc w:val="left"/>
              <w:rPr>
                <w:sz w:val="21"/>
              </w:rPr>
            </w:pPr>
            <w:r>
              <w:rPr>
                <w:spacing w:val="-3"/>
                <w:sz w:val="21"/>
              </w:rPr>
              <w:t>对称性关节炎；</w:t>
            </w:r>
          </w:p>
          <w:p>
            <w:pPr>
              <w:pStyle w:val="TableParagraph"/>
              <w:numPr>
                <w:ilvl w:val="0"/>
                <w:numId w:val="7"/>
              </w:numPr>
              <w:tabs>
                <w:tab w:pos="551" w:val="left" w:leader="none"/>
              </w:tabs>
              <w:spacing w:line="240" w:lineRule="auto" w:before="37" w:after="0"/>
              <w:ind w:left="550" w:right="0" w:hanging="423"/>
              <w:jc w:val="left"/>
              <w:rPr>
                <w:sz w:val="21"/>
              </w:rPr>
            </w:pPr>
            <w:r>
              <w:rPr>
                <w:spacing w:val="-3"/>
                <w:sz w:val="21"/>
              </w:rPr>
              <w:t>类风湿性皮下结节；</w:t>
            </w:r>
          </w:p>
          <w:p>
            <w:pPr>
              <w:pStyle w:val="TableParagraph"/>
              <w:numPr>
                <w:ilvl w:val="0"/>
                <w:numId w:val="7"/>
              </w:numPr>
              <w:tabs>
                <w:tab w:pos="551" w:val="left" w:leader="none"/>
              </w:tabs>
              <w:spacing w:line="240" w:lineRule="auto" w:before="37" w:after="0"/>
              <w:ind w:left="550" w:right="0" w:hanging="423"/>
              <w:jc w:val="left"/>
              <w:rPr>
                <w:sz w:val="21"/>
              </w:rPr>
            </w:pPr>
            <w:r>
              <w:rPr>
                <w:spacing w:val="-3"/>
                <w:sz w:val="21"/>
              </w:rPr>
              <w:t>类风湿因子滴度升高；</w:t>
            </w:r>
          </w:p>
          <w:p>
            <w:pPr>
              <w:pStyle w:val="TableParagraph"/>
              <w:numPr>
                <w:ilvl w:val="0"/>
                <w:numId w:val="7"/>
              </w:numPr>
              <w:tabs>
                <w:tab w:pos="550" w:val="left" w:leader="none"/>
              </w:tabs>
              <w:spacing w:line="240" w:lineRule="auto" w:before="37" w:after="0"/>
              <w:ind w:left="549" w:right="0" w:hanging="422"/>
              <w:jc w:val="left"/>
              <w:rPr>
                <w:sz w:val="21"/>
              </w:rPr>
            </w:pPr>
            <w:r>
              <w:rPr>
                <w:sz w:val="21"/>
              </w:rPr>
              <w:t>X</w:t>
            </w:r>
            <w:r>
              <w:rPr>
                <w:spacing w:val="-7"/>
                <w:sz w:val="21"/>
              </w:rPr>
              <w:t> 线显示严重的关节</w:t>
            </w:r>
            <w:r>
              <w:rPr>
                <w:sz w:val="21"/>
              </w:rPr>
              <w:t>（</w:t>
            </w:r>
            <w:r>
              <w:rPr>
                <w:spacing w:val="-3"/>
                <w:sz w:val="21"/>
              </w:rPr>
              <w:t>软骨和骨</w:t>
            </w:r>
            <w:r>
              <w:rPr>
                <w:sz w:val="21"/>
              </w:rPr>
              <w:t>）</w:t>
            </w:r>
            <w:r>
              <w:rPr>
                <w:spacing w:val="-3"/>
                <w:sz w:val="21"/>
              </w:rPr>
              <w:t>破坏和关节畸形。</w:t>
            </w:r>
          </w:p>
        </w:tc>
      </w:tr>
      <w:tr>
        <w:trPr>
          <w:trHeight w:val="1510" w:hRule="atLeast"/>
        </w:trPr>
        <w:tc>
          <w:tcPr>
            <w:tcW w:w="2014" w:type="dxa"/>
          </w:tcPr>
          <w:p>
            <w:pPr>
              <w:pStyle w:val="TableParagraph"/>
              <w:spacing w:line="206" w:lineRule="auto" w:before="79"/>
              <w:ind w:left="619" w:right="124" w:hanging="420"/>
              <w:jc w:val="both"/>
              <w:rPr>
                <w:rFonts w:ascii="微软雅黑" w:eastAsia="微软雅黑" w:hint="eastAsia"/>
                <w:b/>
                <w:sz w:val="21"/>
              </w:rPr>
            </w:pPr>
            <w:r>
              <w:rPr>
                <w:rFonts w:ascii="微软雅黑" w:eastAsia="微软雅黑" w:hint="eastAsia"/>
                <w:b/>
                <w:sz w:val="21"/>
              </w:rPr>
              <w:t>31. 急性出血坏死性胰腺炎开腹手术</w:t>
            </w:r>
          </w:p>
        </w:tc>
        <w:tc>
          <w:tcPr>
            <w:tcW w:w="7517" w:type="dxa"/>
          </w:tcPr>
          <w:p>
            <w:pPr>
              <w:pStyle w:val="TableParagraph"/>
              <w:spacing w:line="273" w:lineRule="auto" w:before="90"/>
              <w:ind w:right="236"/>
              <w:rPr>
                <w:sz w:val="21"/>
              </w:rPr>
            </w:pPr>
            <w:r>
              <w:rPr>
                <w:sz w:val="21"/>
              </w:rPr>
              <w:t>指被保险人因为急性出血坏死性胰腺炎已经接受了外科开腹手术治疗，以进行坏死组织清除、坏死病灶切除或胰腺切除。</w:t>
            </w:r>
          </w:p>
          <w:p>
            <w:pPr>
              <w:pStyle w:val="TableParagraph"/>
              <w:spacing w:line="206" w:lineRule="auto"/>
              <w:ind w:right="429"/>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因饮酒所致的急性出血坏死性胰腺炎或经腹腔镜手术进行的治疗不在保障范围内。</w:t>
            </w:r>
          </w:p>
        </w:tc>
      </w:tr>
      <w:tr>
        <w:trPr>
          <w:trHeight w:val="1177" w:hRule="atLeast"/>
        </w:trPr>
        <w:tc>
          <w:tcPr>
            <w:tcW w:w="2014" w:type="dxa"/>
          </w:tcPr>
          <w:p>
            <w:pPr>
              <w:pStyle w:val="TableParagraph"/>
              <w:spacing w:line="337" w:lineRule="exact" w:before="69"/>
              <w:ind w:left="200"/>
              <w:rPr>
                <w:rFonts w:ascii="微软雅黑" w:eastAsia="微软雅黑" w:hint="eastAsia"/>
                <w:b/>
                <w:sz w:val="21"/>
              </w:rPr>
            </w:pPr>
            <w:r>
              <w:rPr>
                <w:rFonts w:ascii="微软雅黑" w:eastAsia="微软雅黑" w:hint="eastAsia"/>
                <w:b/>
                <w:sz w:val="21"/>
              </w:rPr>
              <w:t>32. 侵蚀性葡萄胎</w:t>
            </w:r>
          </w:p>
          <w:p>
            <w:pPr>
              <w:pStyle w:val="TableParagraph"/>
              <w:spacing w:line="206" w:lineRule="auto" w:before="25"/>
              <w:ind w:left="619" w:right="124"/>
              <w:rPr>
                <w:rFonts w:ascii="微软雅黑" w:eastAsia="微软雅黑" w:hint="eastAsia"/>
                <w:b/>
                <w:sz w:val="21"/>
              </w:rPr>
            </w:pPr>
            <w:r>
              <w:rPr>
                <w:rFonts w:ascii="微软雅黑" w:eastAsia="微软雅黑" w:hint="eastAsia"/>
                <w:b/>
                <w:sz w:val="21"/>
              </w:rPr>
              <w:t>（或称恶性葡萄胎）</w:t>
            </w:r>
          </w:p>
        </w:tc>
        <w:tc>
          <w:tcPr>
            <w:tcW w:w="7517" w:type="dxa"/>
          </w:tcPr>
          <w:p>
            <w:pPr>
              <w:pStyle w:val="TableParagraph"/>
              <w:spacing w:line="273" w:lineRule="auto" w:before="131"/>
              <w:ind w:right="450"/>
              <w:rPr>
                <w:sz w:val="21"/>
              </w:rPr>
            </w:pPr>
            <w:r>
              <w:rPr>
                <w:sz w:val="21"/>
              </w:rPr>
              <w:t>指异常增生的绒毛组织浸润性生长浸入子宫肌层或转移至其他器官或组织的葡萄胎，并已经进行化疗或手术治疗的。</w:t>
            </w:r>
          </w:p>
        </w:tc>
      </w:tr>
      <w:tr>
        <w:trPr>
          <w:trHeight w:val="3660" w:hRule="atLeast"/>
        </w:trPr>
        <w:tc>
          <w:tcPr>
            <w:tcW w:w="2014" w:type="dxa"/>
          </w:tcPr>
          <w:p>
            <w:pPr>
              <w:pStyle w:val="TableParagraph"/>
              <w:spacing w:line="206" w:lineRule="auto" w:before="58"/>
              <w:ind w:left="619" w:right="124" w:hanging="420"/>
              <w:jc w:val="both"/>
              <w:rPr>
                <w:rFonts w:ascii="微软雅黑" w:eastAsia="微软雅黑" w:hint="eastAsia"/>
                <w:b/>
                <w:sz w:val="21"/>
              </w:rPr>
            </w:pPr>
            <w:r>
              <w:rPr>
                <w:rFonts w:ascii="微软雅黑" w:eastAsia="微软雅黑" w:hint="eastAsia"/>
                <w:b/>
                <w:sz w:val="21"/>
              </w:rPr>
              <w:t>33. 经输血导致的感染艾滋病病毒或者患艾滋病</w:t>
            </w:r>
          </w:p>
        </w:tc>
        <w:tc>
          <w:tcPr>
            <w:tcW w:w="7517" w:type="dxa"/>
          </w:tcPr>
          <w:p>
            <w:pPr>
              <w:pStyle w:val="TableParagraph"/>
              <w:spacing w:before="70"/>
              <w:rPr>
                <w:sz w:val="21"/>
              </w:rPr>
            </w:pPr>
            <w:r>
              <w:rPr>
                <w:sz w:val="21"/>
              </w:rPr>
              <w:t>指被保险人感染艾滋病病毒或者患艾滋病且须满足下列全部条件：</w:t>
            </w:r>
          </w:p>
          <w:p>
            <w:pPr>
              <w:pStyle w:val="TableParagraph"/>
              <w:numPr>
                <w:ilvl w:val="0"/>
                <w:numId w:val="8"/>
              </w:numPr>
              <w:tabs>
                <w:tab w:pos="551" w:val="left" w:leader="none"/>
              </w:tabs>
              <w:spacing w:line="240" w:lineRule="auto" w:before="37" w:after="0"/>
              <w:ind w:left="127" w:right="0" w:firstLine="0"/>
              <w:jc w:val="left"/>
              <w:rPr>
                <w:sz w:val="21"/>
              </w:rPr>
            </w:pPr>
            <w:r>
              <w:rPr>
                <w:spacing w:val="-3"/>
                <w:sz w:val="21"/>
              </w:rPr>
              <w:t>因输血而感染；</w:t>
            </w:r>
          </w:p>
          <w:p>
            <w:pPr>
              <w:pStyle w:val="TableParagraph"/>
              <w:numPr>
                <w:ilvl w:val="0"/>
                <w:numId w:val="8"/>
              </w:numPr>
              <w:tabs>
                <w:tab w:pos="551" w:val="left" w:leader="none"/>
              </w:tabs>
              <w:spacing w:line="273" w:lineRule="auto" w:before="37" w:after="0"/>
              <w:ind w:left="127" w:right="303" w:firstLine="0"/>
              <w:jc w:val="left"/>
              <w:rPr>
                <w:sz w:val="21"/>
              </w:rPr>
            </w:pPr>
            <w:r>
              <w:rPr>
                <w:spacing w:val="-3"/>
                <w:sz w:val="21"/>
              </w:rPr>
              <w:t>提供输血治疗的输血中心或医院出具的该项输血感染属医疗责任事故的</w:t>
            </w:r>
            <w:r>
              <w:rPr>
                <w:spacing w:val="-10"/>
                <w:sz w:val="21"/>
              </w:rPr>
              <w:t>报告，或法院确认被保险人因输血导致感染艾滋病病毒或患艾滋病为医疗责任</w:t>
            </w:r>
            <w:r>
              <w:rPr>
                <w:spacing w:val="-5"/>
                <w:sz w:val="21"/>
              </w:rPr>
              <w:t>事故的生效判决；</w:t>
            </w:r>
          </w:p>
          <w:p>
            <w:pPr>
              <w:pStyle w:val="TableParagraph"/>
              <w:numPr>
                <w:ilvl w:val="0"/>
                <w:numId w:val="8"/>
              </w:numPr>
              <w:tabs>
                <w:tab w:pos="551" w:val="left" w:leader="none"/>
              </w:tabs>
              <w:spacing w:line="240" w:lineRule="auto" w:before="7" w:after="0"/>
              <w:ind w:left="127" w:right="0" w:firstLine="0"/>
              <w:jc w:val="left"/>
              <w:rPr>
                <w:sz w:val="21"/>
              </w:rPr>
            </w:pPr>
            <w:r>
              <w:rPr>
                <w:spacing w:val="-3"/>
                <w:sz w:val="21"/>
              </w:rPr>
              <w:t>受感染的被保险人不是血友病患者。</w:t>
            </w:r>
          </w:p>
          <w:p>
            <w:pPr>
              <w:pStyle w:val="TableParagraph"/>
              <w:spacing w:before="8"/>
              <w:ind w:left="0"/>
              <w:rPr>
                <w:sz w:val="26"/>
              </w:rPr>
            </w:pPr>
          </w:p>
          <w:p>
            <w:pPr>
              <w:pStyle w:val="TableParagraph"/>
              <w:spacing w:line="273" w:lineRule="auto"/>
              <w:ind w:right="450"/>
              <w:rPr>
                <w:sz w:val="21"/>
              </w:rPr>
            </w:pPr>
            <w:r>
              <w:rPr>
                <w:sz w:val="21"/>
              </w:rPr>
              <w:t>本公司具有获得和使用被保险人的所有血液样本的权利以及能够对这些样本进行独立检验的权利。</w:t>
            </w:r>
          </w:p>
          <w:p>
            <w:pPr>
              <w:pStyle w:val="TableParagraph"/>
              <w:spacing w:line="206" w:lineRule="auto"/>
              <w:ind w:right="238"/>
              <w:rPr>
                <w:rFonts w:ascii="微软雅黑" w:eastAsia="微软雅黑" w:hint="eastAsia"/>
                <w:b/>
                <w:sz w:val="21"/>
              </w:rPr>
            </w:pPr>
            <w:r>
              <w:rPr>
                <w:rFonts w:ascii="微软雅黑" w:eastAsia="微软雅黑" w:hint="eastAsia"/>
                <w:b/>
                <w:sz w:val="21"/>
              </w:rPr>
              <w:t>任何因其他传播方式（包括：性传播或静脉注射毒品）导致感染艾滋病病毒或者患艾滋病不在保障范围内。</w:t>
            </w:r>
          </w:p>
        </w:tc>
      </w:tr>
      <w:tr>
        <w:trPr>
          <w:trHeight w:val="5080" w:hRule="atLeast"/>
        </w:trPr>
        <w:tc>
          <w:tcPr>
            <w:tcW w:w="2014" w:type="dxa"/>
          </w:tcPr>
          <w:p>
            <w:pPr>
              <w:pStyle w:val="TableParagraph"/>
              <w:spacing w:line="206" w:lineRule="auto" w:before="106"/>
              <w:ind w:left="619" w:right="124" w:hanging="420"/>
              <w:jc w:val="both"/>
              <w:rPr>
                <w:rFonts w:ascii="微软雅黑" w:eastAsia="微软雅黑" w:hint="eastAsia"/>
                <w:b/>
                <w:sz w:val="21"/>
              </w:rPr>
            </w:pPr>
            <w:r>
              <w:rPr>
                <w:rFonts w:ascii="微软雅黑" w:eastAsia="微软雅黑" w:hint="eastAsia"/>
                <w:b/>
                <w:sz w:val="21"/>
              </w:rPr>
              <w:t>34. 系统性红斑狼疮并发重度的肾功能损害</w:t>
            </w:r>
          </w:p>
        </w:tc>
        <w:tc>
          <w:tcPr>
            <w:tcW w:w="7517" w:type="dxa"/>
          </w:tcPr>
          <w:p>
            <w:pPr>
              <w:pStyle w:val="TableParagraph"/>
              <w:spacing w:line="273" w:lineRule="auto" w:before="118"/>
              <w:ind w:right="248"/>
              <w:rPr>
                <w:sz w:val="21"/>
              </w:rPr>
            </w:pPr>
            <w:r>
              <w:rPr>
                <w:sz w:val="21"/>
              </w:rPr>
              <w:t>指系统性红斑狼疮患者并发狼疮性肾炎而影响和损害肾脏功能。须满足下列全部条件：</w:t>
            </w:r>
          </w:p>
          <w:p>
            <w:pPr>
              <w:pStyle w:val="TableParagraph"/>
              <w:numPr>
                <w:ilvl w:val="0"/>
                <w:numId w:val="9"/>
              </w:numPr>
              <w:tabs>
                <w:tab w:pos="551" w:val="left" w:leader="none"/>
              </w:tabs>
              <w:spacing w:line="240" w:lineRule="auto" w:before="8" w:after="0"/>
              <w:ind w:left="550" w:right="0" w:hanging="423"/>
              <w:jc w:val="left"/>
              <w:rPr>
                <w:sz w:val="21"/>
              </w:rPr>
            </w:pPr>
            <w:r>
              <w:rPr>
                <w:spacing w:val="-3"/>
                <w:sz w:val="21"/>
              </w:rPr>
              <w:t>临床表现须具备以下至少四项条件：</w:t>
            </w:r>
          </w:p>
          <w:p>
            <w:pPr>
              <w:pStyle w:val="TableParagraph"/>
              <w:spacing w:before="37"/>
              <w:rPr>
                <w:sz w:val="21"/>
              </w:rPr>
            </w:pPr>
            <w:r>
              <w:rPr>
                <w:sz w:val="21"/>
              </w:rPr>
              <w:t>① 蝶形红斑或盘形红斑；</w:t>
            </w:r>
          </w:p>
          <w:p>
            <w:pPr>
              <w:pStyle w:val="TableParagraph"/>
              <w:spacing w:before="37"/>
              <w:rPr>
                <w:sz w:val="21"/>
              </w:rPr>
            </w:pPr>
            <w:r>
              <w:rPr>
                <w:sz w:val="21"/>
              </w:rPr>
              <w:t>② 光敏感；</w:t>
            </w:r>
          </w:p>
          <w:p>
            <w:pPr>
              <w:pStyle w:val="TableParagraph"/>
              <w:spacing w:before="37"/>
              <w:rPr>
                <w:sz w:val="21"/>
              </w:rPr>
            </w:pPr>
            <w:r>
              <w:rPr>
                <w:sz w:val="21"/>
              </w:rPr>
              <w:t>③ 口鼻腔黏膜溃疡；</w:t>
            </w:r>
          </w:p>
          <w:p>
            <w:pPr>
              <w:pStyle w:val="TableParagraph"/>
              <w:spacing w:before="37"/>
              <w:rPr>
                <w:sz w:val="21"/>
              </w:rPr>
            </w:pPr>
            <w:r>
              <w:rPr>
                <w:sz w:val="21"/>
              </w:rPr>
              <w:t>④ 非畸形性关节炎或多关节痛；</w:t>
            </w:r>
          </w:p>
          <w:p>
            <w:pPr>
              <w:pStyle w:val="TableParagraph"/>
              <w:spacing w:before="37"/>
              <w:rPr>
                <w:sz w:val="21"/>
              </w:rPr>
            </w:pPr>
            <w:r>
              <w:rPr>
                <w:sz w:val="21"/>
              </w:rPr>
              <w:t>⑤ 胸膜炎或心包炎；</w:t>
            </w:r>
          </w:p>
          <w:p>
            <w:pPr>
              <w:pStyle w:val="TableParagraph"/>
              <w:spacing w:before="37"/>
              <w:rPr>
                <w:sz w:val="21"/>
              </w:rPr>
            </w:pPr>
            <w:r>
              <w:rPr>
                <w:sz w:val="21"/>
              </w:rPr>
              <w:t>⑥ 神经系统损伤（癫痫或精神症状）；</w:t>
            </w:r>
          </w:p>
          <w:p>
            <w:pPr>
              <w:pStyle w:val="TableParagraph"/>
              <w:spacing w:before="37"/>
              <w:rPr>
                <w:sz w:val="21"/>
              </w:rPr>
            </w:pPr>
            <w:r>
              <w:rPr>
                <w:sz w:val="21"/>
              </w:rPr>
              <w:t>⑦ 血象异常（白细胞小于4000/μl或血小板小于100000/μl或溶血性贫血）。</w:t>
            </w:r>
          </w:p>
          <w:p>
            <w:pPr>
              <w:pStyle w:val="TableParagraph"/>
              <w:numPr>
                <w:ilvl w:val="0"/>
                <w:numId w:val="9"/>
              </w:numPr>
              <w:tabs>
                <w:tab w:pos="551" w:val="left" w:leader="none"/>
              </w:tabs>
              <w:spacing w:line="240" w:lineRule="auto" w:before="37" w:after="0"/>
              <w:ind w:left="550" w:right="0" w:hanging="423"/>
              <w:jc w:val="left"/>
              <w:rPr>
                <w:sz w:val="21"/>
              </w:rPr>
            </w:pPr>
            <w:r>
              <w:rPr>
                <w:spacing w:val="-3"/>
                <w:sz w:val="21"/>
              </w:rPr>
              <w:t>检查结果须具备以下至少两项条件：</w:t>
            </w:r>
          </w:p>
          <w:p>
            <w:pPr>
              <w:pStyle w:val="TableParagraph"/>
              <w:spacing w:before="37"/>
              <w:rPr>
                <w:sz w:val="21"/>
              </w:rPr>
            </w:pPr>
            <w:r>
              <w:rPr>
                <w:sz w:val="21"/>
              </w:rPr>
              <w:t>① 抗dsDNA抗体阳性；</w:t>
            </w:r>
          </w:p>
          <w:p>
            <w:pPr>
              <w:pStyle w:val="TableParagraph"/>
              <w:spacing w:before="37"/>
              <w:rPr>
                <w:sz w:val="21"/>
              </w:rPr>
            </w:pPr>
            <w:r>
              <w:rPr>
                <w:sz w:val="21"/>
              </w:rPr>
              <w:t>② 抗Sm抗体阳性；</w:t>
            </w:r>
          </w:p>
          <w:p>
            <w:pPr>
              <w:pStyle w:val="TableParagraph"/>
              <w:spacing w:before="36"/>
              <w:rPr>
                <w:sz w:val="21"/>
              </w:rPr>
            </w:pPr>
            <w:r>
              <w:rPr>
                <w:sz w:val="21"/>
              </w:rPr>
              <w:t>③ 抗核抗体阳性；</w:t>
            </w:r>
          </w:p>
          <w:p>
            <w:pPr>
              <w:pStyle w:val="TableParagraph"/>
              <w:spacing w:before="36"/>
              <w:rPr>
                <w:sz w:val="21"/>
              </w:rPr>
            </w:pPr>
            <w:r>
              <w:rPr>
                <w:sz w:val="21"/>
              </w:rPr>
              <w:t>④ 皮肤狼疮带试验（非病损部位）或肾活检阳性；</w:t>
            </w:r>
          </w:p>
          <w:p>
            <w:pPr>
              <w:pStyle w:val="TableParagraph"/>
              <w:spacing w:line="261" w:lineRule="exact" w:before="36"/>
              <w:rPr>
                <w:sz w:val="21"/>
              </w:rPr>
            </w:pPr>
            <w:r>
              <w:rPr>
                <w:sz w:val="21"/>
              </w:rPr>
              <w:t>⑤ C3低于正常值。</w:t>
            </w:r>
          </w:p>
        </w:tc>
      </w:tr>
    </w:tbl>
    <w:p>
      <w:pPr>
        <w:spacing w:after="0" w:line="261" w:lineRule="exac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6"/>
      </w:tblGrid>
      <w:tr>
        <w:trPr>
          <w:trHeight w:val="400" w:hRule="atLeast"/>
        </w:trPr>
        <w:tc>
          <w:tcPr>
            <w:tcW w:w="2014" w:type="dxa"/>
          </w:tcPr>
          <w:p>
            <w:pPr>
              <w:pStyle w:val="TableParagraph"/>
              <w:ind w:left="0"/>
              <w:rPr>
                <w:rFonts w:ascii="Times New Roman"/>
                <w:sz w:val="20"/>
              </w:rPr>
            </w:pPr>
          </w:p>
        </w:tc>
        <w:tc>
          <w:tcPr>
            <w:tcW w:w="7516" w:type="dxa"/>
          </w:tcPr>
          <w:p>
            <w:pPr>
              <w:pStyle w:val="TableParagraph"/>
              <w:spacing w:line="205" w:lineRule="exact"/>
              <w:ind w:left="233"/>
              <w:rPr>
                <w:sz w:val="21"/>
              </w:rPr>
            </w:pPr>
            <w:r>
              <w:rPr>
                <w:sz w:val="21"/>
              </w:rPr>
              <w:t>(3) 狼疮肾炎致使肾功能减弱，内生肌酐清除率低于每分钟 30ml。</w:t>
            </w:r>
          </w:p>
        </w:tc>
      </w:tr>
      <w:tr>
        <w:trPr>
          <w:trHeight w:val="2129" w:hRule="atLeast"/>
        </w:trPr>
        <w:tc>
          <w:tcPr>
            <w:tcW w:w="2014" w:type="dxa"/>
          </w:tcPr>
          <w:p>
            <w:pPr>
              <w:pStyle w:val="TableParagraph"/>
              <w:spacing w:before="57"/>
              <w:ind w:left="200"/>
              <w:rPr>
                <w:rFonts w:ascii="微软雅黑" w:eastAsia="微软雅黑" w:hint="eastAsia"/>
                <w:b/>
                <w:sz w:val="21"/>
              </w:rPr>
            </w:pPr>
            <w:r>
              <w:rPr>
                <w:rFonts w:ascii="微软雅黑" w:eastAsia="微软雅黑" w:hint="eastAsia"/>
                <w:b/>
                <w:sz w:val="21"/>
              </w:rPr>
              <w:t>35. 重症肌无力</w:t>
            </w:r>
          </w:p>
        </w:tc>
        <w:tc>
          <w:tcPr>
            <w:tcW w:w="7516" w:type="dxa"/>
          </w:tcPr>
          <w:p>
            <w:pPr>
              <w:pStyle w:val="TableParagraph"/>
              <w:spacing w:line="271" w:lineRule="auto" w:before="119"/>
              <w:ind w:right="240"/>
              <w:jc w:val="both"/>
              <w:rPr>
                <w:sz w:val="21"/>
              </w:rPr>
            </w:pPr>
            <w:r>
              <w:rPr>
                <w:spacing w:val="-6"/>
                <w:sz w:val="21"/>
              </w:rPr>
              <w:t>指一种神经与肌肉接头部位传递障碍的自身免疫性疾病，临床特征是局部或全</w:t>
            </w:r>
            <w:r>
              <w:rPr>
                <w:spacing w:val="-4"/>
                <w:sz w:val="21"/>
              </w:rPr>
              <w:t>身横纹肌于活动时易于疲劳无力，颅神经眼外肌最易累及，也可涉及呼吸肌、</w:t>
            </w:r>
            <w:r>
              <w:rPr>
                <w:spacing w:val="-3"/>
                <w:sz w:val="21"/>
              </w:rPr>
              <w:t>下肢近端肌群以至全身肌肉。且须满足下列全部条件：</w:t>
            </w:r>
          </w:p>
          <w:p>
            <w:pPr>
              <w:pStyle w:val="TableParagraph"/>
              <w:numPr>
                <w:ilvl w:val="0"/>
                <w:numId w:val="10"/>
              </w:numPr>
              <w:tabs>
                <w:tab w:pos="551" w:val="left" w:leader="none"/>
              </w:tabs>
              <w:spacing w:line="240" w:lineRule="auto" w:before="9" w:after="0"/>
              <w:ind w:left="127" w:right="0" w:firstLine="0"/>
              <w:jc w:val="left"/>
              <w:rPr>
                <w:sz w:val="21"/>
              </w:rPr>
            </w:pPr>
            <w:r>
              <w:rPr>
                <w:spacing w:val="-3"/>
                <w:sz w:val="21"/>
              </w:rPr>
              <w:t>经药物、胸腺手术治疗一年以上无法控制病情；</w:t>
            </w:r>
          </w:p>
          <w:p>
            <w:pPr>
              <w:pStyle w:val="TableParagraph"/>
              <w:numPr>
                <w:ilvl w:val="0"/>
                <w:numId w:val="10"/>
              </w:numPr>
              <w:tabs>
                <w:tab w:pos="551" w:val="left" w:leader="none"/>
              </w:tabs>
              <w:spacing w:line="273" w:lineRule="auto" w:before="37" w:after="0"/>
              <w:ind w:left="127" w:right="302" w:firstLine="0"/>
              <w:jc w:val="both"/>
              <w:rPr>
                <w:sz w:val="21"/>
              </w:rPr>
            </w:pPr>
            <w:r>
              <w:rPr>
                <w:spacing w:val="-9"/>
                <w:sz w:val="21"/>
              </w:rPr>
              <w:t>自主生活能力完全丧失，无法独立完成六项基本日常生活活动中的三项或</w:t>
            </w:r>
            <w:r>
              <w:rPr>
                <w:spacing w:val="-5"/>
                <w:sz w:val="21"/>
              </w:rPr>
              <w:t>三项以上。</w:t>
            </w:r>
          </w:p>
        </w:tc>
      </w:tr>
      <w:tr>
        <w:trPr>
          <w:trHeight w:val="1709" w:hRule="atLeast"/>
        </w:trPr>
        <w:tc>
          <w:tcPr>
            <w:tcW w:w="2014" w:type="dxa"/>
          </w:tcPr>
          <w:p>
            <w:pPr>
              <w:pStyle w:val="TableParagraph"/>
              <w:spacing w:line="206" w:lineRule="auto" w:before="88"/>
              <w:ind w:left="619" w:right="124" w:hanging="420"/>
              <w:rPr>
                <w:rFonts w:ascii="微软雅黑" w:eastAsia="微软雅黑" w:hint="eastAsia"/>
                <w:b/>
                <w:sz w:val="21"/>
              </w:rPr>
            </w:pPr>
            <w:r>
              <w:rPr>
                <w:rFonts w:ascii="微软雅黑" w:eastAsia="微软雅黑" w:hint="eastAsia"/>
                <w:b/>
                <w:sz w:val="21"/>
              </w:rPr>
              <w:t>36. 持续植物人状态</w:t>
            </w:r>
          </w:p>
        </w:tc>
        <w:tc>
          <w:tcPr>
            <w:tcW w:w="7516" w:type="dxa"/>
          </w:tcPr>
          <w:p>
            <w:pPr>
              <w:pStyle w:val="TableParagraph"/>
              <w:spacing w:line="273" w:lineRule="auto" w:before="100"/>
              <w:ind w:right="302"/>
              <w:jc w:val="both"/>
              <w:rPr>
                <w:sz w:val="21"/>
              </w:rPr>
            </w:pPr>
            <w:r>
              <w:rPr>
                <w:spacing w:val="-5"/>
                <w:sz w:val="21"/>
              </w:rPr>
              <w:t>指因疾病或意外伤害导致被保险人躯体反射和自主反射全部丧失的深昏迷，但</w:t>
            </w:r>
            <w:r>
              <w:rPr>
                <w:spacing w:val="-7"/>
                <w:sz w:val="21"/>
              </w:rPr>
              <w:t>呼吸和心跳是正常的，此时完全依赖支持疗法</w:t>
            </w:r>
            <w:r>
              <w:rPr>
                <w:spacing w:val="-3"/>
                <w:sz w:val="21"/>
              </w:rPr>
              <w:t>（</w:t>
            </w:r>
            <w:r>
              <w:rPr>
                <w:spacing w:val="-6"/>
                <w:sz w:val="21"/>
              </w:rPr>
              <w:t>如流质食物、静脉注射营养液等）</w:t>
            </w:r>
            <w:r>
              <w:rPr>
                <w:spacing w:val="-3"/>
                <w:sz w:val="21"/>
              </w:rPr>
              <w:t>维持生命的临床状态。且须满足下列全部条件：</w:t>
            </w:r>
          </w:p>
          <w:p>
            <w:pPr>
              <w:pStyle w:val="TableParagraph"/>
              <w:numPr>
                <w:ilvl w:val="0"/>
                <w:numId w:val="11"/>
              </w:numPr>
              <w:tabs>
                <w:tab w:pos="551" w:val="left" w:leader="none"/>
              </w:tabs>
              <w:spacing w:line="240" w:lineRule="auto" w:before="7" w:after="0"/>
              <w:ind w:left="550" w:right="0" w:hanging="423"/>
              <w:jc w:val="both"/>
              <w:rPr>
                <w:sz w:val="21"/>
              </w:rPr>
            </w:pPr>
            <w:r>
              <w:rPr>
                <w:spacing w:val="-3"/>
                <w:sz w:val="21"/>
              </w:rPr>
              <w:t>诊断为植物人状态后并继续维持治疗</w:t>
            </w:r>
            <w:r>
              <w:rPr>
                <w:sz w:val="21"/>
              </w:rPr>
              <w:t>30</w:t>
            </w:r>
            <w:r>
              <w:rPr>
                <w:spacing w:val="-3"/>
                <w:sz w:val="21"/>
              </w:rPr>
              <w:t>天以上；</w:t>
            </w:r>
          </w:p>
          <w:p>
            <w:pPr>
              <w:pStyle w:val="TableParagraph"/>
              <w:numPr>
                <w:ilvl w:val="0"/>
                <w:numId w:val="11"/>
              </w:numPr>
              <w:tabs>
                <w:tab w:pos="551" w:val="left" w:leader="none"/>
              </w:tabs>
              <w:spacing w:line="240" w:lineRule="auto" w:before="36" w:after="0"/>
              <w:ind w:left="550" w:right="0" w:hanging="423"/>
              <w:jc w:val="both"/>
              <w:rPr>
                <w:sz w:val="21"/>
              </w:rPr>
            </w:pPr>
            <w:r>
              <w:rPr>
                <w:spacing w:val="-15"/>
                <w:sz w:val="21"/>
              </w:rPr>
              <w:t>治疗 </w:t>
            </w:r>
            <w:r>
              <w:rPr>
                <w:sz w:val="21"/>
              </w:rPr>
              <w:t>30</w:t>
            </w:r>
            <w:r>
              <w:rPr>
                <w:spacing w:val="-8"/>
                <w:sz w:val="21"/>
              </w:rPr>
              <w:t> 天前后的脑电图检查均为等电位</w:t>
            </w:r>
            <w:r>
              <w:rPr>
                <w:spacing w:val="-3"/>
                <w:sz w:val="21"/>
              </w:rPr>
              <w:t>（</w:t>
            </w:r>
            <w:r>
              <w:rPr>
                <w:spacing w:val="-2"/>
                <w:sz w:val="21"/>
              </w:rPr>
              <w:t>完全平坦</w:t>
            </w:r>
            <w:r>
              <w:rPr>
                <w:spacing w:val="-3"/>
                <w:sz w:val="21"/>
              </w:rPr>
              <w:t>）</w:t>
            </w:r>
            <w:r>
              <w:rPr>
                <w:sz w:val="21"/>
              </w:rPr>
              <w:t>。</w:t>
            </w:r>
          </w:p>
        </w:tc>
      </w:tr>
      <w:tr>
        <w:trPr>
          <w:trHeight w:val="1670" w:hRule="atLeast"/>
        </w:trPr>
        <w:tc>
          <w:tcPr>
            <w:tcW w:w="2014" w:type="dxa"/>
          </w:tcPr>
          <w:p>
            <w:pPr>
              <w:pStyle w:val="TableParagraph"/>
              <w:spacing w:line="309" w:lineRule="exact"/>
              <w:ind w:left="200"/>
              <w:rPr>
                <w:rFonts w:ascii="微软雅黑" w:eastAsia="微软雅黑" w:hint="eastAsia"/>
                <w:b/>
                <w:sz w:val="21"/>
              </w:rPr>
            </w:pPr>
            <w:r>
              <w:rPr>
                <w:rFonts w:ascii="微软雅黑" w:eastAsia="微软雅黑" w:hint="eastAsia"/>
                <w:b/>
                <w:sz w:val="21"/>
              </w:rPr>
              <w:t>37. 严重心肌病</w:t>
            </w:r>
          </w:p>
        </w:tc>
        <w:tc>
          <w:tcPr>
            <w:tcW w:w="7516" w:type="dxa"/>
          </w:tcPr>
          <w:p>
            <w:pPr>
              <w:pStyle w:val="TableParagraph"/>
              <w:spacing w:line="273" w:lineRule="auto" w:before="9"/>
              <w:ind w:right="201"/>
              <w:rPr>
                <w:sz w:val="21"/>
              </w:rPr>
            </w:pPr>
            <w:r>
              <w:rPr>
                <w:spacing w:val="-7"/>
                <w:sz w:val="21"/>
              </w:rPr>
              <w:t>指由任何病因引起的心室功能损伤</w:t>
            </w:r>
            <w:r>
              <w:rPr>
                <w:sz w:val="21"/>
              </w:rPr>
              <w:t>（</w:t>
            </w:r>
            <w:r>
              <w:rPr>
                <w:spacing w:val="-3"/>
                <w:sz w:val="21"/>
              </w:rPr>
              <w:t>左室腔扩大至少达到正常值上限的</w:t>
            </w:r>
            <w:r>
              <w:rPr>
                <w:sz w:val="21"/>
              </w:rPr>
              <w:t>120％， </w:t>
            </w:r>
            <w:r>
              <w:rPr>
                <w:spacing w:val="-3"/>
                <w:sz w:val="21"/>
              </w:rPr>
              <w:t>且左室射血分数持续性低于</w:t>
            </w:r>
            <w:r>
              <w:rPr>
                <w:spacing w:val="-10"/>
                <w:sz w:val="21"/>
              </w:rPr>
              <w:t>40％），</w:t>
            </w:r>
            <w:r>
              <w:rPr>
                <w:spacing w:val="-5"/>
                <w:sz w:val="21"/>
              </w:rPr>
              <w:t>导致被保险人身体永久不可逆性受损，达</w:t>
            </w:r>
            <w:r>
              <w:rPr>
                <w:spacing w:val="-4"/>
                <w:sz w:val="21"/>
              </w:rPr>
              <w:t>到美国纽约心脏病学会心功能状态分级</w:t>
            </w:r>
            <w:r>
              <w:rPr>
                <w:sz w:val="21"/>
              </w:rPr>
              <w:t>IV</w:t>
            </w:r>
            <w:r>
              <w:rPr>
                <w:spacing w:val="-10"/>
                <w:sz w:val="21"/>
              </w:rPr>
              <w:t>级，且经包括超声心动图在内的相关</w:t>
            </w:r>
            <w:r>
              <w:rPr>
                <w:spacing w:val="-5"/>
                <w:sz w:val="21"/>
              </w:rPr>
              <w:t>检查证实。</w:t>
            </w:r>
          </w:p>
          <w:p>
            <w:pPr>
              <w:pStyle w:val="TableParagraph"/>
              <w:spacing w:line="308" w:lineRule="exact"/>
              <w:rPr>
                <w:rFonts w:ascii="微软雅黑" w:eastAsia="微软雅黑" w:hint="eastAsia"/>
                <w:b/>
                <w:sz w:val="21"/>
              </w:rPr>
            </w:pPr>
            <w:r>
              <w:rPr>
                <w:rFonts w:ascii="微软雅黑" w:eastAsia="微软雅黑" w:hint="eastAsia"/>
                <w:b/>
                <w:sz w:val="21"/>
              </w:rPr>
              <w:t>酗酒或滥用药物引起的心肌病不在保障范围内。</w:t>
            </w:r>
          </w:p>
        </w:tc>
      </w:tr>
      <w:tr>
        <w:trPr>
          <w:trHeight w:val="1115" w:hRule="atLeast"/>
        </w:trPr>
        <w:tc>
          <w:tcPr>
            <w:tcW w:w="2014" w:type="dxa"/>
          </w:tcPr>
          <w:p>
            <w:pPr>
              <w:pStyle w:val="TableParagraph"/>
              <w:spacing w:line="206" w:lineRule="auto" w:before="50"/>
              <w:ind w:left="619" w:right="124" w:hanging="420"/>
              <w:rPr>
                <w:rFonts w:ascii="微软雅黑" w:eastAsia="微软雅黑" w:hint="eastAsia"/>
                <w:b/>
                <w:sz w:val="21"/>
              </w:rPr>
            </w:pPr>
            <w:r>
              <w:rPr>
                <w:rFonts w:ascii="微软雅黑" w:eastAsia="微软雅黑" w:hint="eastAsia"/>
                <w:b/>
                <w:sz w:val="21"/>
              </w:rPr>
              <w:t>38. 严重溃疡性结肠炎</w:t>
            </w:r>
          </w:p>
        </w:tc>
        <w:tc>
          <w:tcPr>
            <w:tcW w:w="7516" w:type="dxa"/>
          </w:tcPr>
          <w:p>
            <w:pPr>
              <w:pStyle w:val="TableParagraph"/>
              <w:spacing w:line="273" w:lineRule="auto" w:before="62"/>
              <w:ind w:right="303"/>
              <w:jc w:val="both"/>
              <w:rPr>
                <w:sz w:val="21"/>
              </w:rPr>
            </w:pPr>
            <w:r>
              <w:rPr>
                <w:spacing w:val="-6"/>
                <w:sz w:val="21"/>
              </w:rPr>
              <w:t>指伴有致命性电解质紊乱的急性暴发性溃疡性结肠炎，病变累及全结肠，表现</w:t>
            </w:r>
            <w:r>
              <w:rPr>
                <w:spacing w:val="-7"/>
                <w:sz w:val="21"/>
              </w:rPr>
              <w:t>为严重的血便和系统性症状体征，须根据组织病理学特点诊断，并且被保险人</w:t>
            </w:r>
            <w:r>
              <w:rPr>
                <w:spacing w:val="-5"/>
                <w:sz w:val="21"/>
              </w:rPr>
              <w:t>已经接受了全结肠切除和回肠造瘘术。</w:t>
            </w:r>
          </w:p>
        </w:tc>
      </w:tr>
      <w:tr>
        <w:trPr>
          <w:trHeight w:val="1197" w:hRule="atLeast"/>
        </w:trPr>
        <w:tc>
          <w:tcPr>
            <w:tcW w:w="2014" w:type="dxa"/>
          </w:tcPr>
          <w:p>
            <w:pPr>
              <w:pStyle w:val="TableParagraph"/>
              <w:spacing w:line="206" w:lineRule="auto" w:before="66"/>
              <w:ind w:left="619" w:right="124" w:hanging="420"/>
              <w:rPr>
                <w:rFonts w:ascii="微软雅黑" w:eastAsia="微软雅黑" w:hint="eastAsia"/>
                <w:b/>
                <w:sz w:val="21"/>
              </w:rPr>
            </w:pPr>
            <w:r>
              <w:rPr>
                <w:rFonts w:ascii="微软雅黑" w:eastAsia="微软雅黑" w:hint="eastAsia"/>
                <w:b/>
                <w:sz w:val="21"/>
              </w:rPr>
              <w:t>39. 溶血性链球菌引起的坏疽</w:t>
            </w:r>
          </w:p>
        </w:tc>
        <w:tc>
          <w:tcPr>
            <w:tcW w:w="7516" w:type="dxa"/>
          </w:tcPr>
          <w:p>
            <w:pPr>
              <w:pStyle w:val="TableParagraph"/>
              <w:spacing w:line="273" w:lineRule="auto" w:before="77"/>
              <w:ind w:right="302"/>
              <w:jc w:val="both"/>
              <w:rPr>
                <w:sz w:val="21"/>
              </w:rPr>
            </w:pPr>
            <w:r>
              <w:rPr>
                <w:spacing w:val="-6"/>
                <w:sz w:val="21"/>
              </w:rPr>
              <w:t>指包围肢体或躯干的浅筋膜或深筋膜受到溶血性链球菌的感染，病情在短时间</w:t>
            </w:r>
            <w:r>
              <w:rPr>
                <w:spacing w:val="-10"/>
                <w:sz w:val="21"/>
              </w:rPr>
              <w:t>内急剧恶化，且已经立刻进行了手术及清创术。最后的诊断必须由微生物或病</w:t>
            </w:r>
            <w:r>
              <w:rPr>
                <w:spacing w:val="-5"/>
                <w:sz w:val="21"/>
              </w:rPr>
              <w:t>理学专家进行相关检查后证实。</w:t>
            </w:r>
          </w:p>
        </w:tc>
      </w:tr>
      <w:tr>
        <w:trPr>
          <w:trHeight w:val="1802" w:hRule="atLeast"/>
        </w:trPr>
        <w:tc>
          <w:tcPr>
            <w:tcW w:w="2014" w:type="dxa"/>
          </w:tcPr>
          <w:p>
            <w:pPr>
              <w:pStyle w:val="TableParagraph"/>
              <w:spacing w:before="82"/>
              <w:ind w:left="200"/>
              <w:rPr>
                <w:rFonts w:ascii="微软雅黑" w:eastAsia="微软雅黑" w:hint="eastAsia"/>
                <w:b/>
                <w:sz w:val="21"/>
              </w:rPr>
            </w:pPr>
            <w:r>
              <w:rPr>
                <w:rFonts w:ascii="微软雅黑" w:eastAsia="微软雅黑" w:hint="eastAsia"/>
                <w:b/>
                <w:sz w:val="21"/>
              </w:rPr>
              <w:t>40. 坏死性筋膜炎</w:t>
            </w:r>
          </w:p>
        </w:tc>
        <w:tc>
          <w:tcPr>
            <w:tcW w:w="7516" w:type="dxa"/>
          </w:tcPr>
          <w:p>
            <w:pPr>
              <w:pStyle w:val="TableParagraph"/>
              <w:spacing w:before="144"/>
              <w:rPr>
                <w:sz w:val="21"/>
              </w:rPr>
            </w:pPr>
            <w:r>
              <w:rPr>
                <w:sz w:val="21"/>
              </w:rPr>
              <w:t>坏死性筋膜炎的诊断须满足下列全部条件：</w:t>
            </w:r>
          </w:p>
          <w:p>
            <w:pPr>
              <w:pStyle w:val="TableParagraph"/>
              <w:numPr>
                <w:ilvl w:val="0"/>
                <w:numId w:val="12"/>
              </w:numPr>
              <w:tabs>
                <w:tab w:pos="551" w:val="left" w:leader="none"/>
              </w:tabs>
              <w:spacing w:line="240" w:lineRule="auto" w:before="36" w:after="0"/>
              <w:ind w:left="653" w:right="0" w:hanging="526"/>
              <w:jc w:val="left"/>
              <w:rPr>
                <w:sz w:val="21"/>
              </w:rPr>
            </w:pPr>
            <w:r>
              <w:rPr>
                <w:spacing w:val="-3"/>
                <w:sz w:val="21"/>
              </w:rPr>
              <w:t>符合坏死性筋膜炎的一般临床表现；</w:t>
            </w:r>
          </w:p>
          <w:p>
            <w:pPr>
              <w:pStyle w:val="TableParagraph"/>
              <w:numPr>
                <w:ilvl w:val="0"/>
                <w:numId w:val="12"/>
              </w:numPr>
              <w:tabs>
                <w:tab w:pos="551" w:val="left" w:leader="none"/>
              </w:tabs>
              <w:spacing w:line="240" w:lineRule="auto" w:before="36" w:after="0"/>
              <w:ind w:left="653" w:right="0" w:hanging="526"/>
              <w:jc w:val="left"/>
              <w:rPr>
                <w:sz w:val="21"/>
              </w:rPr>
            </w:pPr>
            <w:r>
              <w:rPr>
                <w:spacing w:val="-3"/>
                <w:sz w:val="21"/>
              </w:rPr>
              <w:t>细菌培养检出致病菌；</w:t>
            </w:r>
          </w:p>
          <w:p>
            <w:pPr>
              <w:pStyle w:val="TableParagraph"/>
              <w:numPr>
                <w:ilvl w:val="0"/>
                <w:numId w:val="12"/>
              </w:numPr>
              <w:tabs>
                <w:tab w:pos="551" w:val="left" w:leader="none"/>
              </w:tabs>
              <w:spacing w:line="273" w:lineRule="auto" w:before="36" w:after="0"/>
              <w:ind w:left="653" w:right="302" w:hanging="526"/>
              <w:jc w:val="left"/>
              <w:rPr>
                <w:sz w:val="21"/>
              </w:rPr>
            </w:pPr>
            <w:r>
              <w:rPr>
                <w:spacing w:val="-8"/>
                <w:sz w:val="21"/>
              </w:rPr>
              <w:t>出现广泛性肌肉及软组织坏死，并导致身体受影响部位功能永久不可逆性丧失。</w:t>
            </w:r>
          </w:p>
        </w:tc>
      </w:tr>
      <w:tr>
        <w:trPr>
          <w:trHeight w:val="2672" w:hRule="atLeast"/>
        </w:trPr>
        <w:tc>
          <w:tcPr>
            <w:tcW w:w="2014" w:type="dxa"/>
          </w:tcPr>
          <w:p>
            <w:pPr>
              <w:pStyle w:val="TableParagraph"/>
              <w:spacing w:line="359" w:lineRule="exact"/>
              <w:ind w:left="200"/>
              <w:rPr>
                <w:rFonts w:ascii="微软雅黑" w:eastAsia="微软雅黑" w:hint="eastAsia"/>
                <w:b/>
                <w:sz w:val="21"/>
              </w:rPr>
            </w:pPr>
            <w:r>
              <w:rPr>
                <w:rFonts w:ascii="微软雅黑" w:eastAsia="微软雅黑" w:hint="eastAsia"/>
                <w:b/>
                <w:sz w:val="21"/>
              </w:rPr>
              <w:t>41. 系统性硬皮病</w:t>
            </w:r>
          </w:p>
        </w:tc>
        <w:tc>
          <w:tcPr>
            <w:tcW w:w="7516" w:type="dxa"/>
          </w:tcPr>
          <w:p>
            <w:pPr>
              <w:pStyle w:val="TableParagraph"/>
              <w:spacing w:line="273" w:lineRule="auto" w:before="58"/>
              <w:ind w:right="197"/>
              <w:rPr>
                <w:sz w:val="21"/>
              </w:rPr>
            </w:pPr>
            <w:r>
              <w:rPr>
                <w:spacing w:val="-12"/>
                <w:sz w:val="21"/>
              </w:rPr>
              <w:t>系统性硬皮病</w:t>
            </w:r>
            <w:r>
              <w:rPr>
                <w:sz w:val="21"/>
              </w:rPr>
              <w:t>（</w:t>
            </w:r>
            <w:r>
              <w:rPr>
                <w:spacing w:val="-3"/>
                <w:sz w:val="21"/>
              </w:rPr>
              <w:t>须累及内脏器官</w:t>
            </w:r>
            <w:r>
              <w:rPr>
                <w:spacing w:val="-57"/>
                <w:sz w:val="21"/>
              </w:rPr>
              <w:t>）</w:t>
            </w:r>
            <w:r>
              <w:rPr>
                <w:spacing w:val="-9"/>
                <w:sz w:val="21"/>
              </w:rPr>
              <w:t>，指一种以局限性或弥漫性皮肤增厚和皮肤、</w:t>
            </w:r>
            <w:r>
              <w:rPr>
                <w:spacing w:val="-5"/>
                <w:sz w:val="21"/>
              </w:rPr>
              <w:t>血管、内脏器官异常纤维化为特征的结缔组织病。须满足下列至少一项条件：</w:t>
            </w:r>
          </w:p>
          <w:p>
            <w:pPr>
              <w:pStyle w:val="TableParagraph"/>
              <w:numPr>
                <w:ilvl w:val="0"/>
                <w:numId w:val="13"/>
              </w:numPr>
              <w:tabs>
                <w:tab w:pos="551" w:val="left" w:leader="none"/>
              </w:tabs>
              <w:spacing w:line="240" w:lineRule="auto" w:before="7" w:after="0"/>
              <w:ind w:left="127" w:right="0" w:firstLine="0"/>
              <w:jc w:val="left"/>
              <w:rPr>
                <w:sz w:val="21"/>
              </w:rPr>
            </w:pPr>
            <w:r>
              <w:rPr>
                <w:spacing w:val="-3"/>
                <w:sz w:val="21"/>
              </w:rPr>
              <w:t>肺脏：肺部病变进而发展为肺间质纤维化和肺动脉高压；</w:t>
            </w:r>
          </w:p>
          <w:p>
            <w:pPr>
              <w:pStyle w:val="TableParagraph"/>
              <w:numPr>
                <w:ilvl w:val="0"/>
                <w:numId w:val="13"/>
              </w:numPr>
              <w:tabs>
                <w:tab w:pos="551" w:val="left" w:leader="none"/>
              </w:tabs>
              <w:spacing w:line="273" w:lineRule="auto" w:before="37" w:after="0"/>
              <w:ind w:left="127" w:right="345" w:firstLine="0"/>
              <w:jc w:val="left"/>
              <w:rPr>
                <w:sz w:val="21"/>
              </w:rPr>
            </w:pPr>
            <w:r>
              <w:rPr>
                <w:spacing w:val="-3"/>
                <w:sz w:val="21"/>
              </w:rPr>
              <w:t>心脏：左室腔扩大至少达到正常值上限的</w:t>
            </w:r>
            <w:r>
              <w:rPr>
                <w:sz w:val="21"/>
              </w:rPr>
              <w:t>120</w:t>
            </w:r>
            <w:r>
              <w:rPr>
                <w:spacing w:val="-3"/>
                <w:sz w:val="21"/>
              </w:rPr>
              <w:t>％，且左室射血分数持续性</w:t>
            </w:r>
            <w:r>
              <w:rPr>
                <w:spacing w:val="-1"/>
                <w:sz w:val="21"/>
              </w:rPr>
              <w:t>低于40％；</w:t>
            </w:r>
          </w:p>
          <w:p>
            <w:pPr>
              <w:pStyle w:val="TableParagraph"/>
              <w:numPr>
                <w:ilvl w:val="0"/>
                <w:numId w:val="13"/>
              </w:numPr>
              <w:tabs>
                <w:tab w:pos="551" w:val="left" w:leader="none"/>
              </w:tabs>
              <w:spacing w:line="262" w:lineRule="exact" w:before="7" w:after="0"/>
              <w:ind w:left="127" w:right="0" w:firstLine="0"/>
              <w:jc w:val="left"/>
              <w:rPr>
                <w:sz w:val="21"/>
              </w:rPr>
            </w:pPr>
            <w:r>
              <w:rPr>
                <w:spacing w:val="-3"/>
                <w:sz w:val="21"/>
              </w:rPr>
              <w:t>肾脏：肾脏受损导致双肾功能慢性不可逆衰竭，达到尿毒症期。</w:t>
            </w:r>
          </w:p>
          <w:p>
            <w:pPr>
              <w:pStyle w:val="TableParagraph"/>
              <w:spacing w:line="325" w:lineRule="exact"/>
              <w:rPr>
                <w:rFonts w:ascii="微软雅黑" w:eastAsia="微软雅黑" w:hint="eastAsia"/>
                <w:b/>
                <w:sz w:val="21"/>
              </w:rPr>
            </w:pPr>
            <w:r>
              <w:rPr>
                <w:rFonts w:ascii="微软雅黑" w:eastAsia="微软雅黑" w:hint="eastAsia"/>
                <w:b/>
                <w:spacing w:val="-9"/>
                <w:w w:val="100"/>
                <w:sz w:val="21"/>
              </w:rPr>
              <w:t>下列疾病不在本险种保障范围：</w:t>
            </w:r>
            <w:r>
              <w:rPr>
                <w:rFonts w:ascii="微软雅黑" w:eastAsia="微软雅黑" w:hint="eastAsia"/>
                <w:b/>
                <w:w w:val="100"/>
                <w:sz w:val="21"/>
              </w:rPr>
              <w:t>（</w:t>
            </w:r>
            <w:r>
              <w:rPr>
                <w:rFonts w:ascii="微软雅黑" w:eastAsia="微软雅黑" w:hint="eastAsia"/>
                <w:b/>
                <w:spacing w:val="-3"/>
                <w:w w:val="81"/>
                <w:sz w:val="21"/>
              </w:rPr>
              <w:t>1</w:t>
            </w:r>
            <w:r>
              <w:rPr>
                <w:rFonts w:ascii="微软雅黑" w:eastAsia="微软雅黑" w:hint="eastAsia"/>
                <w:b/>
                <w:spacing w:val="-48"/>
                <w:w w:val="100"/>
                <w:sz w:val="21"/>
              </w:rPr>
              <w:t>）</w:t>
            </w:r>
            <w:r>
              <w:rPr>
                <w:rFonts w:ascii="微软雅黑" w:eastAsia="微软雅黑" w:hint="eastAsia"/>
                <w:b/>
                <w:spacing w:val="-9"/>
                <w:w w:val="100"/>
                <w:sz w:val="21"/>
              </w:rPr>
              <w:t>局部性硬皮病</w:t>
            </w:r>
            <w:r>
              <w:rPr>
                <w:rFonts w:ascii="微软雅黑" w:eastAsia="微软雅黑" w:hint="eastAsia"/>
                <w:b/>
                <w:spacing w:val="-3"/>
                <w:w w:val="100"/>
                <w:sz w:val="21"/>
              </w:rPr>
              <w:t>（</w:t>
            </w:r>
            <w:r>
              <w:rPr>
                <w:rFonts w:ascii="微软雅黑" w:eastAsia="微软雅黑" w:hint="eastAsia"/>
                <w:b/>
                <w:spacing w:val="-1"/>
                <w:w w:val="100"/>
                <w:sz w:val="21"/>
              </w:rPr>
              <w:t>如</w:t>
            </w:r>
            <w:r>
              <w:rPr>
                <w:rFonts w:ascii="微软雅黑" w:eastAsia="微软雅黑" w:hint="eastAsia"/>
                <w:b/>
                <w:w w:val="176"/>
                <w:sz w:val="21"/>
              </w:rPr>
              <w:t>:</w:t>
            </w:r>
            <w:r>
              <w:rPr>
                <w:rFonts w:ascii="微软雅黑" w:eastAsia="微软雅黑" w:hint="eastAsia"/>
                <w:b/>
                <w:w w:val="100"/>
                <w:sz w:val="21"/>
              </w:rPr>
              <w:t>带状硬皮病</w:t>
            </w:r>
            <w:r>
              <w:rPr>
                <w:rFonts w:ascii="微软雅黑" w:eastAsia="微软雅黑" w:hint="eastAsia"/>
                <w:b/>
                <w:w w:val="108"/>
                <w:sz w:val="21"/>
              </w:rPr>
              <w:t>\</w:t>
            </w:r>
            <w:r>
              <w:rPr>
                <w:rFonts w:ascii="微软雅黑" w:eastAsia="微软雅黑" w:hint="eastAsia"/>
                <w:b/>
                <w:w w:val="100"/>
                <w:sz w:val="21"/>
              </w:rPr>
              <w:t>硬斑病</w:t>
            </w:r>
            <w:r>
              <w:rPr>
                <w:rFonts w:ascii="微软雅黑" w:eastAsia="微软雅黑" w:hint="eastAsia"/>
                <w:b/>
                <w:w w:val="129"/>
                <w:sz w:val="21"/>
              </w:rPr>
              <w:t>)</w:t>
            </w:r>
            <w:r>
              <w:rPr>
                <w:rFonts w:ascii="微软雅黑" w:eastAsia="微软雅黑" w:hint="eastAsia"/>
                <w:b/>
                <w:w w:val="100"/>
                <w:sz w:val="21"/>
              </w:rPr>
              <w:t>；</w:t>
            </w:r>
          </w:p>
          <w:p>
            <w:pPr>
              <w:pStyle w:val="TableParagraph"/>
              <w:spacing w:line="337" w:lineRule="exact"/>
              <w:rPr>
                <w:rFonts w:ascii="微软雅黑" w:eastAsia="微软雅黑" w:hint="eastAsia"/>
                <w:b/>
                <w:sz w:val="21"/>
              </w:rPr>
            </w:pPr>
            <w:r>
              <w:rPr>
                <w:rFonts w:ascii="微软雅黑" w:eastAsia="微软雅黑" w:hint="eastAsia"/>
                <w:b/>
                <w:w w:val="95"/>
                <w:sz w:val="21"/>
              </w:rPr>
              <w:t>2）嗜酸性粒细胞性筋膜炎；（3）CREST  综合征。</w:t>
            </w:r>
          </w:p>
        </w:tc>
      </w:tr>
      <w:tr>
        <w:trPr>
          <w:trHeight w:val="833" w:hRule="atLeast"/>
        </w:trPr>
        <w:tc>
          <w:tcPr>
            <w:tcW w:w="2014" w:type="dxa"/>
          </w:tcPr>
          <w:p>
            <w:pPr>
              <w:pStyle w:val="TableParagraph"/>
              <w:spacing w:before="16"/>
              <w:ind w:left="200"/>
              <w:rPr>
                <w:rFonts w:ascii="微软雅黑" w:eastAsia="微软雅黑" w:hint="eastAsia"/>
                <w:b/>
                <w:sz w:val="21"/>
              </w:rPr>
            </w:pPr>
            <w:r>
              <w:rPr>
                <w:rFonts w:ascii="微软雅黑" w:eastAsia="微软雅黑" w:hint="eastAsia"/>
                <w:b/>
                <w:sz w:val="21"/>
              </w:rPr>
              <w:t>42. 严重克隆病</w:t>
            </w:r>
          </w:p>
        </w:tc>
        <w:tc>
          <w:tcPr>
            <w:tcW w:w="7516" w:type="dxa"/>
          </w:tcPr>
          <w:p>
            <w:pPr>
              <w:pStyle w:val="TableParagraph"/>
              <w:spacing w:line="273" w:lineRule="auto" w:before="78"/>
              <w:ind w:right="303"/>
              <w:rPr>
                <w:sz w:val="21"/>
              </w:rPr>
            </w:pPr>
            <w:r>
              <w:rPr>
                <w:spacing w:val="-7"/>
                <w:sz w:val="21"/>
              </w:rPr>
              <w:t>指一种慢性肉芽肿性肠炎，具有特征性的克隆病病理组织学变化，须由病理学</w:t>
            </w:r>
            <w:r>
              <w:rPr>
                <w:spacing w:val="-5"/>
                <w:sz w:val="21"/>
              </w:rPr>
              <w:t>检查结果证实，且已经造成瘘管形成并伴有肠梗阻或肠穿孔。</w:t>
            </w:r>
          </w:p>
        </w:tc>
      </w:tr>
      <w:tr>
        <w:trPr>
          <w:trHeight w:val="683" w:hRule="atLeast"/>
        </w:trPr>
        <w:tc>
          <w:tcPr>
            <w:tcW w:w="2014" w:type="dxa"/>
          </w:tcPr>
          <w:p>
            <w:pPr>
              <w:pStyle w:val="TableParagraph"/>
              <w:spacing w:line="312" w:lineRule="exact" w:before="86"/>
              <w:ind w:left="619" w:right="124" w:hanging="420"/>
              <w:rPr>
                <w:rFonts w:ascii="微软雅黑" w:eastAsia="微软雅黑" w:hint="eastAsia"/>
                <w:b/>
                <w:sz w:val="21"/>
              </w:rPr>
            </w:pPr>
            <w:r>
              <w:rPr>
                <w:rFonts w:ascii="微软雅黑" w:eastAsia="微软雅黑" w:hint="eastAsia"/>
                <w:b/>
                <w:sz w:val="21"/>
              </w:rPr>
              <w:t>43. 非阿尔茨海默病所致严重痴</w:t>
            </w:r>
          </w:p>
        </w:tc>
        <w:tc>
          <w:tcPr>
            <w:tcW w:w="7516" w:type="dxa"/>
          </w:tcPr>
          <w:p>
            <w:pPr>
              <w:pStyle w:val="TableParagraph"/>
              <w:spacing w:line="310" w:lineRule="atLeast" w:before="55"/>
              <w:ind w:right="236"/>
              <w:rPr>
                <w:sz w:val="21"/>
              </w:rPr>
            </w:pPr>
            <w:r>
              <w:rPr>
                <w:sz w:val="21"/>
              </w:rPr>
              <w:t>指因阿尔茨海默病以外的脑袋器质性疾病造成脑功能衰竭导致永久不可逆性的严重痴呆，临床表现为明显的认知能力障碍、行为异常和社交能力减退。被</w:t>
            </w:r>
          </w:p>
        </w:tc>
      </w:tr>
    </w:tbl>
    <w:p>
      <w:pPr>
        <w:spacing w:after="0" w:line="310" w:lineRule="atLeas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4"/>
      </w:tblGrid>
      <w:tr>
        <w:trPr>
          <w:trHeight w:val="1279" w:hRule="atLeast"/>
        </w:trPr>
        <w:tc>
          <w:tcPr>
            <w:tcW w:w="2014" w:type="dxa"/>
          </w:tcPr>
          <w:p>
            <w:pPr>
              <w:pStyle w:val="TableParagraph"/>
              <w:spacing w:line="230" w:lineRule="exact"/>
              <w:ind w:left="619"/>
              <w:rPr>
                <w:rFonts w:ascii="微软雅黑" w:eastAsia="微软雅黑" w:hint="eastAsia"/>
                <w:b/>
                <w:sz w:val="21"/>
              </w:rPr>
            </w:pPr>
            <w:r>
              <w:rPr>
                <w:rFonts w:ascii="微软雅黑" w:eastAsia="微软雅黑" w:hint="eastAsia"/>
                <w:b/>
                <w:w w:val="100"/>
                <w:sz w:val="21"/>
              </w:rPr>
              <w:t>呆</w:t>
            </w:r>
          </w:p>
        </w:tc>
        <w:tc>
          <w:tcPr>
            <w:tcW w:w="7514" w:type="dxa"/>
          </w:tcPr>
          <w:p>
            <w:pPr>
              <w:pStyle w:val="TableParagraph"/>
              <w:spacing w:line="205" w:lineRule="exact"/>
              <w:rPr>
                <w:sz w:val="21"/>
              </w:rPr>
            </w:pPr>
            <w:r>
              <w:rPr>
                <w:sz w:val="21"/>
              </w:rPr>
              <w:t>保险人自主生活能力完全丧失，无法独立完成六项基本日常生活活动中的三项</w:t>
            </w:r>
          </w:p>
          <w:p>
            <w:pPr>
              <w:pStyle w:val="TableParagraph"/>
              <w:spacing w:line="273" w:lineRule="auto" w:before="37"/>
              <w:ind w:right="197"/>
              <w:rPr>
                <w:sz w:val="21"/>
              </w:rPr>
            </w:pPr>
            <w:r>
              <w:rPr>
                <w:spacing w:val="-16"/>
                <w:sz w:val="21"/>
              </w:rPr>
              <w:t>或三项以上，日常生活必须持续受到他人监护。导致痴呆的疾病必须明确诊断， </w:t>
            </w:r>
            <w:r>
              <w:rPr>
                <w:spacing w:val="-10"/>
                <w:sz w:val="21"/>
              </w:rPr>
              <w:t>并且由完整的临床、实验室和影像学检查结果证实。神经官能症和精神疾病不</w:t>
            </w:r>
            <w:r>
              <w:rPr>
                <w:spacing w:val="-5"/>
                <w:sz w:val="21"/>
              </w:rPr>
              <w:t>在保障范围内。</w:t>
            </w:r>
          </w:p>
        </w:tc>
      </w:tr>
      <w:tr>
        <w:trPr>
          <w:trHeight w:val="1404" w:hRule="atLeast"/>
        </w:trPr>
        <w:tc>
          <w:tcPr>
            <w:tcW w:w="2014"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44. 严重冠心病</w:t>
            </w:r>
          </w:p>
        </w:tc>
        <w:tc>
          <w:tcPr>
            <w:tcW w:w="7514" w:type="dxa"/>
          </w:tcPr>
          <w:p>
            <w:pPr>
              <w:pStyle w:val="TableParagraph"/>
              <w:spacing w:line="273" w:lineRule="auto" w:before="62"/>
              <w:ind w:right="300"/>
              <w:jc w:val="both"/>
              <w:rPr>
                <w:sz w:val="21"/>
              </w:rPr>
            </w:pPr>
            <w:r>
              <w:rPr>
                <w:spacing w:val="-6"/>
                <w:sz w:val="21"/>
              </w:rPr>
              <w:t>指根据冠状动脉造影检查结果确诊的三支主要血管</w:t>
            </w:r>
            <w:r>
              <w:rPr>
                <w:sz w:val="21"/>
              </w:rPr>
              <w:t>（</w:t>
            </w:r>
            <w:r>
              <w:rPr>
                <w:spacing w:val="-3"/>
                <w:sz w:val="21"/>
              </w:rPr>
              <w:t>左冠状动脉主干和右冠状</w:t>
            </w:r>
            <w:r>
              <w:rPr>
                <w:spacing w:val="-7"/>
                <w:sz w:val="21"/>
              </w:rPr>
              <w:t>动脉，或前降支、左旋支和右冠状动脉</w:t>
            </w:r>
            <w:r>
              <w:rPr>
                <w:spacing w:val="-15"/>
                <w:sz w:val="21"/>
              </w:rPr>
              <w:t>）</w:t>
            </w:r>
            <w:r>
              <w:rPr>
                <w:spacing w:val="-5"/>
                <w:sz w:val="21"/>
              </w:rPr>
              <w:t>严重狭窄性病变</w:t>
            </w:r>
            <w:r>
              <w:rPr>
                <w:spacing w:val="-3"/>
                <w:sz w:val="21"/>
              </w:rPr>
              <w:t>（至少一支血管管腔</w:t>
            </w:r>
            <w:r>
              <w:rPr>
                <w:spacing w:val="-11"/>
                <w:sz w:val="21"/>
              </w:rPr>
              <w:t>直径减少 </w:t>
            </w:r>
            <w:r>
              <w:rPr>
                <w:sz w:val="21"/>
              </w:rPr>
              <w:t>75</w:t>
            </w:r>
            <w:r>
              <w:rPr>
                <w:spacing w:val="-6"/>
                <w:sz w:val="21"/>
              </w:rPr>
              <w:t>％以上和其他两支血管管腔直径减少 </w:t>
            </w:r>
            <w:r>
              <w:rPr>
                <w:sz w:val="21"/>
              </w:rPr>
              <w:t>60</w:t>
            </w:r>
            <w:r>
              <w:rPr>
                <w:spacing w:val="-1"/>
                <w:sz w:val="21"/>
              </w:rPr>
              <w:t>％以上</w:t>
            </w:r>
            <w:r>
              <w:rPr>
                <w:spacing w:val="-106"/>
                <w:sz w:val="21"/>
              </w:rPr>
              <w:t>）</w:t>
            </w:r>
            <w:r>
              <w:rPr>
                <w:spacing w:val="-11"/>
                <w:sz w:val="21"/>
              </w:rPr>
              <w:t>。前降支、左旋支</w:t>
            </w:r>
            <w:r>
              <w:rPr>
                <w:spacing w:val="-6"/>
                <w:sz w:val="21"/>
              </w:rPr>
              <w:t>及右冠状动脉的分支血管的狭窄不作为本保障的衡量指标。</w:t>
            </w:r>
          </w:p>
        </w:tc>
      </w:tr>
      <w:tr>
        <w:trPr>
          <w:trHeight w:val="1712" w:hRule="atLeast"/>
        </w:trPr>
        <w:tc>
          <w:tcPr>
            <w:tcW w:w="2014" w:type="dxa"/>
          </w:tcPr>
          <w:p>
            <w:pPr>
              <w:pStyle w:val="TableParagraph"/>
              <w:spacing w:line="355" w:lineRule="exact"/>
              <w:ind w:left="200"/>
              <w:rPr>
                <w:rFonts w:ascii="微软雅黑" w:eastAsia="微软雅黑" w:hint="eastAsia"/>
                <w:b/>
                <w:sz w:val="21"/>
              </w:rPr>
            </w:pPr>
            <w:r>
              <w:rPr>
                <w:rFonts w:ascii="微软雅黑" w:eastAsia="微软雅黑" w:hint="eastAsia"/>
                <w:b/>
                <w:sz w:val="21"/>
              </w:rPr>
              <w:t>45. 脊髓灰质炎</w:t>
            </w:r>
          </w:p>
        </w:tc>
        <w:tc>
          <w:tcPr>
            <w:tcW w:w="7514" w:type="dxa"/>
          </w:tcPr>
          <w:p>
            <w:pPr>
              <w:pStyle w:val="TableParagraph"/>
              <w:spacing w:line="273" w:lineRule="auto" w:before="54"/>
              <w:ind w:right="300"/>
              <w:rPr>
                <w:sz w:val="21"/>
              </w:rPr>
            </w:pPr>
            <w:r>
              <w:rPr>
                <w:spacing w:val="-6"/>
                <w:sz w:val="21"/>
              </w:rPr>
              <w:t>脊髓灰质炎是由于脊髓灰质炎病毒感染所致的瘫痪性疾病，临床表现为运动功</w:t>
            </w:r>
            <w:r>
              <w:rPr>
                <w:spacing w:val="-9"/>
                <w:sz w:val="21"/>
              </w:rPr>
              <w:t>能损害或呼吸无力。脊髓灰质炎必须明确诊断。本保单仅对脊髓灰质炎造成的</w:t>
            </w:r>
            <w:r>
              <w:rPr>
                <w:spacing w:val="-5"/>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10"/>
                <w:sz w:val="21"/>
              </w:rPr>
              <w:t> 天后，每肢三大关节中</w:t>
            </w:r>
            <w:r>
              <w:rPr>
                <w:spacing w:val="-5"/>
                <w:sz w:val="21"/>
              </w:rPr>
              <w:t>的两大关节仍然完全僵硬，或不能随意识活动。</w:t>
            </w:r>
          </w:p>
        </w:tc>
      </w:tr>
      <w:tr>
        <w:trPr>
          <w:trHeight w:val="2061" w:hRule="atLeast"/>
        </w:trPr>
        <w:tc>
          <w:tcPr>
            <w:tcW w:w="2014" w:type="dxa"/>
          </w:tcPr>
          <w:p>
            <w:pPr>
              <w:pStyle w:val="TableParagraph"/>
              <w:spacing w:line="359" w:lineRule="exact"/>
              <w:ind w:left="200"/>
              <w:rPr>
                <w:rFonts w:ascii="微软雅黑" w:eastAsia="微软雅黑" w:hint="eastAsia"/>
                <w:b/>
                <w:sz w:val="21"/>
              </w:rPr>
            </w:pPr>
            <w:r>
              <w:rPr>
                <w:rFonts w:ascii="微软雅黑" w:eastAsia="微软雅黑" w:hint="eastAsia"/>
                <w:b/>
                <w:sz w:val="21"/>
              </w:rPr>
              <w:t>46. 严重哮喘</w:t>
            </w:r>
          </w:p>
        </w:tc>
        <w:tc>
          <w:tcPr>
            <w:tcW w:w="7514" w:type="dxa"/>
          </w:tcPr>
          <w:p>
            <w:pPr>
              <w:pStyle w:val="TableParagraph"/>
              <w:spacing w:line="273" w:lineRule="auto" w:before="58"/>
              <w:ind w:right="238"/>
              <w:rPr>
                <w:sz w:val="21"/>
              </w:rPr>
            </w:pPr>
            <w:r>
              <w:rPr>
                <w:sz w:val="21"/>
              </w:rPr>
              <w:t>被保险人必须在过去两年内曾发生哮喘持续状态，并符合以下其中两项标准， 本公司才承担保险责任：</w:t>
            </w:r>
          </w:p>
          <w:p>
            <w:pPr>
              <w:pStyle w:val="TableParagraph"/>
              <w:numPr>
                <w:ilvl w:val="0"/>
                <w:numId w:val="14"/>
              </w:numPr>
              <w:tabs>
                <w:tab w:pos="551" w:val="left" w:leader="none"/>
              </w:tabs>
              <w:spacing w:line="240" w:lineRule="auto" w:before="7" w:after="0"/>
              <w:ind w:left="550" w:right="0" w:hanging="423"/>
              <w:jc w:val="left"/>
              <w:rPr>
                <w:sz w:val="21"/>
              </w:rPr>
            </w:pPr>
            <w:r>
              <w:rPr>
                <w:spacing w:val="-3"/>
                <w:sz w:val="21"/>
              </w:rPr>
              <w:t>运动耐受力永久并持续地减少并却轻微的运动能引起气促；</w:t>
            </w:r>
          </w:p>
          <w:p>
            <w:pPr>
              <w:pStyle w:val="TableParagraph"/>
              <w:numPr>
                <w:ilvl w:val="0"/>
                <w:numId w:val="14"/>
              </w:numPr>
              <w:tabs>
                <w:tab w:pos="551" w:val="left" w:leader="none"/>
              </w:tabs>
              <w:spacing w:line="240" w:lineRule="auto" w:before="36" w:after="0"/>
              <w:ind w:left="550" w:right="0" w:hanging="423"/>
              <w:jc w:val="left"/>
              <w:rPr>
                <w:sz w:val="21"/>
              </w:rPr>
            </w:pPr>
            <w:r>
              <w:rPr>
                <w:spacing w:val="-3"/>
                <w:sz w:val="21"/>
              </w:rPr>
              <w:t>长期胸腔过渡膨胀而导致胸腔畸形；</w:t>
            </w:r>
          </w:p>
          <w:p>
            <w:pPr>
              <w:pStyle w:val="TableParagraph"/>
              <w:numPr>
                <w:ilvl w:val="0"/>
                <w:numId w:val="14"/>
              </w:numPr>
              <w:tabs>
                <w:tab w:pos="551" w:val="left" w:leader="none"/>
              </w:tabs>
              <w:spacing w:line="240" w:lineRule="auto" w:before="36" w:after="0"/>
              <w:ind w:left="550" w:right="0" w:hanging="423"/>
              <w:jc w:val="left"/>
              <w:rPr>
                <w:sz w:val="21"/>
              </w:rPr>
            </w:pPr>
            <w:r>
              <w:rPr>
                <w:spacing w:val="-3"/>
                <w:sz w:val="21"/>
              </w:rPr>
              <w:t>在家及在静息状态下需要吸氧；</w:t>
            </w:r>
          </w:p>
          <w:p>
            <w:pPr>
              <w:pStyle w:val="TableParagraph"/>
              <w:numPr>
                <w:ilvl w:val="0"/>
                <w:numId w:val="14"/>
              </w:numPr>
              <w:tabs>
                <w:tab w:pos="551" w:val="left" w:leader="none"/>
              </w:tabs>
              <w:spacing w:line="240" w:lineRule="auto" w:before="36" w:after="0"/>
              <w:ind w:left="550" w:right="0" w:hanging="423"/>
              <w:jc w:val="left"/>
              <w:rPr>
                <w:sz w:val="21"/>
              </w:rPr>
            </w:pPr>
            <w:r>
              <w:rPr>
                <w:spacing w:val="-3"/>
                <w:sz w:val="21"/>
              </w:rPr>
              <w:t>持续的每天服用类固醇药物(至少持续六个月以上)。</w:t>
            </w:r>
          </w:p>
        </w:tc>
      </w:tr>
      <w:tr>
        <w:trPr>
          <w:trHeight w:val="3682" w:hRule="atLeast"/>
        </w:trPr>
        <w:tc>
          <w:tcPr>
            <w:tcW w:w="2014" w:type="dxa"/>
          </w:tcPr>
          <w:p>
            <w:pPr>
              <w:pStyle w:val="TableParagraph"/>
              <w:spacing w:line="206" w:lineRule="auto" w:before="80"/>
              <w:ind w:left="619" w:right="124" w:hanging="420"/>
              <w:rPr>
                <w:rFonts w:ascii="微软雅黑" w:eastAsia="微软雅黑" w:hint="eastAsia"/>
                <w:b/>
                <w:sz w:val="21"/>
              </w:rPr>
            </w:pPr>
            <w:r>
              <w:rPr>
                <w:rFonts w:ascii="微软雅黑" w:eastAsia="微软雅黑" w:hint="eastAsia"/>
                <w:b/>
                <w:sz w:val="21"/>
              </w:rPr>
              <w:t>47. 慢性肾上腺皮质功能衰竭</w:t>
            </w:r>
          </w:p>
        </w:tc>
        <w:tc>
          <w:tcPr>
            <w:tcW w:w="7514" w:type="dxa"/>
          </w:tcPr>
          <w:p>
            <w:pPr>
              <w:pStyle w:val="TableParagraph"/>
              <w:spacing w:line="273" w:lineRule="auto" w:before="92"/>
              <w:ind w:right="234"/>
              <w:rPr>
                <w:sz w:val="21"/>
              </w:rPr>
            </w:pPr>
            <w:r>
              <w:rPr>
                <w:sz w:val="21"/>
              </w:rPr>
              <w:t>指自身免疫性肾上腺炎（既往称：特发性肾上腺皮质萎缩）导致肾上腺萎缩和慢性肾上腺皮质功能减退。须满足下列全部条件：</w:t>
            </w:r>
          </w:p>
          <w:p>
            <w:pPr>
              <w:pStyle w:val="TableParagraph"/>
              <w:spacing w:before="7"/>
              <w:rPr>
                <w:sz w:val="21"/>
              </w:rPr>
            </w:pPr>
            <w:r>
              <w:rPr>
                <w:sz w:val="21"/>
              </w:rPr>
              <w:t>(1)明确诊断，符合所有以下诊断标准；</w:t>
            </w:r>
          </w:p>
          <w:p>
            <w:pPr>
              <w:pStyle w:val="TableParagraph"/>
              <w:spacing w:before="36"/>
              <w:rPr>
                <w:sz w:val="21"/>
              </w:rPr>
            </w:pPr>
            <w:r>
              <w:rPr>
                <w:sz w:val="21"/>
              </w:rPr>
              <w:t>①血浆促肾上腺皮质激素(ACTH)水平测定大于 100pg/ml；</w:t>
            </w:r>
          </w:p>
          <w:p>
            <w:pPr>
              <w:pStyle w:val="TableParagraph"/>
              <w:spacing w:line="273" w:lineRule="auto" w:before="36"/>
              <w:ind w:right="298"/>
              <w:jc w:val="both"/>
              <w:rPr>
                <w:sz w:val="21"/>
              </w:rPr>
            </w:pPr>
            <w:r>
              <w:rPr>
                <w:spacing w:val="0"/>
                <w:sz w:val="21"/>
              </w:rPr>
              <w:t>②血浆和尿游离皮质醇及尿 </w:t>
            </w:r>
            <w:r>
              <w:rPr>
                <w:sz w:val="21"/>
              </w:rPr>
              <w:t>17 羟皮质类固醇、17 酮皮质类固醇测定、血浆</w:t>
            </w:r>
            <w:r>
              <w:rPr>
                <w:spacing w:val="-5"/>
                <w:sz w:val="21"/>
              </w:rPr>
              <w:t>肾素活性、血管紧张素 </w:t>
            </w:r>
            <w:r>
              <w:rPr>
                <w:sz w:val="21"/>
              </w:rPr>
              <w:t>II</w:t>
            </w:r>
            <w:r>
              <w:rPr>
                <w:spacing w:val="-5"/>
                <w:sz w:val="21"/>
              </w:rPr>
              <w:t> 和醛固酮测定，显示为原发性肾上腺皮质功能减退症；</w:t>
            </w:r>
          </w:p>
          <w:p>
            <w:pPr>
              <w:pStyle w:val="TableParagraph"/>
              <w:spacing w:before="7"/>
              <w:rPr>
                <w:sz w:val="21"/>
              </w:rPr>
            </w:pPr>
            <w:r>
              <w:rPr>
                <w:sz w:val="21"/>
              </w:rPr>
              <w:t>③促肾上腺皮质激素(ACTH)刺激试验显示为原发性肾上腺皮质功能减退症。</w:t>
            </w:r>
          </w:p>
          <w:p>
            <w:pPr>
              <w:pStyle w:val="TableParagraph"/>
              <w:spacing w:line="262" w:lineRule="exact" w:before="37"/>
              <w:rPr>
                <w:sz w:val="21"/>
              </w:rPr>
            </w:pPr>
            <w:r>
              <w:rPr>
                <w:sz w:val="21"/>
              </w:rPr>
              <w:t>(2)已经采用皮质类固醇替代治疗 180 天以上。</w:t>
            </w:r>
          </w:p>
          <w:p>
            <w:pPr>
              <w:pStyle w:val="TableParagraph"/>
              <w:spacing w:line="206" w:lineRule="auto" w:before="38"/>
              <w:ind w:right="306"/>
              <w:rPr>
                <w:rFonts w:ascii="微软雅黑" w:eastAsia="微软雅黑" w:hint="eastAsia"/>
                <w:b/>
                <w:sz w:val="21"/>
              </w:rPr>
            </w:pPr>
            <w:r>
              <w:rPr>
                <w:rFonts w:ascii="微软雅黑" w:eastAsia="微软雅黑" w:hint="eastAsia"/>
                <w:b/>
                <w:spacing w:val="-6"/>
                <w:sz w:val="21"/>
              </w:rPr>
              <w:t>肾上腺结核、</w:t>
            </w:r>
            <w:r>
              <w:rPr>
                <w:rFonts w:ascii="微软雅黑" w:eastAsia="微软雅黑" w:hint="eastAsia"/>
                <w:b/>
                <w:sz w:val="21"/>
              </w:rPr>
              <w:t>HIV</w:t>
            </w:r>
            <w:r>
              <w:rPr>
                <w:rFonts w:ascii="微软雅黑" w:eastAsia="微软雅黑" w:hint="eastAsia"/>
                <w:b/>
                <w:spacing w:val="-7"/>
                <w:sz w:val="21"/>
              </w:rPr>
              <w:t> 感染或艾滋病、感染、肿瘤所致的原发性肾上腺皮质功能减退和继发性肾上腺皮质功能减退不在保障范围内。</w:t>
            </w:r>
          </w:p>
        </w:tc>
      </w:tr>
      <w:tr>
        <w:trPr>
          <w:trHeight w:val="1176" w:hRule="atLeast"/>
        </w:trPr>
        <w:tc>
          <w:tcPr>
            <w:tcW w:w="2014" w:type="dxa"/>
          </w:tcPr>
          <w:p>
            <w:pPr>
              <w:pStyle w:val="TableParagraph"/>
              <w:spacing w:line="206" w:lineRule="auto" w:before="107"/>
              <w:ind w:left="619" w:right="124" w:hanging="420"/>
              <w:rPr>
                <w:rFonts w:ascii="微软雅黑" w:eastAsia="微软雅黑" w:hint="eastAsia"/>
                <w:b/>
                <w:sz w:val="21"/>
              </w:rPr>
            </w:pPr>
            <w:r>
              <w:rPr>
                <w:rFonts w:ascii="微软雅黑" w:eastAsia="微软雅黑" w:hint="eastAsia"/>
                <w:b/>
                <w:sz w:val="21"/>
              </w:rPr>
              <w:t>48. 埃博拉病毒感染</w:t>
            </w:r>
          </w:p>
        </w:tc>
        <w:tc>
          <w:tcPr>
            <w:tcW w:w="7514" w:type="dxa"/>
          </w:tcPr>
          <w:p>
            <w:pPr>
              <w:pStyle w:val="TableParagraph"/>
              <w:spacing w:line="273" w:lineRule="auto" w:before="118"/>
              <w:ind w:right="300"/>
              <w:jc w:val="both"/>
              <w:rPr>
                <w:sz w:val="21"/>
              </w:rPr>
            </w:pPr>
            <w:r>
              <w:rPr>
                <w:spacing w:val="-7"/>
                <w:sz w:val="21"/>
              </w:rPr>
              <w:t>受埃博拉病毒感染导致出血性发热。埃博拉病必须经国家机关认可的有合法资</w:t>
            </w:r>
            <w:r>
              <w:rPr>
                <w:spacing w:val="-9"/>
                <w:sz w:val="21"/>
              </w:rPr>
              <w:t>质的传染病专家确诊，并且埃博拉病毒的存在必须经过实验室检查证实。该病</w:t>
            </w:r>
            <w:r>
              <w:rPr>
                <w:spacing w:val="-3"/>
                <w:sz w:val="21"/>
              </w:rPr>
              <w:t>必须从症状开始后三十(</w:t>
            </w:r>
            <w:r>
              <w:rPr>
                <w:spacing w:val="-1"/>
                <w:sz w:val="21"/>
              </w:rPr>
              <w:t>30</w:t>
            </w:r>
            <w:r>
              <w:rPr>
                <w:spacing w:val="-3"/>
                <w:sz w:val="21"/>
              </w:rPr>
              <w:t>)天后持续出现并发症。</w:t>
            </w:r>
          </w:p>
        </w:tc>
      </w:tr>
      <w:tr>
        <w:trPr>
          <w:trHeight w:val="2402" w:hRule="atLeast"/>
        </w:trPr>
        <w:tc>
          <w:tcPr>
            <w:tcW w:w="2014" w:type="dxa"/>
          </w:tcPr>
          <w:p>
            <w:pPr>
              <w:pStyle w:val="TableParagraph"/>
              <w:spacing w:line="206" w:lineRule="auto" w:before="70"/>
              <w:ind w:left="619" w:right="124" w:hanging="420"/>
              <w:rPr>
                <w:rFonts w:ascii="微软雅黑" w:eastAsia="微软雅黑" w:hint="eastAsia"/>
                <w:b/>
                <w:sz w:val="21"/>
              </w:rPr>
            </w:pPr>
            <w:r>
              <w:rPr>
                <w:rFonts w:ascii="微软雅黑" w:eastAsia="微软雅黑" w:hint="eastAsia"/>
                <w:b/>
                <w:sz w:val="21"/>
              </w:rPr>
              <w:t>49. 原发性硬化性胆管炎</w:t>
            </w:r>
          </w:p>
        </w:tc>
        <w:tc>
          <w:tcPr>
            <w:tcW w:w="7514" w:type="dxa"/>
          </w:tcPr>
          <w:p>
            <w:pPr>
              <w:pStyle w:val="TableParagraph"/>
              <w:spacing w:line="273" w:lineRule="auto" w:before="82"/>
              <w:ind w:right="238"/>
              <w:jc w:val="both"/>
              <w:rPr>
                <w:sz w:val="21"/>
              </w:rPr>
            </w:pPr>
            <w:r>
              <w:rPr>
                <w:spacing w:val="-3"/>
                <w:sz w:val="21"/>
              </w:rPr>
              <w:t>指一种胆汁淤积综合征，其特征是肝内、肝外胆道因纤维化性炎症逐渐狭窄， </w:t>
            </w:r>
            <w:r>
              <w:rPr>
                <w:spacing w:val="-7"/>
                <w:sz w:val="21"/>
              </w:rPr>
              <w:t>并最终导致完全阻塞而发展为肝硬化。本病须经内镜逆行胰胆管造影等影像学</w:t>
            </w:r>
            <w:r>
              <w:rPr>
                <w:spacing w:val="-5"/>
                <w:sz w:val="21"/>
              </w:rPr>
              <w:t>检查证实，并须满足下列全部条件：</w:t>
            </w:r>
          </w:p>
          <w:p>
            <w:pPr>
              <w:pStyle w:val="TableParagraph"/>
              <w:numPr>
                <w:ilvl w:val="0"/>
                <w:numId w:val="15"/>
              </w:numPr>
              <w:tabs>
                <w:tab w:pos="760" w:val="left" w:leader="none"/>
              </w:tabs>
              <w:spacing w:line="240" w:lineRule="auto" w:before="7" w:after="0"/>
              <w:ind w:left="759" w:right="0" w:hanging="632"/>
              <w:jc w:val="both"/>
              <w:rPr>
                <w:sz w:val="21"/>
              </w:rPr>
            </w:pPr>
            <w:r>
              <w:rPr>
                <w:spacing w:val="-5"/>
                <w:sz w:val="21"/>
              </w:rPr>
              <w:t>总胆红素和直接胆红素同时升高，血清 </w:t>
            </w:r>
            <w:r>
              <w:rPr>
                <w:sz w:val="21"/>
              </w:rPr>
              <w:t>ALP&gt;200U/L；</w:t>
            </w:r>
          </w:p>
          <w:p>
            <w:pPr>
              <w:pStyle w:val="TableParagraph"/>
              <w:numPr>
                <w:ilvl w:val="0"/>
                <w:numId w:val="15"/>
              </w:numPr>
              <w:tabs>
                <w:tab w:pos="760" w:val="left" w:leader="none"/>
              </w:tabs>
              <w:spacing w:line="240" w:lineRule="auto" w:before="36" w:after="0"/>
              <w:ind w:left="759" w:right="0" w:hanging="632"/>
              <w:jc w:val="both"/>
              <w:rPr>
                <w:sz w:val="21"/>
              </w:rPr>
            </w:pPr>
            <w:r>
              <w:rPr>
                <w:spacing w:val="-3"/>
                <w:sz w:val="21"/>
              </w:rPr>
              <w:t>持续性黄疸病史；</w:t>
            </w:r>
          </w:p>
          <w:p>
            <w:pPr>
              <w:pStyle w:val="TableParagraph"/>
              <w:numPr>
                <w:ilvl w:val="0"/>
                <w:numId w:val="15"/>
              </w:numPr>
              <w:tabs>
                <w:tab w:pos="760" w:val="left" w:leader="none"/>
              </w:tabs>
              <w:spacing w:line="240" w:lineRule="auto" w:before="37" w:after="0"/>
              <w:ind w:left="759" w:right="0" w:hanging="632"/>
              <w:jc w:val="both"/>
              <w:rPr>
                <w:sz w:val="21"/>
              </w:rPr>
            </w:pPr>
            <w:r>
              <w:rPr>
                <w:spacing w:val="-3"/>
                <w:sz w:val="21"/>
              </w:rPr>
              <w:t>出现胆汁性肝硬化或门脉高压。</w:t>
            </w:r>
          </w:p>
          <w:p>
            <w:pPr>
              <w:pStyle w:val="TableParagraph"/>
              <w:spacing w:before="37"/>
              <w:jc w:val="both"/>
              <w:rPr>
                <w:sz w:val="21"/>
              </w:rPr>
            </w:pPr>
            <w:r>
              <w:rPr>
                <w:sz w:val="21"/>
              </w:rPr>
              <w:t>因肿瘤或胆管损伤等继发性的硬化性胆管炎不在保障范围内。</w:t>
            </w:r>
          </w:p>
        </w:tc>
      </w:tr>
      <w:tr>
        <w:trPr>
          <w:trHeight w:val="690" w:hRule="atLeast"/>
        </w:trPr>
        <w:tc>
          <w:tcPr>
            <w:tcW w:w="2014" w:type="dxa"/>
          </w:tcPr>
          <w:p>
            <w:pPr>
              <w:pStyle w:val="TableParagraph"/>
              <w:spacing w:before="34"/>
              <w:ind w:left="200"/>
              <w:rPr>
                <w:rFonts w:ascii="微软雅黑" w:eastAsia="微软雅黑" w:hint="eastAsia"/>
                <w:b/>
                <w:sz w:val="21"/>
              </w:rPr>
            </w:pPr>
            <w:r>
              <w:rPr>
                <w:rFonts w:ascii="微软雅黑" w:eastAsia="微软雅黑" w:hint="eastAsia"/>
                <w:b/>
                <w:sz w:val="21"/>
              </w:rPr>
              <w:t>50. 疯牛病</w:t>
            </w:r>
          </w:p>
        </w:tc>
        <w:tc>
          <w:tcPr>
            <w:tcW w:w="7514" w:type="dxa"/>
          </w:tcPr>
          <w:p>
            <w:pPr>
              <w:pStyle w:val="TableParagraph"/>
              <w:spacing w:before="96"/>
              <w:rPr>
                <w:sz w:val="21"/>
              </w:rPr>
            </w:pPr>
            <w:r>
              <w:rPr>
                <w:sz w:val="21"/>
              </w:rPr>
              <w:t>神经系统疾病及致命的成胶质状脑病，并有以下症状：</w:t>
            </w:r>
          </w:p>
          <w:p>
            <w:pPr>
              <w:pStyle w:val="TableParagraph"/>
              <w:spacing w:line="261" w:lineRule="exact" w:before="36"/>
              <w:rPr>
                <w:sz w:val="21"/>
              </w:rPr>
            </w:pPr>
            <w:r>
              <w:rPr>
                <w:sz w:val="21"/>
              </w:rPr>
              <w:t>(1) 不能控制的肌肉痉挛及震颤；</w:t>
            </w:r>
          </w:p>
        </w:tc>
      </w:tr>
    </w:tbl>
    <w:p>
      <w:pPr>
        <w:spacing w:after="0" w:line="261" w:lineRule="exac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545"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5" w:type="dxa"/>
          </w:tcPr>
          <w:p>
            <w:pPr>
              <w:pStyle w:val="TableParagraph"/>
              <w:numPr>
                <w:ilvl w:val="0"/>
                <w:numId w:val="16"/>
              </w:numPr>
              <w:tabs>
                <w:tab w:pos="550" w:val="left" w:leader="none"/>
              </w:tabs>
              <w:spacing w:line="205" w:lineRule="exact" w:before="0" w:after="0"/>
              <w:ind w:left="549" w:right="0" w:hanging="423"/>
              <w:jc w:val="left"/>
              <w:rPr>
                <w:sz w:val="21"/>
              </w:rPr>
            </w:pPr>
            <w:r>
              <w:rPr>
                <w:spacing w:val="-3"/>
                <w:sz w:val="21"/>
              </w:rPr>
              <w:t>逐渐痴呆；</w:t>
            </w:r>
          </w:p>
          <w:p>
            <w:pPr>
              <w:pStyle w:val="TableParagraph"/>
              <w:numPr>
                <w:ilvl w:val="0"/>
                <w:numId w:val="16"/>
              </w:numPr>
              <w:tabs>
                <w:tab w:pos="550" w:val="left" w:leader="none"/>
              </w:tabs>
              <w:spacing w:line="240" w:lineRule="auto" w:before="37" w:after="0"/>
              <w:ind w:left="549" w:right="0" w:hanging="423"/>
              <w:jc w:val="left"/>
              <w:rPr>
                <w:sz w:val="21"/>
              </w:rPr>
            </w:pPr>
            <w:r>
              <w:rPr>
                <w:spacing w:val="-3"/>
                <w:sz w:val="21"/>
              </w:rPr>
              <w:t>小脑功能不良，共济失调；</w:t>
            </w:r>
          </w:p>
        </w:tc>
      </w:tr>
      <w:tr>
        <w:trPr>
          <w:trHeight w:val="1017"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5" w:type="dxa"/>
          </w:tcPr>
          <w:p>
            <w:pPr>
              <w:pStyle w:val="TableParagraph"/>
              <w:spacing w:line="226" w:lineRule="exact"/>
              <w:ind w:left="126"/>
              <w:rPr>
                <w:sz w:val="21"/>
              </w:rPr>
            </w:pPr>
            <w:r>
              <w:rPr>
                <w:sz w:val="21"/>
              </w:rPr>
              <w:t>(4) 手足徐动症；</w:t>
            </w:r>
          </w:p>
          <w:p>
            <w:pPr>
              <w:pStyle w:val="TableParagraph"/>
              <w:spacing w:line="273" w:lineRule="auto" w:before="37"/>
              <w:ind w:left="126" w:right="449"/>
              <w:rPr>
                <w:sz w:val="21"/>
              </w:rPr>
            </w:pPr>
            <w:r>
              <w:rPr>
                <w:sz w:val="21"/>
              </w:rPr>
              <w:t>诊断必须经国家机关认可的有合法资质的神经科专科医生基于以下检查报告作出：脑电图、脑脊液报告、电脑断层扫描(CT)及核磁共振(MRI)。</w:t>
            </w:r>
          </w:p>
        </w:tc>
      </w:tr>
      <w:tr>
        <w:trPr>
          <w:trHeight w:val="501" w:hRule="atLeast"/>
        </w:trPr>
        <w:tc>
          <w:tcPr>
            <w:tcW w:w="10270" w:type="dxa"/>
            <w:gridSpan w:val="3"/>
          </w:tcPr>
          <w:p>
            <w:pPr>
              <w:pStyle w:val="TableParagraph"/>
              <w:spacing w:before="90"/>
              <w:ind w:left="939"/>
              <w:rPr>
                <w:sz w:val="21"/>
              </w:rPr>
            </w:pPr>
            <w:r>
              <w:rPr>
                <w:sz w:val="21"/>
              </w:rPr>
              <w:t>以下为对上述重大疾病中部分专有名词的解释：</w:t>
            </w:r>
          </w:p>
        </w:tc>
      </w:tr>
      <w:tr>
        <w:trPr>
          <w:trHeight w:val="1699" w:hRule="atLeast"/>
        </w:trPr>
        <w:tc>
          <w:tcPr>
            <w:tcW w:w="781" w:type="dxa"/>
          </w:tcPr>
          <w:p>
            <w:pPr>
              <w:pStyle w:val="TableParagraph"/>
              <w:ind w:left="0"/>
              <w:rPr>
                <w:rFonts w:ascii="Times New Roman"/>
                <w:sz w:val="20"/>
              </w:rPr>
            </w:pP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专科医生</w:t>
            </w:r>
          </w:p>
        </w:tc>
        <w:tc>
          <w:tcPr>
            <w:tcW w:w="7515" w:type="dxa"/>
          </w:tcPr>
          <w:p>
            <w:pPr>
              <w:pStyle w:val="TableParagraph"/>
              <w:spacing w:line="273" w:lineRule="auto" w:before="59"/>
              <w:ind w:left="126" w:right="302"/>
              <w:jc w:val="both"/>
              <w:rPr>
                <w:sz w:val="21"/>
              </w:rPr>
            </w:pPr>
            <w:r>
              <w:rPr>
                <w:spacing w:val="-3"/>
                <w:w w:val="100"/>
                <w:sz w:val="21"/>
              </w:rPr>
              <w:t>专科医生应当同时满足以下四项资格条件</w:t>
            </w:r>
            <w:r>
              <w:rPr>
                <w:spacing w:val="-197"/>
                <w:w w:val="100"/>
                <w:sz w:val="21"/>
              </w:rPr>
              <w:t>：</w:t>
            </w:r>
            <w:r>
              <w:rPr>
                <w:w w:val="100"/>
                <w:sz w:val="21"/>
              </w:rPr>
              <w:t>（1</w:t>
            </w:r>
            <w:r>
              <w:rPr>
                <w:spacing w:val="-94"/>
                <w:w w:val="100"/>
                <w:sz w:val="21"/>
              </w:rPr>
              <w:t>）</w:t>
            </w:r>
            <w:r>
              <w:rPr>
                <w:spacing w:val="-11"/>
                <w:w w:val="100"/>
                <w:sz w:val="21"/>
              </w:rPr>
              <w:t>具有有效的中华人民共和国《医</w:t>
            </w:r>
            <w:r>
              <w:rPr>
                <w:spacing w:val="-39"/>
                <w:w w:val="100"/>
                <w:sz w:val="21"/>
              </w:rPr>
              <w:t>师资格证书》；</w:t>
            </w:r>
            <w:r>
              <w:rPr>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1388" w:hRule="atLeast"/>
        </w:trPr>
        <w:tc>
          <w:tcPr>
            <w:tcW w:w="781" w:type="dxa"/>
          </w:tcPr>
          <w:p>
            <w:pPr>
              <w:pStyle w:val="TableParagraph"/>
              <w:ind w:left="0"/>
              <w:rPr>
                <w:rFonts w:ascii="Times New Roman"/>
                <w:sz w:val="20"/>
              </w:rPr>
            </w:pPr>
          </w:p>
        </w:tc>
        <w:tc>
          <w:tcPr>
            <w:tcW w:w="1974" w:type="dxa"/>
          </w:tcPr>
          <w:p>
            <w:pPr>
              <w:pStyle w:val="TableParagraph"/>
              <w:spacing w:line="206" w:lineRule="auto" w:before="28"/>
              <w:ind w:left="158" w:right="123"/>
              <w:rPr>
                <w:rFonts w:ascii="微软雅黑" w:eastAsia="微软雅黑" w:hint="eastAsia"/>
                <w:b/>
                <w:sz w:val="21"/>
              </w:rPr>
            </w:pPr>
            <w:r>
              <w:rPr>
                <w:rFonts w:ascii="微软雅黑" w:eastAsia="微软雅黑" w:hint="eastAsia"/>
                <w:b/>
                <w:sz w:val="21"/>
              </w:rPr>
              <w:t>六项基本日常生活活动</w:t>
            </w:r>
          </w:p>
        </w:tc>
        <w:tc>
          <w:tcPr>
            <w:tcW w:w="7515" w:type="dxa"/>
          </w:tcPr>
          <w:p>
            <w:pPr>
              <w:pStyle w:val="TableParagraph"/>
              <w:spacing w:line="273" w:lineRule="auto" w:before="40"/>
              <w:ind w:left="126" w:right="240"/>
              <w:jc w:val="both"/>
              <w:rPr>
                <w:sz w:val="21"/>
              </w:rPr>
            </w:pPr>
            <w:r>
              <w:rPr>
                <w:spacing w:val="-9"/>
                <w:sz w:val="21"/>
              </w:rPr>
              <w:t>六项基本日常生活活动是指：①穿衣：自己能够穿衣及脱衣；②移动：自己从</w:t>
            </w:r>
            <w:r>
              <w:rPr>
                <w:spacing w:val="-10"/>
                <w:sz w:val="21"/>
              </w:rPr>
              <w:t>一个房间到另一个房间；③行动：自己上下床或上下轮椅；④如厕：自己控制</w:t>
            </w:r>
            <w:r>
              <w:rPr>
                <w:spacing w:val="-5"/>
                <w:sz w:val="21"/>
              </w:rPr>
              <w:t>进行大小便；⑤进食：自己从已准备好的碗或碟中取食物放入口中；⑥洗澡： </w:t>
            </w:r>
            <w:r>
              <w:rPr>
                <w:spacing w:val="-4"/>
                <w:sz w:val="21"/>
              </w:rPr>
              <w:t>自己进行淋浴或盆浴。</w:t>
            </w:r>
          </w:p>
        </w:tc>
      </w:tr>
      <w:tr>
        <w:trPr>
          <w:trHeight w:val="808" w:hRule="atLeast"/>
        </w:trPr>
        <w:tc>
          <w:tcPr>
            <w:tcW w:w="781" w:type="dxa"/>
          </w:tcPr>
          <w:p>
            <w:pPr>
              <w:pStyle w:val="TableParagraph"/>
              <w:ind w:left="0"/>
              <w:rPr>
                <w:rFonts w:ascii="Times New Roman"/>
                <w:sz w:val="20"/>
              </w:rPr>
            </w:pPr>
          </w:p>
        </w:tc>
        <w:tc>
          <w:tcPr>
            <w:tcW w:w="1974" w:type="dxa"/>
          </w:tcPr>
          <w:p>
            <w:pPr>
              <w:pStyle w:val="TableParagraph"/>
              <w:spacing w:line="361" w:lineRule="exact"/>
              <w:ind w:left="158"/>
              <w:rPr>
                <w:rFonts w:ascii="微软雅黑" w:eastAsia="微软雅黑" w:hint="eastAsia"/>
                <w:b/>
                <w:sz w:val="21"/>
              </w:rPr>
            </w:pPr>
            <w:r>
              <w:rPr>
                <w:rFonts w:ascii="微软雅黑" w:eastAsia="微软雅黑" w:hint="eastAsia"/>
                <w:b/>
                <w:sz w:val="21"/>
              </w:rPr>
              <w:t>肢体机能完全丧失</w:t>
            </w:r>
          </w:p>
        </w:tc>
        <w:tc>
          <w:tcPr>
            <w:tcW w:w="7515" w:type="dxa"/>
          </w:tcPr>
          <w:p>
            <w:pPr>
              <w:pStyle w:val="TableParagraph"/>
              <w:spacing w:line="273" w:lineRule="auto" w:before="60"/>
              <w:ind w:left="126" w:right="303"/>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434" w:hRule="atLeast"/>
        </w:trPr>
        <w:tc>
          <w:tcPr>
            <w:tcW w:w="781" w:type="dxa"/>
          </w:tcPr>
          <w:p>
            <w:pPr>
              <w:pStyle w:val="TableParagraph"/>
              <w:ind w:left="0"/>
              <w:rPr>
                <w:rFonts w:ascii="Times New Roman"/>
                <w:sz w:val="20"/>
              </w:rPr>
            </w:pPr>
          </w:p>
        </w:tc>
        <w:tc>
          <w:tcPr>
            <w:tcW w:w="1974" w:type="dxa"/>
          </w:tcPr>
          <w:p>
            <w:pPr>
              <w:pStyle w:val="TableParagraph"/>
              <w:spacing w:line="206" w:lineRule="auto" w:before="73"/>
              <w:ind w:left="158" w:right="123"/>
              <w:rPr>
                <w:rFonts w:ascii="微软雅黑" w:eastAsia="微软雅黑" w:hint="eastAsia"/>
                <w:b/>
                <w:sz w:val="21"/>
              </w:rPr>
            </w:pPr>
            <w:r>
              <w:rPr>
                <w:rFonts w:ascii="微软雅黑" w:eastAsia="微软雅黑" w:hint="eastAsia"/>
                <w:b/>
                <w:sz w:val="21"/>
              </w:rPr>
              <w:t>语言能力或咀嚼吞咽能力完全丧失</w:t>
            </w:r>
          </w:p>
        </w:tc>
        <w:tc>
          <w:tcPr>
            <w:tcW w:w="7515" w:type="dxa"/>
          </w:tcPr>
          <w:p>
            <w:pPr>
              <w:pStyle w:val="TableParagraph"/>
              <w:spacing w:line="273" w:lineRule="auto" w:before="84"/>
              <w:ind w:left="126" w:right="197"/>
              <w:rPr>
                <w:sz w:val="21"/>
              </w:rPr>
            </w:pPr>
            <w:r>
              <w:rPr>
                <w:spacing w:val="-6"/>
                <w:sz w:val="21"/>
              </w:rPr>
              <w:t>语言能力完全丧失，指无法发出四种语音</w:t>
            </w:r>
            <w:r>
              <w:rPr>
                <w:spacing w:val="-3"/>
                <w:sz w:val="21"/>
              </w:rPr>
              <w:t>（</w:t>
            </w:r>
            <w:r>
              <w:rPr>
                <w:spacing w:val="-7"/>
                <w:sz w:val="21"/>
              </w:rPr>
              <w:t>包括口唇音、齿舌音、口盖音和喉</w:t>
            </w:r>
            <w:r>
              <w:rPr>
                <w:spacing w:val="-5"/>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807" w:hRule="atLeast"/>
        </w:trPr>
        <w:tc>
          <w:tcPr>
            <w:tcW w:w="781" w:type="dxa"/>
          </w:tcPr>
          <w:p>
            <w:pPr>
              <w:pStyle w:val="TableParagraph"/>
              <w:ind w:left="0"/>
              <w:rPr>
                <w:rFonts w:ascii="Times New Roman"/>
                <w:sz w:val="20"/>
              </w:rPr>
            </w:pPr>
          </w:p>
        </w:tc>
        <w:tc>
          <w:tcPr>
            <w:tcW w:w="1974" w:type="dxa"/>
          </w:tcPr>
          <w:p>
            <w:pPr>
              <w:pStyle w:val="TableParagraph"/>
              <w:spacing w:line="362" w:lineRule="exact"/>
              <w:ind w:left="158"/>
              <w:rPr>
                <w:rFonts w:ascii="微软雅黑" w:eastAsia="微软雅黑" w:hint="eastAsia"/>
                <w:b/>
                <w:sz w:val="21"/>
              </w:rPr>
            </w:pPr>
            <w:r>
              <w:rPr>
                <w:rFonts w:ascii="微软雅黑" w:eastAsia="微软雅黑" w:hint="eastAsia"/>
                <w:b/>
                <w:sz w:val="21"/>
              </w:rPr>
              <w:t>永久不可逆</w:t>
            </w:r>
          </w:p>
        </w:tc>
        <w:tc>
          <w:tcPr>
            <w:tcW w:w="7515" w:type="dxa"/>
          </w:tcPr>
          <w:p>
            <w:pPr>
              <w:pStyle w:val="TableParagraph"/>
              <w:spacing w:line="273" w:lineRule="auto" w:before="62"/>
              <w:ind w:left="126" w:right="303"/>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r>
        <w:trPr>
          <w:trHeight w:val="547" w:hRule="atLeast"/>
        </w:trPr>
        <w:tc>
          <w:tcPr>
            <w:tcW w:w="781" w:type="dxa"/>
          </w:tcPr>
          <w:p>
            <w:pPr>
              <w:pStyle w:val="TableParagraph"/>
              <w:spacing w:before="20"/>
              <w:ind w:left="200"/>
              <w:rPr>
                <w:rFonts w:ascii="微软雅黑"/>
                <w:b/>
                <w:sz w:val="21"/>
              </w:rPr>
            </w:pPr>
            <w:r>
              <w:rPr>
                <w:rFonts w:ascii="微软雅黑"/>
                <w:b/>
                <w:sz w:val="21"/>
              </w:rPr>
              <w:t>7.6</w:t>
            </w:r>
          </w:p>
        </w:tc>
        <w:tc>
          <w:tcPr>
            <w:tcW w:w="1974" w:type="dxa"/>
          </w:tcPr>
          <w:p>
            <w:pPr>
              <w:pStyle w:val="TableParagraph"/>
              <w:spacing w:before="20"/>
              <w:ind w:left="158"/>
              <w:rPr>
                <w:rFonts w:ascii="微软雅黑" w:eastAsia="微软雅黑" w:hint="eastAsia"/>
                <w:b/>
                <w:sz w:val="21"/>
              </w:rPr>
            </w:pPr>
            <w:r>
              <w:rPr>
                <w:rFonts w:ascii="微软雅黑" w:eastAsia="微软雅黑" w:hint="eastAsia"/>
                <w:b/>
                <w:sz w:val="21"/>
              </w:rPr>
              <w:t>殴斗</w:t>
            </w:r>
          </w:p>
        </w:tc>
        <w:tc>
          <w:tcPr>
            <w:tcW w:w="7515" w:type="dxa"/>
          </w:tcPr>
          <w:p>
            <w:pPr>
              <w:pStyle w:val="TableParagraph"/>
              <w:spacing w:before="82"/>
              <w:ind w:left="126"/>
              <w:rPr>
                <w:sz w:val="21"/>
              </w:rPr>
            </w:pPr>
            <w:r>
              <w:rPr>
                <w:sz w:val="21"/>
              </w:rPr>
              <w:t>指因被保险人挑衅或故意行为而导致的打斗。</w:t>
            </w:r>
          </w:p>
        </w:tc>
      </w:tr>
      <w:tr>
        <w:trPr>
          <w:trHeight w:val="543" w:hRule="atLeast"/>
        </w:trPr>
        <w:tc>
          <w:tcPr>
            <w:tcW w:w="781" w:type="dxa"/>
          </w:tcPr>
          <w:p>
            <w:pPr>
              <w:pStyle w:val="TableParagraph"/>
              <w:spacing w:before="51"/>
              <w:ind w:left="200"/>
              <w:rPr>
                <w:rFonts w:ascii="微软雅黑"/>
                <w:b/>
                <w:sz w:val="21"/>
              </w:rPr>
            </w:pPr>
            <w:r>
              <w:rPr>
                <w:rFonts w:ascii="微软雅黑"/>
                <w:b/>
                <w:sz w:val="21"/>
              </w:rPr>
              <w:t>7.7</w:t>
            </w:r>
          </w:p>
        </w:tc>
        <w:tc>
          <w:tcPr>
            <w:tcW w:w="1974" w:type="dxa"/>
          </w:tcPr>
          <w:p>
            <w:pPr>
              <w:pStyle w:val="TableParagraph"/>
              <w:spacing w:before="51"/>
              <w:ind w:left="158"/>
              <w:rPr>
                <w:rFonts w:ascii="微软雅黑" w:eastAsia="微软雅黑" w:hint="eastAsia"/>
                <w:b/>
                <w:sz w:val="21"/>
              </w:rPr>
            </w:pPr>
            <w:r>
              <w:rPr>
                <w:rFonts w:ascii="微软雅黑" w:eastAsia="微软雅黑" w:hint="eastAsia"/>
                <w:b/>
                <w:sz w:val="21"/>
              </w:rPr>
              <w:t>醉酒</w:t>
            </w:r>
          </w:p>
        </w:tc>
        <w:tc>
          <w:tcPr>
            <w:tcW w:w="7515" w:type="dxa"/>
          </w:tcPr>
          <w:p>
            <w:pPr>
              <w:pStyle w:val="TableParagraph"/>
              <w:spacing w:before="113"/>
              <w:ind w:left="126"/>
              <w:rPr>
                <w:sz w:val="21"/>
              </w:rPr>
            </w:pPr>
            <w:r>
              <w:rPr>
                <w:sz w:val="21"/>
              </w:rPr>
              <w:t>指每百毫升血液的酒精含量大于或等于 100 毫克。</w:t>
            </w:r>
          </w:p>
        </w:tc>
      </w:tr>
      <w:tr>
        <w:trPr>
          <w:trHeight w:val="1432" w:hRule="atLeast"/>
        </w:trPr>
        <w:tc>
          <w:tcPr>
            <w:tcW w:w="781" w:type="dxa"/>
          </w:tcPr>
          <w:p>
            <w:pPr>
              <w:pStyle w:val="TableParagraph"/>
              <w:spacing w:before="16"/>
              <w:ind w:left="200"/>
              <w:rPr>
                <w:rFonts w:ascii="微软雅黑"/>
                <w:b/>
                <w:sz w:val="21"/>
              </w:rPr>
            </w:pPr>
            <w:r>
              <w:rPr>
                <w:rFonts w:ascii="微软雅黑"/>
                <w:b/>
                <w:sz w:val="21"/>
              </w:rPr>
              <w:t>7.8</w:t>
            </w:r>
          </w:p>
        </w:tc>
        <w:tc>
          <w:tcPr>
            <w:tcW w:w="1974" w:type="dxa"/>
          </w:tcPr>
          <w:p>
            <w:pPr>
              <w:pStyle w:val="TableParagraph"/>
              <w:spacing w:before="16"/>
              <w:ind w:left="158"/>
              <w:rPr>
                <w:rFonts w:ascii="微软雅黑" w:eastAsia="微软雅黑" w:hint="eastAsia"/>
                <w:b/>
                <w:sz w:val="21"/>
              </w:rPr>
            </w:pPr>
            <w:r>
              <w:rPr>
                <w:rFonts w:ascii="微软雅黑" w:eastAsia="微软雅黑" w:hint="eastAsia"/>
                <w:b/>
                <w:sz w:val="21"/>
              </w:rPr>
              <w:t>毒品</w:t>
            </w:r>
          </w:p>
        </w:tc>
        <w:tc>
          <w:tcPr>
            <w:tcW w:w="7515" w:type="dxa"/>
          </w:tcPr>
          <w:p>
            <w:pPr>
              <w:pStyle w:val="TableParagraph"/>
              <w:spacing w:line="273" w:lineRule="auto" w:before="78"/>
              <w:ind w:left="126" w:right="3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、吗啡、大麻、可卡因以及国家规定管制的其它能够使人形成瘾癖的麻醉药品和精神药</w:t>
            </w:r>
            <w:r>
              <w:rPr>
                <w:spacing w:val="-10"/>
                <w:sz w:val="21"/>
              </w:rPr>
              <w:t>品，但不包括由医生开具并遵医嘱使用的用于治疗疾病但含有毒品成分的处方药品。</w:t>
            </w:r>
          </w:p>
        </w:tc>
      </w:tr>
      <w:tr>
        <w:trPr>
          <w:trHeight w:val="1112" w:hRule="atLeast"/>
        </w:trPr>
        <w:tc>
          <w:tcPr>
            <w:tcW w:w="781" w:type="dxa"/>
          </w:tcPr>
          <w:p>
            <w:pPr>
              <w:pStyle w:val="TableParagraph"/>
              <w:spacing w:before="3"/>
              <w:ind w:left="200"/>
              <w:rPr>
                <w:rFonts w:ascii="微软雅黑"/>
                <w:b/>
                <w:sz w:val="21"/>
              </w:rPr>
            </w:pPr>
            <w:r>
              <w:rPr>
                <w:rFonts w:ascii="微软雅黑"/>
                <w:b/>
                <w:sz w:val="21"/>
              </w:rPr>
              <w:t>7.9</w:t>
            </w:r>
          </w:p>
        </w:tc>
        <w:tc>
          <w:tcPr>
            <w:tcW w:w="1974" w:type="dxa"/>
          </w:tcPr>
          <w:p>
            <w:pPr>
              <w:pStyle w:val="TableParagraph"/>
              <w:spacing w:before="3"/>
              <w:ind w:left="158"/>
              <w:rPr>
                <w:rFonts w:ascii="微软雅黑" w:eastAsia="微软雅黑" w:hint="eastAsia"/>
                <w:b/>
                <w:sz w:val="21"/>
              </w:rPr>
            </w:pPr>
            <w:r>
              <w:rPr>
                <w:rFonts w:ascii="微软雅黑" w:eastAsia="微软雅黑" w:hint="eastAsia"/>
                <w:b/>
                <w:sz w:val="21"/>
              </w:rPr>
              <w:t>酒后驾驶</w:t>
            </w:r>
          </w:p>
        </w:tc>
        <w:tc>
          <w:tcPr>
            <w:tcW w:w="7515" w:type="dxa"/>
          </w:tcPr>
          <w:p>
            <w:pPr>
              <w:pStyle w:val="TableParagraph"/>
              <w:spacing w:line="273" w:lineRule="auto" w:before="65"/>
              <w:ind w:left="126" w:right="303"/>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225" w:hRule="atLeast"/>
        </w:trPr>
        <w:tc>
          <w:tcPr>
            <w:tcW w:w="781" w:type="dxa"/>
          </w:tcPr>
          <w:p>
            <w:pPr>
              <w:pStyle w:val="TableParagraph"/>
              <w:spacing w:before="9"/>
              <w:ind w:left="200"/>
              <w:rPr>
                <w:rFonts w:ascii="微软雅黑"/>
                <w:b/>
                <w:sz w:val="21"/>
              </w:rPr>
            </w:pPr>
            <w:r>
              <w:rPr>
                <w:rFonts w:ascii="微软雅黑"/>
                <w:b/>
                <w:sz w:val="21"/>
              </w:rPr>
              <w:t>7.10</w:t>
            </w:r>
          </w:p>
        </w:tc>
        <w:tc>
          <w:tcPr>
            <w:tcW w:w="1974" w:type="dxa"/>
          </w:tcPr>
          <w:p>
            <w:pPr>
              <w:pStyle w:val="TableParagraph"/>
              <w:spacing w:line="206" w:lineRule="auto" w:before="60"/>
              <w:ind w:left="158" w:right="123"/>
              <w:rPr>
                <w:rFonts w:ascii="微软雅黑" w:eastAsia="微软雅黑" w:hint="eastAsia"/>
                <w:b/>
                <w:sz w:val="21"/>
              </w:rPr>
            </w:pPr>
            <w:r>
              <w:rPr>
                <w:rFonts w:ascii="微软雅黑" w:eastAsia="微软雅黑" w:hint="eastAsia"/>
                <w:b/>
                <w:sz w:val="21"/>
              </w:rPr>
              <w:t>无合法有效驾驶证驾驶</w:t>
            </w:r>
          </w:p>
        </w:tc>
        <w:tc>
          <w:tcPr>
            <w:tcW w:w="7515" w:type="dxa"/>
          </w:tcPr>
          <w:p>
            <w:pPr>
              <w:pStyle w:val="TableParagraph"/>
              <w:spacing w:before="71"/>
              <w:ind w:left="126"/>
              <w:rPr>
                <w:sz w:val="21"/>
              </w:rPr>
            </w:pPr>
            <w:r>
              <w:rPr>
                <w:sz w:val="21"/>
              </w:rPr>
              <w:t>指下列情形之一：</w:t>
            </w:r>
          </w:p>
          <w:p>
            <w:pPr>
              <w:pStyle w:val="TableParagraph"/>
              <w:spacing w:before="36"/>
              <w:ind w:left="126"/>
              <w:rPr>
                <w:sz w:val="21"/>
              </w:rPr>
            </w:pPr>
            <w:r>
              <w:rPr>
                <w:sz w:val="21"/>
              </w:rPr>
              <w:t>（1）没有取得驾驶资格；</w:t>
            </w:r>
          </w:p>
          <w:p>
            <w:pPr>
              <w:pStyle w:val="TableParagraph"/>
              <w:spacing w:before="36"/>
              <w:ind w:left="126"/>
              <w:rPr>
                <w:sz w:val="21"/>
              </w:rPr>
            </w:pPr>
            <w:r>
              <w:rPr>
                <w:sz w:val="21"/>
              </w:rPr>
              <w:t>（2）驾驶与驾驶证准驾车型不相符合的车辆；</w:t>
            </w:r>
          </w:p>
          <w:p>
            <w:pPr>
              <w:pStyle w:val="TableParagraph"/>
              <w:spacing w:line="273" w:lineRule="auto" w:before="36"/>
              <w:ind w:left="126" w:right="345"/>
              <w:rPr>
                <w:sz w:val="21"/>
              </w:rPr>
            </w:pPr>
            <w:r>
              <w:rPr>
                <w:sz w:val="21"/>
              </w:rPr>
              <w:t>（3）持审验不合格的驾驶证驾驶、未经公安交通管理部门同意，持未审验的驾驶证驾驶；</w:t>
            </w:r>
          </w:p>
          <w:p>
            <w:pPr>
              <w:pStyle w:val="TableParagraph"/>
              <w:spacing w:line="312" w:lineRule="exact" w:before="2"/>
              <w:ind w:left="126" w:right="345"/>
              <w:rPr>
                <w:sz w:val="21"/>
              </w:rPr>
            </w:pPr>
            <w:r>
              <w:rPr>
                <w:sz w:val="21"/>
              </w:rPr>
              <w:t>（4）持学习驾驶证学习驾车时，无教练员随车指导，或不按指定时间、路线学习驾车。</w:t>
            </w:r>
          </w:p>
        </w:tc>
      </w:tr>
    </w:tbl>
    <w:p>
      <w:pPr>
        <w:spacing w:after="0" w:line="312" w:lineRule="exact"/>
        <w:rPr>
          <w:sz w:val="21"/>
        </w:rPr>
        <w:sectPr>
          <w:pgSz w:w="11910" w:h="16840"/>
          <w:pgMar w:header="0" w:footer="375"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615" w:hRule="atLeast"/>
        </w:trPr>
        <w:tc>
          <w:tcPr>
            <w:tcW w:w="781" w:type="dxa"/>
          </w:tcPr>
          <w:p>
            <w:pPr>
              <w:pStyle w:val="TableParagraph"/>
              <w:spacing w:line="230" w:lineRule="exact"/>
              <w:ind w:left="166" w:right="125"/>
              <w:jc w:val="center"/>
              <w:rPr>
                <w:rFonts w:ascii="微软雅黑"/>
                <w:b/>
                <w:sz w:val="21"/>
              </w:rPr>
            </w:pPr>
            <w:r>
              <w:rPr>
                <w:rFonts w:ascii="微软雅黑"/>
                <w:b/>
                <w:sz w:val="21"/>
              </w:rPr>
              <w:t>7.11</w:t>
            </w:r>
          </w:p>
        </w:tc>
        <w:tc>
          <w:tcPr>
            <w:tcW w:w="1974" w:type="dxa"/>
          </w:tcPr>
          <w:p>
            <w:pPr>
              <w:pStyle w:val="TableParagraph"/>
              <w:spacing w:line="230" w:lineRule="exact"/>
              <w:ind w:left="158"/>
              <w:rPr>
                <w:rFonts w:ascii="微软雅黑" w:eastAsia="微软雅黑" w:hint="eastAsia"/>
                <w:b/>
                <w:sz w:val="21"/>
              </w:rPr>
            </w:pPr>
            <w:r>
              <w:rPr>
                <w:rFonts w:ascii="微软雅黑" w:eastAsia="微软雅黑" w:hint="eastAsia"/>
                <w:b/>
                <w:sz w:val="21"/>
              </w:rPr>
              <w:t>无有效行驶证</w:t>
            </w:r>
          </w:p>
        </w:tc>
        <w:tc>
          <w:tcPr>
            <w:tcW w:w="7515" w:type="dxa"/>
          </w:tcPr>
          <w:p>
            <w:pPr>
              <w:pStyle w:val="TableParagraph"/>
              <w:spacing w:line="205" w:lineRule="exact"/>
              <w:ind w:left="126"/>
              <w:rPr>
                <w:sz w:val="21"/>
              </w:rPr>
            </w:pPr>
            <w:r>
              <w:rPr>
                <w:sz w:val="21"/>
              </w:rPr>
              <w:t>指下列情形之一：</w:t>
            </w:r>
          </w:p>
          <w:p>
            <w:pPr>
              <w:pStyle w:val="TableParagraph"/>
              <w:spacing w:before="37"/>
              <w:ind w:left="126"/>
              <w:rPr>
                <w:sz w:val="21"/>
              </w:rPr>
            </w:pPr>
            <w:r>
              <w:rPr>
                <w:sz w:val="21"/>
              </w:rPr>
              <w:t>（1）没有机动车行驶证；</w:t>
            </w:r>
          </w:p>
        </w:tc>
      </w:tr>
      <w:tr>
        <w:trPr>
          <w:trHeight w:val="745"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5" w:type="dxa"/>
          </w:tcPr>
          <w:p>
            <w:pPr>
              <w:pStyle w:val="TableParagraph"/>
              <w:spacing w:before="22"/>
              <w:ind w:left="126"/>
              <w:rPr>
                <w:sz w:val="21"/>
              </w:rPr>
            </w:pPr>
            <w:r>
              <w:rPr>
                <w:sz w:val="21"/>
              </w:rPr>
              <w:t>（2）机动车被依法注销登记的；</w:t>
            </w:r>
          </w:p>
          <w:p>
            <w:pPr>
              <w:pStyle w:val="TableParagraph"/>
              <w:spacing w:before="37"/>
              <w:ind w:left="126"/>
              <w:rPr>
                <w:sz w:val="21"/>
              </w:rPr>
            </w:pPr>
            <w:r>
              <w:rPr>
                <w:sz w:val="21"/>
              </w:rPr>
              <w:t>（3）未依法按时进行或通过机动车安全技术检验。</w:t>
            </w:r>
          </w:p>
        </w:tc>
      </w:tr>
      <w:tr>
        <w:trPr>
          <w:trHeight w:val="447" w:hRule="atLeast"/>
        </w:trPr>
        <w:tc>
          <w:tcPr>
            <w:tcW w:w="781" w:type="dxa"/>
          </w:tcPr>
          <w:p>
            <w:pPr>
              <w:pStyle w:val="TableParagraph"/>
              <w:spacing w:line="360" w:lineRule="exact"/>
              <w:ind w:left="166" w:right="125"/>
              <w:jc w:val="center"/>
              <w:rPr>
                <w:rFonts w:ascii="微软雅黑"/>
                <w:b/>
                <w:sz w:val="21"/>
              </w:rPr>
            </w:pPr>
            <w:r>
              <w:rPr>
                <w:rFonts w:ascii="微软雅黑"/>
                <w:b/>
                <w:sz w:val="21"/>
              </w:rPr>
              <w:t>7.12</w:t>
            </w: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潜水</w:t>
            </w:r>
          </w:p>
        </w:tc>
        <w:tc>
          <w:tcPr>
            <w:tcW w:w="7515" w:type="dxa"/>
          </w:tcPr>
          <w:p>
            <w:pPr>
              <w:pStyle w:val="TableParagraph"/>
              <w:spacing w:before="59"/>
              <w:ind w:left="126"/>
              <w:rPr>
                <w:sz w:val="21"/>
              </w:rPr>
            </w:pPr>
            <w:r>
              <w:rPr>
                <w:sz w:val="21"/>
              </w:rPr>
              <w:t>指以辅助呼吸器材在江、河、湖、海、水库、运河等水域进行的水下运动。</w:t>
            </w:r>
          </w:p>
        </w:tc>
      </w:tr>
      <w:tr>
        <w:trPr>
          <w:trHeight w:val="425" w:hRule="atLeast"/>
        </w:trPr>
        <w:tc>
          <w:tcPr>
            <w:tcW w:w="781" w:type="dxa"/>
          </w:tcPr>
          <w:p>
            <w:pPr>
              <w:pStyle w:val="TableParagraph"/>
              <w:spacing w:line="337" w:lineRule="exact"/>
              <w:ind w:left="166" w:right="125"/>
              <w:jc w:val="center"/>
              <w:rPr>
                <w:rFonts w:ascii="微软雅黑"/>
                <w:b/>
                <w:sz w:val="21"/>
              </w:rPr>
            </w:pPr>
            <w:r>
              <w:rPr>
                <w:rFonts w:ascii="微软雅黑"/>
                <w:b/>
                <w:sz w:val="21"/>
              </w:rPr>
              <w:t>7.13</w:t>
            </w:r>
          </w:p>
        </w:tc>
        <w:tc>
          <w:tcPr>
            <w:tcW w:w="1974" w:type="dxa"/>
          </w:tcPr>
          <w:p>
            <w:pPr>
              <w:pStyle w:val="TableParagraph"/>
              <w:spacing w:line="337" w:lineRule="exact"/>
              <w:ind w:left="158"/>
              <w:rPr>
                <w:rFonts w:ascii="微软雅黑" w:eastAsia="微软雅黑" w:hint="eastAsia"/>
                <w:b/>
                <w:sz w:val="21"/>
              </w:rPr>
            </w:pPr>
            <w:r>
              <w:rPr>
                <w:rFonts w:ascii="微软雅黑" w:eastAsia="微软雅黑" w:hint="eastAsia"/>
                <w:b/>
                <w:sz w:val="21"/>
              </w:rPr>
              <w:t>攀岩</w:t>
            </w:r>
          </w:p>
        </w:tc>
        <w:tc>
          <w:tcPr>
            <w:tcW w:w="7515" w:type="dxa"/>
          </w:tcPr>
          <w:p>
            <w:pPr>
              <w:pStyle w:val="TableParagraph"/>
              <w:spacing w:before="36"/>
              <w:ind w:left="126"/>
              <w:rPr>
                <w:sz w:val="21"/>
              </w:rPr>
            </w:pPr>
            <w:r>
              <w:rPr>
                <w:sz w:val="21"/>
              </w:rPr>
              <w:t>指攀登悬崖、楼宇外墙、人造悬崖、冰崖、冰山等运动。</w:t>
            </w:r>
          </w:p>
        </w:tc>
      </w:tr>
      <w:tr>
        <w:trPr>
          <w:trHeight w:val="1063" w:hRule="atLeast"/>
        </w:trPr>
        <w:tc>
          <w:tcPr>
            <w:tcW w:w="781" w:type="dxa"/>
          </w:tcPr>
          <w:p>
            <w:pPr>
              <w:pStyle w:val="TableParagraph"/>
              <w:spacing w:line="338" w:lineRule="exact"/>
              <w:ind w:left="166" w:right="125"/>
              <w:jc w:val="center"/>
              <w:rPr>
                <w:rFonts w:ascii="微软雅黑"/>
                <w:b/>
                <w:sz w:val="21"/>
              </w:rPr>
            </w:pPr>
            <w:r>
              <w:rPr>
                <w:rFonts w:ascii="微软雅黑"/>
                <w:b/>
                <w:sz w:val="21"/>
              </w:rPr>
              <w:t>7.14</w:t>
            </w:r>
          </w:p>
        </w:tc>
        <w:tc>
          <w:tcPr>
            <w:tcW w:w="1974" w:type="dxa"/>
          </w:tcPr>
          <w:p>
            <w:pPr>
              <w:pStyle w:val="TableParagraph"/>
              <w:spacing w:line="338" w:lineRule="exact"/>
              <w:ind w:left="158"/>
              <w:rPr>
                <w:rFonts w:ascii="微软雅黑" w:eastAsia="微软雅黑" w:hint="eastAsia"/>
                <w:b/>
                <w:sz w:val="21"/>
              </w:rPr>
            </w:pPr>
            <w:r>
              <w:rPr>
                <w:rFonts w:ascii="微软雅黑" w:eastAsia="微软雅黑" w:hint="eastAsia"/>
                <w:b/>
                <w:sz w:val="21"/>
              </w:rPr>
              <w:t>探险</w:t>
            </w:r>
          </w:p>
        </w:tc>
        <w:tc>
          <w:tcPr>
            <w:tcW w:w="7515" w:type="dxa"/>
          </w:tcPr>
          <w:p>
            <w:pPr>
              <w:pStyle w:val="TableParagraph"/>
              <w:spacing w:line="273" w:lineRule="auto" w:before="38"/>
              <w:ind w:left="126" w:right="302"/>
              <w:jc w:val="both"/>
              <w:rPr>
                <w:sz w:val="21"/>
              </w:rPr>
            </w:pPr>
            <w:r>
              <w:rPr>
                <w:spacing w:val="-5"/>
                <w:sz w:val="21"/>
              </w:rPr>
              <w:t>指明知在某种特定的自然条件下有失去生命或使身体受到伤害的危险，而故意</w:t>
            </w:r>
            <w:r>
              <w:rPr>
                <w:spacing w:val="-9"/>
                <w:sz w:val="21"/>
              </w:rPr>
              <w:t>使自己置身其中的行为。如江河漂流、徒步穿越沙漠或人迹罕见的原始森林等活动。</w:t>
            </w:r>
          </w:p>
        </w:tc>
      </w:tr>
      <w:tr>
        <w:trPr>
          <w:trHeight w:val="806" w:hRule="atLeast"/>
        </w:trPr>
        <w:tc>
          <w:tcPr>
            <w:tcW w:w="781" w:type="dxa"/>
          </w:tcPr>
          <w:p>
            <w:pPr>
              <w:pStyle w:val="TableParagraph"/>
              <w:spacing w:line="350" w:lineRule="exact"/>
              <w:ind w:left="166" w:right="125"/>
              <w:jc w:val="center"/>
              <w:rPr>
                <w:rFonts w:ascii="微软雅黑"/>
                <w:b/>
                <w:sz w:val="21"/>
              </w:rPr>
            </w:pPr>
            <w:r>
              <w:rPr>
                <w:rFonts w:ascii="微软雅黑"/>
                <w:b/>
                <w:sz w:val="21"/>
              </w:rPr>
              <w:t>7.15</w:t>
            </w:r>
          </w:p>
        </w:tc>
        <w:tc>
          <w:tcPr>
            <w:tcW w:w="1974" w:type="dxa"/>
          </w:tcPr>
          <w:p>
            <w:pPr>
              <w:pStyle w:val="TableParagraph"/>
              <w:spacing w:line="350" w:lineRule="exact"/>
              <w:ind w:left="158"/>
              <w:rPr>
                <w:rFonts w:ascii="微软雅黑" w:eastAsia="微软雅黑" w:hint="eastAsia"/>
                <w:b/>
                <w:sz w:val="21"/>
              </w:rPr>
            </w:pPr>
            <w:r>
              <w:rPr>
                <w:rFonts w:ascii="微软雅黑" w:eastAsia="微软雅黑" w:hint="eastAsia"/>
                <w:b/>
                <w:sz w:val="21"/>
              </w:rPr>
              <w:t>武术比赛</w:t>
            </w:r>
          </w:p>
        </w:tc>
        <w:tc>
          <w:tcPr>
            <w:tcW w:w="7515" w:type="dxa"/>
          </w:tcPr>
          <w:p>
            <w:pPr>
              <w:pStyle w:val="TableParagraph"/>
              <w:spacing w:line="273" w:lineRule="auto" w:before="50"/>
              <w:ind w:left="126" w:right="303"/>
              <w:rPr>
                <w:sz w:val="21"/>
              </w:rPr>
            </w:pPr>
            <w:r>
              <w:rPr>
                <w:spacing w:val="-8"/>
                <w:sz w:val="21"/>
              </w:rPr>
              <w:t>指两人或两人以上对抗柔道、空手道、跆拳道、散打、拳击等各种拳术及各种</w:t>
            </w:r>
            <w:r>
              <w:rPr>
                <w:spacing w:val="-5"/>
                <w:sz w:val="21"/>
              </w:rPr>
              <w:t>使用器械的对抗性比赛。</w:t>
            </w:r>
          </w:p>
        </w:tc>
      </w:tr>
      <w:tr>
        <w:trPr>
          <w:trHeight w:val="549" w:hRule="atLeast"/>
        </w:trPr>
        <w:tc>
          <w:tcPr>
            <w:tcW w:w="781" w:type="dxa"/>
          </w:tcPr>
          <w:p>
            <w:pPr>
              <w:pStyle w:val="TableParagraph"/>
              <w:spacing w:before="30"/>
              <w:ind w:left="166" w:right="125"/>
              <w:jc w:val="center"/>
              <w:rPr>
                <w:rFonts w:ascii="微软雅黑"/>
                <w:b/>
                <w:sz w:val="21"/>
              </w:rPr>
            </w:pPr>
            <w:r>
              <w:rPr>
                <w:rFonts w:ascii="微软雅黑"/>
                <w:b/>
                <w:sz w:val="21"/>
              </w:rPr>
              <w:t>7.16</w:t>
            </w:r>
          </w:p>
        </w:tc>
        <w:tc>
          <w:tcPr>
            <w:tcW w:w="1974" w:type="dxa"/>
          </w:tcPr>
          <w:p>
            <w:pPr>
              <w:pStyle w:val="TableParagraph"/>
              <w:spacing w:before="30"/>
              <w:ind w:left="158"/>
              <w:rPr>
                <w:rFonts w:ascii="微软雅黑" w:eastAsia="微软雅黑" w:hint="eastAsia"/>
                <w:b/>
                <w:sz w:val="21"/>
              </w:rPr>
            </w:pPr>
            <w:r>
              <w:rPr>
                <w:rFonts w:ascii="微软雅黑" w:eastAsia="微软雅黑" w:hint="eastAsia"/>
                <w:b/>
                <w:sz w:val="21"/>
              </w:rPr>
              <w:t>特技表演</w:t>
            </w:r>
          </w:p>
        </w:tc>
        <w:tc>
          <w:tcPr>
            <w:tcW w:w="7515" w:type="dxa"/>
          </w:tcPr>
          <w:p>
            <w:pPr>
              <w:pStyle w:val="TableParagraph"/>
              <w:spacing w:before="93"/>
              <w:ind w:left="126"/>
              <w:rPr>
                <w:sz w:val="21"/>
              </w:rPr>
            </w:pPr>
            <w:r>
              <w:rPr>
                <w:sz w:val="21"/>
              </w:rPr>
              <w:t>指从事马术、杂技、驯兽等特殊技能活动。</w:t>
            </w:r>
          </w:p>
        </w:tc>
      </w:tr>
      <w:tr>
        <w:trPr>
          <w:trHeight w:val="856" w:hRule="atLeast"/>
        </w:trPr>
        <w:tc>
          <w:tcPr>
            <w:tcW w:w="781" w:type="dxa"/>
          </w:tcPr>
          <w:p>
            <w:pPr>
              <w:pStyle w:val="TableParagraph"/>
              <w:spacing w:before="42"/>
              <w:ind w:left="166" w:right="125"/>
              <w:jc w:val="center"/>
              <w:rPr>
                <w:rFonts w:ascii="微软雅黑"/>
                <w:b/>
                <w:sz w:val="21"/>
              </w:rPr>
            </w:pPr>
            <w:r>
              <w:rPr>
                <w:rFonts w:ascii="微软雅黑"/>
                <w:b/>
                <w:sz w:val="21"/>
              </w:rPr>
              <w:t>7.17</w:t>
            </w:r>
          </w:p>
        </w:tc>
        <w:tc>
          <w:tcPr>
            <w:tcW w:w="1974" w:type="dxa"/>
          </w:tcPr>
          <w:p>
            <w:pPr>
              <w:pStyle w:val="TableParagraph"/>
              <w:spacing w:before="42"/>
              <w:ind w:left="158"/>
              <w:rPr>
                <w:rFonts w:ascii="微软雅黑" w:eastAsia="微软雅黑" w:hint="eastAsia"/>
                <w:b/>
                <w:sz w:val="21"/>
              </w:rPr>
            </w:pPr>
            <w:r>
              <w:rPr>
                <w:rFonts w:ascii="微软雅黑" w:eastAsia="微软雅黑" w:hint="eastAsia"/>
                <w:b/>
                <w:sz w:val="21"/>
              </w:rPr>
              <w:t>遗传性疾病</w:t>
            </w:r>
          </w:p>
        </w:tc>
        <w:tc>
          <w:tcPr>
            <w:tcW w:w="7515" w:type="dxa"/>
          </w:tcPr>
          <w:p>
            <w:pPr>
              <w:pStyle w:val="TableParagraph"/>
              <w:spacing w:line="273" w:lineRule="auto" w:before="105"/>
              <w:ind w:left="126" w:right="235"/>
              <w:rPr>
                <w:sz w:val="21"/>
              </w:rPr>
            </w:pPr>
            <w:r>
              <w:rPr>
                <w:sz w:val="21"/>
              </w:rPr>
              <w:t>指生殖细胞或受精卵的遗传物质（染色体和基因）发生突变或畸变所引起的疾病，通常具有由亲代传至后代的垂直传递的特征。</w:t>
            </w:r>
          </w:p>
        </w:tc>
      </w:tr>
      <w:tr>
        <w:trPr>
          <w:trHeight w:val="1143" w:hRule="atLeast"/>
        </w:trPr>
        <w:tc>
          <w:tcPr>
            <w:tcW w:w="781" w:type="dxa"/>
          </w:tcPr>
          <w:p>
            <w:pPr>
              <w:pStyle w:val="TableParagraph"/>
              <w:spacing w:before="26"/>
              <w:ind w:left="166" w:right="125"/>
              <w:jc w:val="center"/>
              <w:rPr>
                <w:rFonts w:ascii="微软雅黑"/>
                <w:b/>
                <w:sz w:val="21"/>
              </w:rPr>
            </w:pPr>
            <w:r>
              <w:rPr>
                <w:rFonts w:ascii="微软雅黑"/>
                <w:b/>
                <w:sz w:val="21"/>
              </w:rPr>
              <w:t>7.18</w:t>
            </w:r>
          </w:p>
        </w:tc>
        <w:tc>
          <w:tcPr>
            <w:tcW w:w="1974" w:type="dxa"/>
          </w:tcPr>
          <w:p>
            <w:pPr>
              <w:pStyle w:val="TableParagraph"/>
              <w:spacing w:line="206" w:lineRule="auto" w:before="76"/>
              <w:ind w:left="158" w:right="123"/>
              <w:rPr>
                <w:rFonts w:ascii="微软雅黑" w:eastAsia="微软雅黑" w:hint="eastAsia"/>
                <w:b/>
                <w:sz w:val="21"/>
              </w:rPr>
            </w:pPr>
            <w:r>
              <w:rPr>
                <w:rFonts w:ascii="微软雅黑" w:eastAsia="微软雅黑" w:hint="eastAsia"/>
                <w:b/>
                <w:sz w:val="21"/>
              </w:rPr>
              <w:t>先天性畸形、变形或染色体异常</w:t>
            </w:r>
          </w:p>
        </w:tc>
        <w:tc>
          <w:tcPr>
            <w:tcW w:w="7515" w:type="dxa"/>
          </w:tcPr>
          <w:p>
            <w:pPr>
              <w:pStyle w:val="TableParagraph"/>
              <w:spacing w:line="273" w:lineRule="auto" w:before="88"/>
              <w:ind w:left="126" w:right="197"/>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7"/>
                <w:sz w:val="21"/>
              </w:rPr>
              <w:t>》</w:t>
            </w:r>
            <w:r>
              <w:rPr>
                <w:sz w:val="21"/>
              </w:rPr>
              <w:t>（ICD-10） 确定。</w:t>
            </w:r>
          </w:p>
        </w:tc>
      </w:tr>
      <w:tr>
        <w:trPr>
          <w:trHeight w:val="2393" w:hRule="atLeast"/>
        </w:trPr>
        <w:tc>
          <w:tcPr>
            <w:tcW w:w="781" w:type="dxa"/>
          </w:tcPr>
          <w:p>
            <w:pPr>
              <w:pStyle w:val="TableParagraph"/>
              <w:spacing w:before="17"/>
              <w:ind w:left="166" w:right="125"/>
              <w:jc w:val="center"/>
              <w:rPr>
                <w:rFonts w:ascii="微软雅黑"/>
                <w:b/>
                <w:sz w:val="21"/>
              </w:rPr>
            </w:pPr>
            <w:r>
              <w:rPr>
                <w:rFonts w:ascii="微软雅黑"/>
                <w:b/>
                <w:sz w:val="21"/>
              </w:rPr>
              <w:t>7.19</w:t>
            </w:r>
          </w:p>
        </w:tc>
        <w:tc>
          <w:tcPr>
            <w:tcW w:w="1974" w:type="dxa"/>
          </w:tcPr>
          <w:p>
            <w:pPr>
              <w:pStyle w:val="TableParagraph"/>
              <w:spacing w:before="17"/>
              <w:ind w:left="158"/>
              <w:rPr>
                <w:rFonts w:ascii="微软雅黑" w:eastAsia="微软雅黑" w:hint="eastAsia"/>
                <w:b/>
                <w:sz w:val="21"/>
              </w:rPr>
            </w:pPr>
            <w:r>
              <w:rPr>
                <w:rFonts w:ascii="微软雅黑" w:eastAsia="微软雅黑" w:hint="eastAsia"/>
                <w:b/>
                <w:sz w:val="21"/>
              </w:rPr>
              <w:t>现金价值</w:t>
            </w:r>
          </w:p>
        </w:tc>
        <w:tc>
          <w:tcPr>
            <w:tcW w:w="7515" w:type="dxa"/>
          </w:tcPr>
          <w:p>
            <w:pPr>
              <w:pStyle w:val="TableParagraph"/>
              <w:spacing w:line="273" w:lineRule="auto" w:before="80"/>
              <w:ind w:left="126" w:right="305"/>
              <w:rPr>
                <w:sz w:val="21"/>
              </w:rPr>
            </w:pPr>
            <w:r>
              <w:rPr>
                <w:spacing w:val="-7"/>
                <w:sz w:val="21"/>
              </w:rPr>
              <w:t>指保险单所具有的价值，通常体现为解除合同时，根据精算原理计算的，由本</w:t>
            </w:r>
            <w:r>
              <w:rPr>
                <w:spacing w:val="-5"/>
                <w:sz w:val="21"/>
              </w:rPr>
              <w:t>公司退还的那部分金额。</w:t>
            </w:r>
          </w:p>
          <w:p>
            <w:pPr>
              <w:pStyle w:val="TableParagraph"/>
              <w:spacing w:before="7"/>
              <w:ind w:left="126"/>
              <w:rPr>
                <w:sz w:val="21"/>
              </w:rPr>
            </w:pPr>
            <w:r>
              <w:rPr>
                <w:spacing w:val="-1"/>
                <w:w w:val="100"/>
                <w:sz w:val="21"/>
              </w:rPr>
              <w:t>现金价值</w:t>
            </w:r>
            <w:r>
              <w:rPr>
                <w:spacing w:val="-3"/>
                <w:w w:val="100"/>
                <w:sz w:val="21"/>
              </w:rPr>
              <w:t>＝</w:t>
            </w:r>
            <w:r>
              <w:rPr>
                <w:spacing w:val="-4"/>
                <w:w w:val="100"/>
                <w:sz w:val="21"/>
              </w:rPr>
              <w:t>净保费×</w:t>
            </w:r>
            <w:r>
              <w:rPr>
                <w:w w:val="100"/>
                <w:sz w:val="21"/>
              </w:rPr>
              <w:t>（1</w:t>
            </w:r>
            <w:r>
              <w:rPr>
                <w:spacing w:val="-3"/>
                <w:w w:val="100"/>
                <w:sz w:val="21"/>
              </w:rPr>
              <w:t>－保险经过日数÷保险期间的日数</w:t>
            </w:r>
            <w:r>
              <w:rPr>
                <w:spacing w:val="-106"/>
                <w:w w:val="100"/>
                <w:sz w:val="21"/>
              </w:rPr>
              <w:t>）</w:t>
            </w:r>
            <w:r>
              <w:rPr>
                <w:spacing w:val="-3"/>
                <w:w w:val="100"/>
                <w:sz w:val="21"/>
              </w:rPr>
              <w:t>，经过日数不足</w:t>
            </w:r>
            <w:r>
              <w:rPr>
                <w:spacing w:val="-52"/>
                <w:sz w:val="21"/>
              </w:rPr>
              <w:t> </w:t>
            </w:r>
            <w:r>
              <w:rPr>
                <w:w w:val="100"/>
                <w:sz w:val="21"/>
              </w:rPr>
              <w:t>1</w:t>
            </w:r>
          </w:p>
          <w:p>
            <w:pPr>
              <w:pStyle w:val="TableParagraph"/>
              <w:spacing w:before="36"/>
              <w:ind w:left="126"/>
              <w:rPr>
                <w:sz w:val="21"/>
              </w:rPr>
            </w:pPr>
            <w:r>
              <w:rPr>
                <w:sz w:val="21"/>
              </w:rPr>
              <w:t>日的按 1 日计算。</w:t>
            </w:r>
          </w:p>
          <w:p>
            <w:pPr>
              <w:pStyle w:val="TableParagraph"/>
              <w:spacing w:before="36"/>
              <w:ind w:left="126"/>
              <w:rPr>
                <w:sz w:val="21"/>
              </w:rPr>
            </w:pPr>
            <w:r>
              <w:rPr>
                <w:sz w:val="21"/>
              </w:rPr>
              <w:t>净保费指投保人所支付的保险费扣除每张保险单平均承担的本公司各项费用</w:t>
            </w:r>
          </w:p>
          <w:p>
            <w:pPr>
              <w:pStyle w:val="TableParagraph"/>
              <w:spacing w:line="273" w:lineRule="auto" w:before="36"/>
              <w:ind w:left="126" w:right="308"/>
              <w:rPr>
                <w:sz w:val="21"/>
              </w:rPr>
            </w:pPr>
            <w:r>
              <w:rPr>
                <w:sz w:val="21"/>
              </w:rPr>
              <w:t>（</w:t>
            </w:r>
            <w:r>
              <w:rPr>
                <w:spacing w:val="-7"/>
                <w:sz w:val="21"/>
              </w:rPr>
              <w:t>含营业费用、代理费、各项税金、保险保障基金等</w:t>
            </w:r>
            <w:r>
              <w:rPr>
                <w:spacing w:val="-15"/>
                <w:sz w:val="21"/>
              </w:rPr>
              <w:t>）</w:t>
            </w:r>
            <w:r>
              <w:rPr>
                <w:spacing w:val="-5"/>
                <w:sz w:val="21"/>
              </w:rPr>
              <w:t>后的余额，扣除部分占</w:t>
            </w:r>
            <w:r>
              <w:rPr>
                <w:spacing w:val="-10"/>
                <w:sz w:val="21"/>
              </w:rPr>
              <w:t>所交保险费的 </w:t>
            </w:r>
            <w:r>
              <w:rPr>
                <w:sz w:val="21"/>
              </w:rPr>
              <w:t>35%。</w:t>
            </w:r>
          </w:p>
        </w:tc>
      </w:tr>
      <w:tr>
        <w:trPr>
          <w:trHeight w:val="682" w:hRule="atLeast"/>
        </w:trPr>
        <w:tc>
          <w:tcPr>
            <w:tcW w:w="781" w:type="dxa"/>
          </w:tcPr>
          <w:p>
            <w:pPr>
              <w:pStyle w:val="TableParagraph"/>
              <w:spacing w:before="27"/>
              <w:ind w:left="166" w:right="125"/>
              <w:jc w:val="center"/>
              <w:rPr>
                <w:rFonts w:ascii="微软雅黑"/>
                <w:b/>
                <w:sz w:val="21"/>
              </w:rPr>
            </w:pPr>
            <w:r>
              <w:rPr>
                <w:rFonts w:ascii="微软雅黑"/>
                <w:b/>
                <w:sz w:val="21"/>
              </w:rPr>
              <w:t>7.20</w:t>
            </w:r>
          </w:p>
        </w:tc>
        <w:tc>
          <w:tcPr>
            <w:tcW w:w="1974" w:type="dxa"/>
          </w:tcPr>
          <w:p>
            <w:pPr>
              <w:pStyle w:val="TableParagraph"/>
              <w:spacing w:before="27"/>
              <w:ind w:left="158"/>
              <w:rPr>
                <w:rFonts w:ascii="微软雅黑" w:eastAsia="微软雅黑" w:hint="eastAsia"/>
                <w:b/>
                <w:sz w:val="21"/>
              </w:rPr>
            </w:pPr>
            <w:r>
              <w:rPr>
                <w:rFonts w:ascii="微软雅黑" w:eastAsia="微软雅黑" w:hint="eastAsia"/>
                <w:b/>
                <w:sz w:val="21"/>
              </w:rPr>
              <w:t>有效身份证件</w:t>
            </w:r>
          </w:p>
        </w:tc>
        <w:tc>
          <w:tcPr>
            <w:tcW w:w="7515" w:type="dxa"/>
          </w:tcPr>
          <w:p>
            <w:pPr>
              <w:pStyle w:val="TableParagraph"/>
              <w:spacing w:line="310" w:lineRule="atLeast" w:before="54"/>
              <w:ind w:left="126" w:right="303"/>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bl>
    <w:sectPr>
      <w:pgSz w:w="11910" w:h="16840"/>
      <w:pgMar w:header="0" w:footer="375" w:top="1340" w:bottom="56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808.179993pt;width:13.15pt;height:12pt;mso-position-horizontal-relative:page;mso-position-vertical-relative:page;z-index:-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37" w:hanging="423"/>
      </w:pPr>
      <w:rPr>
        <w:rFonts w:hint="default"/>
      </w:rPr>
    </w:lvl>
    <w:lvl w:ilvl="2">
      <w:start w:val="0"/>
      <w:numFmt w:val="bullet"/>
      <w:lvlText w:val="•"/>
      <w:lvlJc w:val="left"/>
      <w:pPr>
        <w:ind w:left="1935" w:hanging="423"/>
      </w:pPr>
      <w:rPr>
        <w:rFonts w:hint="default"/>
      </w:rPr>
    </w:lvl>
    <w:lvl w:ilvl="3">
      <w:start w:val="0"/>
      <w:numFmt w:val="bullet"/>
      <w:lvlText w:val="•"/>
      <w:lvlJc w:val="left"/>
      <w:pPr>
        <w:ind w:left="2632" w:hanging="423"/>
      </w:pPr>
      <w:rPr>
        <w:rFonts w:hint="default"/>
      </w:rPr>
    </w:lvl>
    <w:lvl w:ilvl="4">
      <w:start w:val="0"/>
      <w:numFmt w:val="bullet"/>
      <w:lvlText w:val="•"/>
      <w:lvlJc w:val="left"/>
      <w:pPr>
        <w:ind w:left="3330" w:hanging="423"/>
      </w:pPr>
      <w:rPr>
        <w:rFonts w:hint="default"/>
      </w:rPr>
    </w:lvl>
    <w:lvl w:ilvl="5">
      <w:start w:val="0"/>
      <w:numFmt w:val="bullet"/>
      <w:lvlText w:val="•"/>
      <w:lvlJc w:val="left"/>
      <w:pPr>
        <w:ind w:left="4027" w:hanging="423"/>
      </w:pPr>
      <w:rPr>
        <w:rFonts w:hint="default"/>
      </w:rPr>
    </w:lvl>
    <w:lvl w:ilvl="6">
      <w:start w:val="0"/>
      <w:numFmt w:val="bullet"/>
      <w:lvlText w:val="•"/>
      <w:lvlJc w:val="left"/>
      <w:pPr>
        <w:ind w:left="4725" w:hanging="423"/>
      </w:pPr>
      <w:rPr>
        <w:rFonts w:hint="default"/>
      </w:rPr>
    </w:lvl>
    <w:lvl w:ilvl="7">
      <w:start w:val="0"/>
      <w:numFmt w:val="bullet"/>
      <w:lvlText w:val="•"/>
      <w:lvlJc w:val="left"/>
      <w:pPr>
        <w:ind w:left="5422" w:hanging="423"/>
      </w:pPr>
      <w:rPr>
        <w:rFonts w:hint="default"/>
      </w:rPr>
    </w:lvl>
    <w:lvl w:ilvl="8">
      <w:start w:val="0"/>
      <w:numFmt w:val="bullet"/>
      <w:lvlText w:val="•"/>
      <w:lvlJc w:val="left"/>
      <w:pPr>
        <w:ind w:left="6120" w:hanging="423"/>
      </w:pPr>
      <w:rPr>
        <w:rFonts w:hint="default"/>
      </w:rPr>
    </w:lvl>
  </w:abstractNum>
  <w:abstractNum w:abstractNumId="14">
    <w:multiLevelType w:val="hybridMultilevel"/>
    <w:lvl w:ilvl="0">
      <w:start w:val="1"/>
      <w:numFmt w:val="decimal"/>
      <w:lvlText w:val="（%1）"/>
      <w:lvlJc w:val="left"/>
      <w:pPr>
        <w:ind w:left="759" w:hanging="632"/>
        <w:jc w:val="left"/>
      </w:pPr>
      <w:rPr>
        <w:rFonts w:hint="default" w:ascii="宋体" w:hAnsi="宋体" w:eastAsia="宋体" w:cs="宋体"/>
        <w:w w:val="100"/>
        <w:sz w:val="21"/>
        <w:szCs w:val="21"/>
      </w:rPr>
    </w:lvl>
    <w:lvl w:ilvl="1">
      <w:start w:val="0"/>
      <w:numFmt w:val="bullet"/>
      <w:lvlText w:val="•"/>
      <w:lvlJc w:val="left"/>
      <w:pPr>
        <w:ind w:left="1435" w:hanging="632"/>
      </w:pPr>
      <w:rPr>
        <w:rFonts w:hint="default"/>
      </w:rPr>
    </w:lvl>
    <w:lvl w:ilvl="2">
      <w:start w:val="0"/>
      <w:numFmt w:val="bullet"/>
      <w:lvlText w:val="•"/>
      <w:lvlJc w:val="left"/>
      <w:pPr>
        <w:ind w:left="2110" w:hanging="632"/>
      </w:pPr>
      <w:rPr>
        <w:rFonts w:hint="default"/>
      </w:rPr>
    </w:lvl>
    <w:lvl w:ilvl="3">
      <w:start w:val="0"/>
      <w:numFmt w:val="bullet"/>
      <w:lvlText w:val="•"/>
      <w:lvlJc w:val="left"/>
      <w:pPr>
        <w:ind w:left="2786" w:hanging="632"/>
      </w:pPr>
      <w:rPr>
        <w:rFonts w:hint="default"/>
      </w:rPr>
    </w:lvl>
    <w:lvl w:ilvl="4">
      <w:start w:val="0"/>
      <w:numFmt w:val="bullet"/>
      <w:lvlText w:val="•"/>
      <w:lvlJc w:val="left"/>
      <w:pPr>
        <w:ind w:left="3461" w:hanging="632"/>
      </w:pPr>
      <w:rPr>
        <w:rFonts w:hint="default"/>
      </w:rPr>
    </w:lvl>
    <w:lvl w:ilvl="5">
      <w:start w:val="0"/>
      <w:numFmt w:val="bullet"/>
      <w:lvlText w:val="•"/>
      <w:lvlJc w:val="left"/>
      <w:pPr>
        <w:ind w:left="4137" w:hanging="632"/>
      </w:pPr>
      <w:rPr>
        <w:rFonts w:hint="default"/>
      </w:rPr>
    </w:lvl>
    <w:lvl w:ilvl="6">
      <w:start w:val="0"/>
      <w:numFmt w:val="bullet"/>
      <w:lvlText w:val="•"/>
      <w:lvlJc w:val="left"/>
      <w:pPr>
        <w:ind w:left="4812" w:hanging="632"/>
      </w:pPr>
      <w:rPr>
        <w:rFonts w:hint="default"/>
      </w:rPr>
    </w:lvl>
    <w:lvl w:ilvl="7">
      <w:start w:val="0"/>
      <w:numFmt w:val="bullet"/>
      <w:lvlText w:val="•"/>
      <w:lvlJc w:val="left"/>
      <w:pPr>
        <w:ind w:left="5487" w:hanging="632"/>
      </w:pPr>
      <w:rPr>
        <w:rFonts w:hint="default"/>
      </w:rPr>
    </w:lvl>
    <w:lvl w:ilvl="8">
      <w:start w:val="0"/>
      <w:numFmt w:val="bullet"/>
      <w:lvlText w:val="•"/>
      <w:lvlJc w:val="left"/>
      <w:pPr>
        <w:ind w:left="6163" w:hanging="632"/>
      </w:pPr>
      <w:rPr>
        <w:rFonts w:hint="default"/>
      </w:rPr>
    </w:lvl>
  </w:abstractNum>
  <w:abstractNum w:abstractNumId="13">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0"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41" w:hanging="423"/>
      </w:pPr>
      <w:rPr>
        <w:rFonts w:hint="default"/>
      </w:rPr>
    </w:lvl>
    <w:lvl w:ilvl="5">
      <w:start w:val="0"/>
      <w:numFmt w:val="bullet"/>
      <w:lvlText w:val="•"/>
      <w:lvlJc w:val="left"/>
      <w:pPr>
        <w:ind w:left="4037" w:hanging="423"/>
      </w:pPr>
      <w:rPr>
        <w:rFonts w:hint="default"/>
      </w:rPr>
    </w:lvl>
    <w:lvl w:ilvl="6">
      <w:start w:val="0"/>
      <w:numFmt w:val="bullet"/>
      <w:lvlText w:val="•"/>
      <w:lvlJc w:val="left"/>
      <w:pPr>
        <w:ind w:left="4732" w:hanging="423"/>
      </w:pPr>
      <w:rPr>
        <w:rFonts w:hint="default"/>
      </w:rPr>
    </w:lvl>
    <w:lvl w:ilvl="7">
      <w:start w:val="0"/>
      <w:numFmt w:val="bullet"/>
      <w:lvlText w:val="•"/>
      <w:lvlJc w:val="left"/>
      <w:pPr>
        <w:ind w:left="5427" w:hanging="423"/>
      </w:pPr>
      <w:rPr>
        <w:rFonts w:hint="default"/>
      </w:rPr>
    </w:lvl>
    <w:lvl w:ilvl="8">
      <w:start w:val="0"/>
      <w:numFmt w:val="bullet"/>
      <w:lvlText w:val="•"/>
      <w:lvlJc w:val="left"/>
      <w:pPr>
        <w:ind w:left="6123" w:hanging="423"/>
      </w:pPr>
      <w:rPr>
        <w:rFonts w:hint="default"/>
      </w:rPr>
    </w:lvl>
  </w:abstractNum>
  <w:abstractNum w:abstractNumId="12">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8"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7"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6" w:hanging="423"/>
      </w:pPr>
      <w:rPr>
        <w:rFonts w:hint="default"/>
      </w:rPr>
    </w:lvl>
  </w:abstractNum>
  <w:abstractNum w:abstractNumId="11">
    <w:multiLevelType w:val="hybridMultilevel"/>
    <w:lvl w:ilvl="0">
      <w:start w:val="1"/>
      <w:numFmt w:val="decimal"/>
      <w:lvlText w:val="(%1)"/>
      <w:lvlJc w:val="left"/>
      <w:pPr>
        <w:ind w:left="653" w:hanging="423"/>
        <w:jc w:val="left"/>
      </w:pPr>
      <w:rPr>
        <w:rFonts w:hint="default" w:ascii="宋体" w:hAnsi="宋体" w:eastAsia="宋体" w:cs="宋体"/>
        <w:w w:val="100"/>
        <w:sz w:val="21"/>
        <w:szCs w:val="21"/>
      </w:rPr>
    </w:lvl>
    <w:lvl w:ilvl="1">
      <w:start w:val="0"/>
      <w:numFmt w:val="bullet"/>
      <w:lvlText w:val="•"/>
      <w:lvlJc w:val="left"/>
      <w:pPr>
        <w:ind w:left="1345" w:hanging="423"/>
      </w:pPr>
      <w:rPr>
        <w:rFonts w:hint="default"/>
      </w:rPr>
    </w:lvl>
    <w:lvl w:ilvl="2">
      <w:start w:val="0"/>
      <w:numFmt w:val="bullet"/>
      <w:lvlText w:val="•"/>
      <w:lvlJc w:val="left"/>
      <w:pPr>
        <w:ind w:left="2031" w:hanging="423"/>
      </w:pPr>
      <w:rPr>
        <w:rFonts w:hint="default"/>
      </w:rPr>
    </w:lvl>
    <w:lvl w:ilvl="3">
      <w:start w:val="0"/>
      <w:numFmt w:val="bullet"/>
      <w:lvlText w:val="•"/>
      <w:lvlJc w:val="left"/>
      <w:pPr>
        <w:ind w:left="2716" w:hanging="423"/>
      </w:pPr>
      <w:rPr>
        <w:rFonts w:hint="default"/>
      </w:rPr>
    </w:lvl>
    <w:lvl w:ilvl="4">
      <w:start w:val="0"/>
      <w:numFmt w:val="bullet"/>
      <w:lvlText w:val="•"/>
      <w:lvlJc w:val="left"/>
      <w:pPr>
        <w:ind w:left="3402" w:hanging="423"/>
      </w:pPr>
      <w:rPr>
        <w:rFonts w:hint="default"/>
      </w:rPr>
    </w:lvl>
    <w:lvl w:ilvl="5">
      <w:start w:val="0"/>
      <w:numFmt w:val="bullet"/>
      <w:lvlText w:val="•"/>
      <w:lvlJc w:val="left"/>
      <w:pPr>
        <w:ind w:left="4088" w:hanging="423"/>
      </w:pPr>
      <w:rPr>
        <w:rFonts w:hint="default"/>
      </w:rPr>
    </w:lvl>
    <w:lvl w:ilvl="6">
      <w:start w:val="0"/>
      <w:numFmt w:val="bullet"/>
      <w:lvlText w:val="•"/>
      <w:lvlJc w:val="left"/>
      <w:pPr>
        <w:ind w:left="4773" w:hanging="423"/>
      </w:pPr>
      <w:rPr>
        <w:rFonts w:hint="default"/>
      </w:rPr>
    </w:lvl>
    <w:lvl w:ilvl="7">
      <w:start w:val="0"/>
      <w:numFmt w:val="bullet"/>
      <w:lvlText w:val="•"/>
      <w:lvlJc w:val="left"/>
      <w:pPr>
        <w:ind w:left="5459" w:hanging="423"/>
      </w:pPr>
      <w:rPr>
        <w:rFonts w:hint="default"/>
      </w:rPr>
    </w:lvl>
    <w:lvl w:ilvl="8">
      <w:start w:val="0"/>
      <w:numFmt w:val="bullet"/>
      <w:lvlText w:val="•"/>
      <w:lvlJc w:val="left"/>
      <w:pPr>
        <w:ind w:left="6144" w:hanging="423"/>
      </w:pPr>
      <w:rPr>
        <w:rFonts w:hint="default"/>
      </w:rPr>
    </w:lvl>
  </w:abstractNum>
  <w:abstractNum w:abstractNumId="10">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1"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42"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733" w:hanging="423"/>
      </w:pPr>
      <w:rPr>
        <w:rFonts w:hint="default"/>
      </w:rPr>
    </w:lvl>
    <w:lvl w:ilvl="7">
      <w:start w:val="0"/>
      <w:numFmt w:val="bullet"/>
      <w:lvlText w:val="•"/>
      <w:lvlJc w:val="left"/>
      <w:pPr>
        <w:ind w:left="5429" w:hanging="423"/>
      </w:pPr>
      <w:rPr>
        <w:rFonts w:hint="default"/>
      </w:rPr>
    </w:lvl>
    <w:lvl w:ilvl="8">
      <w:start w:val="0"/>
      <w:numFmt w:val="bullet"/>
      <w:lvlText w:val="•"/>
      <w:lvlJc w:val="left"/>
      <w:pPr>
        <w:ind w:left="6124" w:hanging="423"/>
      </w:pPr>
      <w:rPr>
        <w:rFonts w:hint="default"/>
      </w:rPr>
    </w:lvl>
  </w:abstractNum>
  <w:abstractNum w:abstractNumId="9">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8"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7"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6" w:hanging="423"/>
      </w:pPr>
      <w:rPr>
        <w:rFonts w:hint="default"/>
      </w:rPr>
    </w:lvl>
  </w:abstractNum>
  <w:abstractNum w:abstractNumId="8">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1"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342"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734" w:hanging="423"/>
      </w:pPr>
      <w:rPr>
        <w:rFonts w:hint="default"/>
      </w:rPr>
    </w:lvl>
    <w:lvl w:ilvl="7">
      <w:start w:val="0"/>
      <w:numFmt w:val="bullet"/>
      <w:lvlText w:val="•"/>
      <w:lvlJc w:val="left"/>
      <w:pPr>
        <w:ind w:left="5429" w:hanging="423"/>
      </w:pPr>
      <w:rPr>
        <w:rFonts w:hint="default"/>
      </w:rPr>
    </w:lvl>
    <w:lvl w:ilvl="8">
      <w:start w:val="0"/>
      <w:numFmt w:val="bullet"/>
      <w:lvlText w:val="•"/>
      <w:lvlJc w:val="left"/>
      <w:pPr>
        <w:ind w:left="6125" w:hanging="423"/>
      </w:pPr>
      <w:rPr>
        <w:rFonts w:hint="default"/>
      </w:rPr>
    </w:lvl>
  </w:abstractNum>
  <w:abstractNum w:abstractNumId="7">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9"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8"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7" w:hanging="423"/>
      </w:pPr>
      <w:rPr>
        <w:rFonts w:hint="default"/>
      </w:rPr>
    </w:lvl>
  </w:abstractNum>
  <w:abstractNum w:abstractNumId="6">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1"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342"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734" w:hanging="423"/>
      </w:pPr>
      <w:rPr>
        <w:rFonts w:hint="default"/>
      </w:rPr>
    </w:lvl>
    <w:lvl w:ilvl="7">
      <w:start w:val="0"/>
      <w:numFmt w:val="bullet"/>
      <w:lvlText w:val="•"/>
      <w:lvlJc w:val="left"/>
      <w:pPr>
        <w:ind w:left="5429" w:hanging="423"/>
      </w:pPr>
      <w:rPr>
        <w:rFonts w:hint="default"/>
      </w:rPr>
    </w:lvl>
    <w:lvl w:ilvl="8">
      <w:start w:val="0"/>
      <w:numFmt w:val="bullet"/>
      <w:lvlText w:val="•"/>
      <w:lvlJc w:val="left"/>
      <w:pPr>
        <w:ind w:left="6125" w:hanging="423"/>
      </w:pPr>
      <w:rPr>
        <w:rFonts w:hint="default"/>
      </w:rPr>
    </w:lvl>
  </w:abstractNum>
  <w:abstractNum w:abstractNumId="5">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1" w:hanging="423"/>
      </w:pPr>
      <w:rPr>
        <w:rFonts w:hint="default"/>
      </w:rPr>
    </w:lvl>
    <w:lvl w:ilvl="2">
      <w:start w:val="0"/>
      <w:numFmt w:val="bullet"/>
      <w:lvlText w:val="•"/>
      <w:lvlJc w:val="left"/>
      <w:pPr>
        <w:ind w:left="1942" w:hanging="423"/>
      </w:pPr>
      <w:rPr>
        <w:rFonts w:hint="default"/>
      </w:rPr>
    </w:lvl>
    <w:lvl w:ilvl="3">
      <w:start w:val="0"/>
      <w:numFmt w:val="bullet"/>
      <w:lvlText w:val="•"/>
      <w:lvlJc w:val="left"/>
      <w:pPr>
        <w:ind w:left="2633" w:hanging="423"/>
      </w:pPr>
      <w:rPr>
        <w:rFonts w:hint="default"/>
      </w:rPr>
    </w:lvl>
    <w:lvl w:ilvl="4">
      <w:start w:val="0"/>
      <w:numFmt w:val="bullet"/>
      <w:lvlText w:val="•"/>
      <w:lvlJc w:val="left"/>
      <w:pPr>
        <w:ind w:left="3325" w:hanging="423"/>
      </w:pPr>
      <w:rPr>
        <w:rFonts w:hint="default"/>
      </w:rPr>
    </w:lvl>
    <w:lvl w:ilvl="5">
      <w:start w:val="0"/>
      <w:numFmt w:val="bullet"/>
      <w:lvlText w:val="•"/>
      <w:lvlJc w:val="left"/>
      <w:pPr>
        <w:ind w:left="4016" w:hanging="423"/>
      </w:pPr>
      <w:rPr>
        <w:rFonts w:hint="default"/>
      </w:rPr>
    </w:lvl>
    <w:lvl w:ilvl="6">
      <w:start w:val="0"/>
      <w:numFmt w:val="bullet"/>
      <w:lvlText w:val="•"/>
      <w:lvlJc w:val="left"/>
      <w:pPr>
        <w:ind w:left="4707" w:hanging="423"/>
      </w:pPr>
      <w:rPr>
        <w:rFonts w:hint="default"/>
      </w:rPr>
    </w:lvl>
    <w:lvl w:ilvl="7">
      <w:start w:val="0"/>
      <w:numFmt w:val="bullet"/>
      <w:lvlText w:val="•"/>
      <w:lvlJc w:val="left"/>
      <w:pPr>
        <w:ind w:left="5399" w:hanging="423"/>
      </w:pPr>
      <w:rPr>
        <w:rFonts w:hint="default"/>
      </w:rPr>
    </w:lvl>
    <w:lvl w:ilvl="8">
      <w:start w:val="0"/>
      <w:numFmt w:val="bullet"/>
      <w:lvlText w:val="•"/>
      <w:lvlJc w:val="left"/>
      <w:pPr>
        <w:ind w:left="6090" w:hanging="423"/>
      </w:pPr>
      <w:rPr>
        <w:rFonts w:hint="default"/>
      </w:rPr>
    </w:lvl>
  </w:abstractNum>
  <w:abstractNum w:abstractNumId="4">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1" w:hanging="423"/>
      </w:pPr>
      <w:rPr>
        <w:rFonts w:hint="default"/>
      </w:rPr>
    </w:lvl>
    <w:lvl w:ilvl="2">
      <w:start w:val="0"/>
      <w:numFmt w:val="bullet"/>
      <w:lvlText w:val="•"/>
      <w:lvlJc w:val="left"/>
      <w:pPr>
        <w:ind w:left="1942" w:hanging="423"/>
      </w:pPr>
      <w:rPr>
        <w:rFonts w:hint="default"/>
      </w:rPr>
    </w:lvl>
    <w:lvl w:ilvl="3">
      <w:start w:val="0"/>
      <w:numFmt w:val="bullet"/>
      <w:lvlText w:val="•"/>
      <w:lvlJc w:val="left"/>
      <w:pPr>
        <w:ind w:left="2633" w:hanging="423"/>
      </w:pPr>
      <w:rPr>
        <w:rFonts w:hint="default"/>
      </w:rPr>
    </w:lvl>
    <w:lvl w:ilvl="4">
      <w:start w:val="0"/>
      <w:numFmt w:val="bullet"/>
      <w:lvlText w:val="•"/>
      <w:lvlJc w:val="left"/>
      <w:pPr>
        <w:ind w:left="3325" w:hanging="423"/>
      </w:pPr>
      <w:rPr>
        <w:rFonts w:hint="default"/>
      </w:rPr>
    </w:lvl>
    <w:lvl w:ilvl="5">
      <w:start w:val="0"/>
      <w:numFmt w:val="bullet"/>
      <w:lvlText w:val="•"/>
      <w:lvlJc w:val="left"/>
      <w:pPr>
        <w:ind w:left="4016" w:hanging="423"/>
      </w:pPr>
      <w:rPr>
        <w:rFonts w:hint="default"/>
      </w:rPr>
    </w:lvl>
    <w:lvl w:ilvl="6">
      <w:start w:val="0"/>
      <w:numFmt w:val="bullet"/>
      <w:lvlText w:val="•"/>
      <w:lvlJc w:val="left"/>
      <w:pPr>
        <w:ind w:left="4707" w:hanging="423"/>
      </w:pPr>
      <w:rPr>
        <w:rFonts w:hint="default"/>
      </w:rPr>
    </w:lvl>
    <w:lvl w:ilvl="7">
      <w:start w:val="0"/>
      <w:numFmt w:val="bullet"/>
      <w:lvlText w:val="•"/>
      <w:lvlJc w:val="left"/>
      <w:pPr>
        <w:ind w:left="5399" w:hanging="423"/>
      </w:pPr>
      <w:rPr>
        <w:rFonts w:hint="default"/>
      </w:rPr>
    </w:lvl>
    <w:lvl w:ilvl="8">
      <w:start w:val="0"/>
      <w:numFmt w:val="bullet"/>
      <w:lvlText w:val="•"/>
      <w:lvlJc w:val="left"/>
      <w:pPr>
        <w:ind w:left="6090" w:hanging="423"/>
      </w:pPr>
      <w:rPr>
        <w:rFonts w:hint="default"/>
      </w:rPr>
    </w:lvl>
  </w:abstractNum>
  <w:abstractNum w:abstractNumId="3">
    <w:multiLevelType w:val="hybridMultilevel"/>
    <w:lvl w:ilvl="0">
      <w:start w:val="7"/>
      <w:numFmt w:val="decimal"/>
      <w:lvlText w:val="%1"/>
      <w:lvlJc w:val="left"/>
      <w:pPr>
        <w:ind w:left="2894" w:hanging="740"/>
        <w:jc w:val="left"/>
      </w:pPr>
      <w:rPr>
        <w:rFonts w:hint="default"/>
      </w:rPr>
    </w:lvl>
    <w:lvl w:ilvl="1">
      <w:start w:val="1"/>
      <w:numFmt w:val="decimal"/>
      <w:lvlText w:val="%1.%2"/>
      <w:lvlJc w:val="left"/>
      <w:pPr>
        <w:ind w:left="2894" w:hanging="740"/>
        <w:jc w:val="left"/>
      </w:pPr>
      <w:rPr>
        <w:rFonts w:hint="default" w:ascii="微软雅黑" w:hAnsi="微软雅黑" w:eastAsia="微软雅黑" w:cs="微软雅黑"/>
        <w:b/>
        <w:bCs/>
        <w:w w:val="99"/>
        <w:sz w:val="21"/>
        <w:szCs w:val="21"/>
      </w:rPr>
    </w:lvl>
    <w:lvl w:ilvl="2">
      <w:start w:val="0"/>
      <w:numFmt w:val="bullet"/>
      <w:lvlText w:val="•"/>
      <w:lvlJc w:val="left"/>
      <w:pPr>
        <w:ind w:left="3618" w:hanging="740"/>
      </w:pPr>
      <w:rPr>
        <w:rFonts w:hint="default"/>
      </w:rPr>
    </w:lvl>
    <w:lvl w:ilvl="3">
      <w:start w:val="0"/>
      <w:numFmt w:val="bullet"/>
      <w:lvlText w:val="•"/>
      <w:lvlJc w:val="left"/>
      <w:pPr>
        <w:ind w:left="4336" w:hanging="740"/>
      </w:pPr>
      <w:rPr>
        <w:rFonts w:hint="default"/>
      </w:rPr>
    </w:lvl>
    <w:lvl w:ilvl="4">
      <w:start w:val="0"/>
      <w:numFmt w:val="bullet"/>
      <w:lvlText w:val="•"/>
      <w:lvlJc w:val="left"/>
      <w:pPr>
        <w:ind w:left="5055" w:hanging="740"/>
      </w:pPr>
      <w:rPr>
        <w:rFonts w:hint="default"/>
      </w:rPr>
    </w:lvl>
    <w:lvl w:ilvl="5">
      <w:start w:val="0"/>
      <w:numFmt w:val="bullet"/>
      <w:lvlText w:val="•"/>
      <w:lvlJc w:val="left"/>
      <w:pPr>
        <w:ind w:left="5773" w:hanging="740"/>
      </w:pPr>
      <w:rPr>
        <w:rFonts w:hint="default"/>
      </w:rPr>
    </w:lvl>
    <w:lvl w:ilvl="6">
      <w:start w:val="0"/>
      <w:numFmt w:val="bullet"/>
      <w:lvlText w:val="•"/>
      <w:lvlJc w:val="left"/>
      <w:pPr>
        <w:ind w:left="6492" w:hanging="740"/>
      </w:pPr>
      <w:rPr>
        <w:rFonts w:hint="default"/>
      </w:rPr>
    </w:lvl>
    <w:lvl w:ilvl="7">
      <w:start w:val="0"/>
      <w:numFmt w:val="bullet"/>
      <w:lvlText w:val="•"/>
      <w:lvlJc w:val="left"/>
      <w:pPr>
        <w:ind w:left="7210" w:hanging="740"/>
      </w:pPr>
      <w:rPr>
        <w:rFonts w:hint="default"/>
      </w:rPr>
    </w:lvl>
    <w:lvl w:ilvl="8">
      <w:start w:val="0"/>
      <w:numFmt w:val="bullet"/>
      <w:lvlText w:val="•"/>
      <w:lvlJc w:val="left"/>
      <w:pPr>
        <w:ind w:left="7929" w:hanging="740"/>
      </w:pPr>
      <w:rPr>
        <w:rFonts w:hint="default"/>
      </w:rPr>
    </w:lvl>
  </w:abstractNum>
  <w:abstractNum w:abstractNumId="2">
    <w:multiLevelType w:val="hybridMultilevel"/>
    <w:lvl w:ilvl="0">
      <w:start w:val="6"/>
      <w:numFmt w:val="decimal"/>
      <w:lvlText w:val="%1"/>
      <w:lvlJc w:val="left"/>
      <w:pPr>
        <w:ind w:left="2894" w:hanging="740"/>
        <w:jc w:val="left"/>
      </w:pPr>
      <w:rPr>
        <w:rFonts w:hint="default"/>
      </w:rPr>
    </w:lvl>
    <w:lvl w:ilvl="1">
      <w:start w:val="4"/>
      <w:numFmt w:val="decimal"/>
      <w:lvlText w:val="%1.%2"/>
      <w:lvlJc w:val="left"/>
      <w:pPr>
        <w:ind w:left="2894" w:hanging="740"/>
        <w:jc w:val="left"/>
      </w:pPr>
      <w:rPr>
        <w:rFonts w:hint="default" w:ascii="微软雅黑" w:hAnsi="微软雅黑" w:eastAsia="微软雅黑" w:cs="微软雅黑"/>
        <w:b/>
        <w:bCs/>
        <w:w w:val="99"/>
        <w:sz w:val="21"/>
        <w:szCs w:val="21"/>
      </w:rPr>
    </w:lvl>
    <w:lvl w:ilvl="2">
      <w:start w:val="0"/>
      <w:numFmt w:val="bullet"/>
      <w:lvlText w:val="•"/>
      <w:lvlJc w:val="left"/>
      <w:pPr>
        <w:ind w:left="4357" w:hanging="740"/>
      </w:pPr>
      <w:rPr>
        <w:rFonts w:hint="default"/>
      </w:rPr>
    </w:lvl>
    <w:lvl w:ilvl="3">
      <w:start w:val="0"/>
      <w:numFmt w:val="bullet"/>
      <w:lvlText w:val="•"/>
      <w:lvlJc w:val="left"/>
      <w:pPr>
        <w:ind w:left="5085" w:hanging="740"/>
      </w:pPr>
      <w:rPr>
        <w:rFonts w:hint="default"/>
      </w:rPr>
    </w:lvl>
    <w:lvl w:ilvl="4">
      <w:start w:val="0"/>
      <w:numFmt w:val="bullet"/>
      <w:lvlText w:val="•"/>
      <w:lvlJc w:val="left"/>
      <w:pPr>
        <w:ind w:left="5814" w:hanging="740"/>
      </w:pPr>
      <w:rPr>
        <w:rFonts w:hint="default"/>
      </w:rPr>
    </w:lvl>
    <w:lvl w:ilvl="5">
      <w:start w:val="0"/>
      <w:numFmt w:val="bullet"/>
      <w:lvlText w:val="•"/>
      <w:lvlJc w:val="left"/>
      <w:pPr>
        <w:ind w:left="6543" w:hanging="740"/>
      </w:pPr>
      <w:rPr>
        <w:rFonts w:hint="default"/>
      </w:rPr>
    </w:lvl>
    <w:lvl w:ilvl="6">
      <w:start w:val="0"/>
      <w:numFmt w:val="bullet"/>
      <w:lvlText w:val="•"/>
      <w:lvlJc w:val="left"/>
      <w:pPr>
        <w:ind w:left="7271" w:hanging="740"/>
      </w:pPr>
      <w:rPr>
        <w:rFonts w:hint="default"/>
      </w:rPr>
    </w:lvl>
    <w:lvl w:ilvl="7">
      <w:start w:val="0"/>
      <w:numFmt w:val="bullet"/>
      <w:lvlText w:val="•"/>
      <w:lvlJc w:val="left"/>
      <w:pPr>
        <w:ind w:left="8000" w:hanging="740"/>
      </w:pPr>
      <w:rPr>
        <w:rFonts w:hint="default"/>
      </w:rPr>
    </w:lvl>
    <w:lvl w:ilvl="8">
      <w:start w:val="0"/>
      <w:numFmt w:val="bullet"/>
      <w:lvlText w:val="•"/>
      <w:lvlJc w:val="left"/>
      <w:pPr>
        <w:ind w:left="8729" w:hanging="740"/>
      </w:pPr>
      <w:rPr>
        <w:rFonts w:hint="default"/>
      </w:rPr>
    </w:lvl>
  </w:abstractNum>
  <w:abstractNum w:abstractNumId="1">
    <w:multiLevelType w:val="hybridMultilevel"/>
    <w:lvl w:ilvl="0">
      <w:start w:val="7"/>
      <w:numFmt w:val="decimal"/>
      <w:lvlText w:val="%1"/>
      <w:lvlJc w:val="left"/>
      <w:pPr>
        <w:ind w:left="1813" w:hanging="420"/>
        <w:jc w:val="left"/>
      </w:pPr>
      <w:rPr>
        <w:rFonts w:hint="default"/>
      </w:rPr>
    </w:lvl>
    <w:lvl w:ilvl="1">
      <w:start w:val="1"/>
      <w:numFmt w:val="decimal"/>
      <w:lvlText w:val="%1.%2"/>
      <w:lvlJc w:val="left"/>
      <w:pPr>
        <w:ind w:left="1813" w:hanging="420"/>
        <w:jc w:val="left"/>
      </w:pPr>
      <w:rPr>
        <w:rFonts w:hint="default" w:ascii="宋体" w:hAnsi="宋体" w:eastAsia="宋体" w:cs="宋体"/>
        <w:w w:val="100"/>
        <w:sz w:val="21"/>
        <w:szCs w:val="21"/>
      </w:rPr>
    </w:lvl>
    <w:lvl w:ilvl="2">
      <w:start w:val="0"/>
      <w:numFmt w:val="bullet"/>
      <w:lvlText w:val="•"/>
      <w:lvlJc w:val="left"/>
      <w:pPr>
        <w:ind w:left="2646" w:hanging="420"/>
      </w:pPr>
      <w:rPr>
        <w:rFonts w:hint="default"/>
      </w:rPr>
    </w:lvl>
    <w:lvl w:ilvl="3">
      <w:start w:val="0"/>
      <w:numFmt w:val="bullet"/>
      <w:lvlText w:val="•"/>
      <w:lvlJc w:val="left"/>
      <w:pPr>
        <w:ind w:left="3059" w:hanging="420"/>
      </w:pPr>
      <w:rPr>
        <w:rFonts w:hint="default"/>
      </w:rPr>
    </w:lvl>
    <w:lvl w:ilvl="4">
      <w:start w:val="0"/>
      <w:numFmt w:val="bullet"/>
      <w:lvlText w:val="•"/>
      <w:lvlJc w:val="left"/>
      <w:pPr>
        <w:ind w:left="3472" w:hanging="420"/>
      </w:pPr>
      <w:rPr>
        <w:rFonts w:hint="default"/>
      </w:rPr>
    </w:lvl>
    <w:lvl w:ilvl="5">
      <w:start w:val="0"/>
      <w:numFmt w:val="bullet"/>
      <w:lvlText w:val="•"/>
      <w:lvlJc w:val="left"/>
      <w:pPr>
        <w:ind w:left="3886" w:hanging="420"/>
      </w:pPr>
      <w:rPr>
        <w:rFonts w:hint="default"/>
      </w:rPr>
    </w:lvl>
    <w:lvl w:ilvl="6">
      <w:start w:val="0"/>
      <w:numFmt w:val="bullet"/>
      <w:lvlText w:val="•"/>
      <w:lvlJc w:val="left"/>
      <w:pPr>
        <w:ind w:left="4299" w:hanging="420"/>
      </w:pPr>
      <w:rPr>
        <w:rFonts w:hint="default"/>
      </w:rPr>
    </w:lvl>
    <w:lvl w:ilvl="7">
      <w:start w:val="0"/>
      <w:numFmt w:val="bullet"/>
      <w:lvlText w:val="•"/>
      <w:lvlJc w:val="left"/>
      <w:pPr>
        <w:ind w:left="4712" w:hanging="420"/>
      </w:pPr>
      <w:rPr>
        <w:rFonts w:hint="default"/>
      </w:rPr>
    </w:lvl>
    <w:lvl w:ilvl="8">
      <w:start w:val="0"/>
      <w:numFmt w:val="bullet"/>
      <w:lvlText w:val="•"/>
      <w:lvlJc w:val="left"/>
      <w:pPr>
        <w:ind w:left="5125" w:hanging="42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1"/>
      <w:numFmt w:val="decimal"/>
      <w:lvlText w:val="%2."/>
      <w:lvlJc w:val="left"/>
      <w:pPr>
        <w:ind w:left="1740" w:hanging="284"/>
        <w:jc w:val="left"/>
      </w:pPr>
      <w:rPr>
        <w:rFonts w:hint="default" w:ascii="微软雅黑" w:hAnsi="微软雅黑" w:eastAsia="微软雅黑" w:cs="微软雅黑"/>
        <w:b/>
        <w:bCs/>
        <w:w w:val="111"/>
        <w:sz w:val="21"/>
        <w:szCs w:val="21"/>
      </w:rPr>
    </w:lvl>
    <w:lvl w:ilvl="2">
      <w:start w:val="1"/>
      <w:numFmt w:val="decimal"/>
      <w:lvlText w:val="%2.%3"/>
      <w:lvlJc w:val="left"/>
      <w:pPr>
        <w:ind w:left="2191" w:hanging="420"/>
        <w:jc w:val="left"/>
      </w:pPr>
      <w:rPr>
        <w:rFonts w:hint="default" w:ascii="宋体" w:hAnsi="宋体" w:eastAsia="宋体" w:cs="宋体"/>
        <w:w w:val="100"/>
        <w:sz w:val="21"/>
        <w:szCs w:val="21"/>
      </w:rPr>
    </w:lvl>
    <w:lvl w:ilvl="3">
      <w:start w:val="0"/>
      <w:numFmt w:val="bullet"/>
      <w:lvlText w:val="•"/>
      <w:lvlJc w:val="left"/>
      <w:pPr>
        <w:ind w:left="2484" w:hanging="420"/>
      </w:pPr>
      <w:rPr>
        <w:rFonts w:hint="default"/>
      </w:rPr>
    </w:lvl>
    <w:lvl w:ilvl="4">
      <w:start w:val="0"/>
      <w:numFmt w:val="bullet"/>
      <w:lvlText w:val="•"/>
      <w:lvlJc w:val="left"/>
      <w:pPr>
        <w:ind w:left="2768" w:hanging="420"/>
      </w:pPr>
      <w:rPr>
        <w:rFonts w:hint="default"/>
      </w:rPr>
    </w:lvl>
    <w:lvl w:ilvl="5">
      <w:start w:val="0"/>
      <w:numFmt w:val="bullet"/>
      <w:lvlText w:val="•"/>
      <w:lvlJc w:val="left"/>
      <w:pPr>
        <w:ind w:left="3052" w:hanging="420"/>
      </w:pPr>
      <w:rPr>
        <w:rFonts w:hint="default"/>
      </w:rPr>
    </w:lvl>
    <w:lvl w:ilvl="6">
      <w:start w:val="0"/>
      <w:numFmt w:val="bullet"/>
      <w:lvlText w:val="•"/>
      <w:lvlJc w:val="left"/>
      <w:pPr>
        <w:ind w:left="3337" w:hanging="420"/>
      </w:pPr>
      <w:rPr>
        <w:rFonts w:hint="default"/>
      </w:rPr>
    </w:lvl>
    <w:lvl w:ilvl="7">
      <w:start w:val="0"/>
      <w:numFmt w:val="bullet"/>
      <w:lvlText w:val="•"/>
      <w:lvlJc w:val="left"/>
      <w:pPr>
        <w:ind w:left="3621" w:hanging="420"/>
      </w:pPr>
      <w:rPr>
        <w:rFonts w:hint="default"/>
      </w:rPr>
    </w:lvl>
    <w:lvl w:ilvl="8">
      <w:start w:val="0"/>
      <w:numFmt w:val="bullet"/>
      <w:lvlText w:val="•"/>
      <w:lvlJc w:val="left"/>
      <w:pPr>
        <w:ind w:left="3905"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 w:right="932"/>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24" w:lineRule="exact"/>
      <w:ind w:left="1740" w:hanging="28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2191" w:hanging="420"/>
    </w:pPr>
    <w:rPr>
      <w:rFonts w:ascii="宋体" w:hAnsi="宋体" w:eastAsia="宋体" w:cs="宋体"/>
    </w:rPr>
  </w:style>
  <w:style w:styleId="TableParagraph" w:type="paragraph">
    <w:name w:val="Table Paragraph"/>
    <w:basedOn w:val="Normal"/>
    <w:uiPriority w:val="1"/>
    <w:qFormat/>
    <w:pPr>
      <w:ind w:left="1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2018-10-20T08:27:09Z</dcterms:created>
  <dcterms:modified xsi:type="dcterms:W3CDTF">2018-10-20T08:27:09Z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2015-09-08T00:00:00Z</vt:filetime>
  </property>
  <property fmtid="{D5CDD505-2E9C-101B-9397-08002B2CF9AE}" pid="3" name="Creator">
    <vt:lpwstr>Microsoft® Word 2013</vt:lpwstr>
  </property>
  <property fmtid="{D5CDD505-2E9C-101B-9397-08002B2CF9AE}" pid="4" name="LastSaved">
    <vt:filetime>2018-10-20T00:00:00Z</vt:filetime>
  </property>
</Properties>
</file>