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ind w:left="0" w:right="107" w:firstLine="0"/>
        <w:jc w:val="right"/>
        <w:rPr>
          <w:sz w:val="18"/>
        </w:rPr>
      </w:pPr>
      <w:r>
        <w:rPr/>
        <w:drawing>
          <wp:anchor distT="0" distB="0" distL="0" distR="0" allowOverlap="1" layoutInCell="1" locked="0" behindDoc="0" simplePos="0" relativeHeight="0">
            <wp:simplePos x="0" y="0"/>
            <wp:positionH relativeFrom="page">
              <wp:posOffset>6169152</wp:posOffset>
            </wp:positionH>
            <wp:positionV relativeFrom="paragraph">
              <wp:posOffset>242722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8"/>
        </w:rPr>
        <w:t>国华人寿[2009]疾病保险 084 号</w:t>
      </w:r>
    </w:p>
    <w:p>
      <w:pPr>
        <w:pStyle w:val="BodyText"/>
        <w:spacing w:before="9"/>
        <w:rPr>
          <w:sz w:val="26"/>
        </w:rPr>
      </w:pPr>
    </w:p>
    <w:p>
      <w:pPr>
        <w:spacing w:after="0"/>
        <w:rPr>
          <w:sz w:val="26"/>
        </w:rPr>
        <w:sectPr>
          <w:type w:val="continuous"/>
          <w:pgSz w:w="11910" w:h="16840"/>
          <w:pgMar w:top="520" w:bottom="280" w:left="640" w:right="820"/>
        </w:sectPr>
      </w:pPr>
    </w:p>
    <w:p>
      <w:pPr>
        <w:pStyle w:val="Heading1"/>
        <w:spacing w:line="507" w:lineRule="exact"/>
      </w:pPr>
      <w:r>
        <w:rPr/>
        <w:t>国华附加万能提前给付重大疾病保险条款</w:t>
      </w:r>
    </w:p>
    <w:p>
      <w:pPr>
        <w:spacing w:before="71"/>
        <w:ind w:left="2429"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0"/>
        <w:rPr>
          <w:rFonts w:ascii="微软雅黑"/>
          <w:b/>
          <w:sz w:val="18"/>
        </w:rPr>
      </w:pPr>
      <w:r>
        <w:rPr/>
        <w:br w:type="column"/>
      </w:r>
      <w:r>
        <w:rPr>
          <w:rFonts w:ascii="微软雅黑"/>
          <w:b/>
          <w:sz w:val="18"/>
        </w:rPr>
      </w:r>
    </w:p>
    <w:p>
      <w:pPr>
        <w:pStyle w:val="BodyText"/>
        <w:spacing w:before="0"/>
        <w:rPr>
          <w:rFonts w:ascii="微软雅黑"/>
          <w:b/>
          <w:sz w:val="18"/>
        </w:rPr>
      </w:pPr>
    </w:p>
    <w:p>
      <w:pPr>
        <w:pStyle w:val="BodyText"/>
        <w:spacing w:before="5"/>
        <w:rPr>
          <w:rFonts w:ascii="微软雅黑"/>
          <w:b/>
          <w:sz w:val="20"/>
        </w:rPr>
      </w:pPr>
    </w:p>
    <w:p>
      <w:pPr>
        <w:spacing w:before="0"/>
        <w:ind w:left="298" w:right="0" w:firstLine="0"/>
        <w:jc w:val="left"/>
        <w:rPr>
          <w:sz w:val="18"/>
        </w:rPr>
      </w:pPr>
      <w:r>
        <w:rPr>
          <w:sz w:val="18"/>
        </w:rPr>
        <w:t>请扫描以查询验证条款</w:t>
      </w:r>
    </w:p>
    <w:p>
      <w:pPr>
        <w:spacing w:after="0"/>
        <w:jc w:val="left"/>
        <w:rPr>
          <w:sz w:val="18"/>
        </w:rPr>
        <w:sectPr>
          <w:type w:val="continuous"/>
          <w:pgSz w:w="11910" w:h="16840"/>
          <w:pgMar w:top="520" w:bottom="280" w:left="640" w:right="820"/>
          <w:cols w:num="2" w:equalWidth="0">
            <w:col w:w="8197" w:space="40"/>
            <w:col w:w="2213"/>
          </w:cols>
        </w:sectPr>
      </w:pPr>
    </w:p>
    <w:p>
      <w:pPr>
        <w:spacing w:before="36"/>
        <w:ind w:left="605" w:right="0" w:firstLine="0"/>
        <w:jc w:val="left"/>
        <w:rPr>
          <w:sz w:val="20"/>
        </w:rPr>
      </w:pPr>
      <w:r>
        <w:rPr/>
        <w:drawing>
          <wp:anchor distT="0" distB="0" distL="0" distR="0" allowOverlap="1" layoutInCell="1" locked="0" behindDoc="1" simplePos="0" relativeHeight="268388015">
            <wp:simplePos x="0" y="0"/>
            <wp:positionH relativeFrom="page">
              <wp:posOffset>481583</wp:posOffset>
            </wp:positionH>
            <wp:positionV relativeFrom="paragraph">
              <wp:posOffset>306831</wp:posOffset>
            </wp:positionV>
            <wp:extent cx="6411468" cy="825550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411468" cy="8255508"/>
                    </a:xfrm>
                    <a:prstGeom prst="rect">
                      <a:avLst/>
                    </a:prstGeom>
                  </pic:spPr>
                </pic:pic>
              </a:graphicData>
            </a:graphic>
          </wp:anchor>
        </w:drawing>
      </w:r>
      <w:r>
        <w:rPr>
          <w:spacing w:val="-141"/>
          <w:w w:val="100"/>
          <w:sz w:val="20"/>
        </w:rPr>
        <w:t>本</w:t>
      </w:r>
      <w:r>
        <w:rPr>
          <w:spacing w:val="-60"/>
          <w:w w:val="100"/>
          <w:position w:val="-7"/>
          <w:sz w:val="20"/>
        </w:rPr>
        <w:t>．</w:t>
      </w:r>
      <w:r>
        <w:rPr>
          <w:spacing w:val="-141"/>
          <w:w w:val="100"/>
          <w:sz w:val="20"/>
        </w:rPr>
        <w:t>阅</w:t>
      </w:r>
      <w:r>
        <w:rPr>
          <w:spacing w:val="-60"/>
          <w:w w:val="100"/>
          <w:position w:val="-7"/>
          <w:sz w:val="20"/>
        </w:rPr>
        <w:t>．</w:t>
      </w:r>
      <w:r>
        <w:rPr>
          <w:spacing w:val="-141"/>
          <w:w w:val="100"/>
          <w:sz w:val="20"/>
        </w:rPr>
        <w:t>读</w:t>
      </w:r>
      <w:r>
        <w:rPr>
          <w:spacing w:val="-60"/>
          <w:w w:val="100"/>
          <w:position w:val="-7"/>
          <w:sz w:val="20"/>
        </w:rPr>
        <w:t>．</w:t>
      </w:r>
      <w:r>
        <w:rPr>
          <w:spacing w:val="-142"/>
          <w:w w:val="100"/>
          <w:sz w:val="20"/>
        </w:rPr>
        <w:t>指</w:t>
      </w:r>
      <w:r>
        <w:rPr>
          <w:spacing w:val="-60"/>
          <w:w w:val="100"/>
          <w:position w:val="-7"/>
          <w:sz w:val="20"/>
        </w:rPr>
        <w:t>．</w:t>
      </w:r>
      <w:r>
        <w:rPr>
          <w:spacing w:val="-141"/>
          <w:w w:val="100"/>
          <w:sz w:val="20"/>
        </w:rPr>
        <w:t>引</w:t>
      </w:r>
      <w:r>
        <w:rPr>
          <w:spacing w:val="-60"/>
          <w:w w:val="100"/>
          <w:position w:val="-7"/>
          <w:sz w:val="20"/>
        </w:rPr>
        <w:t>．</w:t>
      </w:r>
      <w:r>
        <w:rPr>
          <w:spacing w:val="-142"/>
          <w:w w:val="100"/>
          <w:sz w:val="20"/>
        </w:rPr>
        <w:t>旨</w:t>
      </w:r>
      <w:r>
        <w:rPr>
          <w:spacing w:val="-60"/>
          <w:w w:val="100"/>
          <w:position w:val="-7"/>
          <w:sz w:val="20"/>
        </w:rPr>
        <w:t>．</w:t>
      </w:r>
      <w:r>
        <w:rPr>
          <w:spacing w:val="-141"/>
          <w:w w:val="100"/>
          <w:sz w:val="20"/>
        </w:rPr>
        <w:t>在</w:t>
      </w:r>
      <w:r>
        <w:rPr>
          <w:spacing w:val="-60"/>
          <w:w w:val="100"/>
          <w:position w:val="-7"/>
          <w:sz w:val="20"/>
        </w:rPr>
        <w:t>．</w:t>
      </w:r>
      <w:r>
        <w:rPr>
          <w:spacing w:val="-141"/>
          <w:w w:val="100"/>
          <w:sz w:val="20"/>
        </w:rPr>
        <w:t>帮</w:t>
      </w:r>
      <w:r>
        <w:rPr>
          <w:spacing w:val="-60"/>
          <w:w w:val="100"/>
          <w:position w:val="-7"/>
          <w:sz w:val="20"/>
        </w:rPr>
        <w:t>．</w:t>
      </w:r>
      <w:r>
        <w:rPr>
          <w:spacing w:val="-141"/>
          <w:w w:val="100"/>
          <w:sz w:val="20"/>
        </w:rPr>
        <w:t>助</w:t>
      </w:r>
      <w:r>
        <w:rPr>
          <w:spacing w:val="-60"/>
          <w:w w:val="100"/>
          <w:position w:val="-7"/>
          <w:sz w:val="20"/>
        </w:rPr>
        <w:t>．</w:t>
      </w:r>
      <w:r>
        <w:rPr>
          <w:spacing w:val="-142"/>
          <w:w w:val="100"/>
          <w:sz w:val="20"/>
        </w:rPr>
        <w:t>您</w:t>
      </w:r>
      <w:r>
        <w:rPr>
          <w:spacing w:val="-60"/>
          <w:w w:val="100"/>
          <w:position w:val="-7"/>
          <w:sz w:val="20"/>
        </w:rPr>
        <w:t>．</w:t>
      </w:r>
      <w:r>
        <w:rPr>
          <w:spacing w:val="-141"/>
          <w:w w:val="100"/>
          <w:sz w:val="20"/>
        </w:rPr>
        <w:t>理</w:t>
      </w:r>
      <w:r>
        <w:rPr>
          <w:spacing w:val="-60"/>
          <w:w w:val="100"/>
          <w:position w:val="-7"/>
          <w:sz w:val="20"/>
        </w:rPr>
        <w:t>．</w:t>
      </w:r>
      <w:r>
        <w:rPr>
          <w:spacing w:val="-142"/>
          <w:w w:val="100"/>
          <w:sz w:val="20"/>
        </w:rPr>
        <w:t>解</w:t>
      </w:r>
      <w:r>
        <w:rPr>
          <w:spacing w:val="-60"/>
          <w:w w:val="100"/>
          <w:position w:val="-7"/>
          <w:sz w:val="20"/>
        </w:rPr>
        <w:t>．</w:t>
      </w:r>
      <w:r>
        <w:rPr>
          <w:spacing w:val="-141"/>
          <w:w w:val="100"/>
          <w:sz w:val="20"/>
        </w:rPr>
        <w:t>条</w:t>
      </w:r>
      <w:r>
        <w:rPr>
          <w:spacing w:val="-60"/>
          <w:w w:val="100"/>
          <w:position w:val="-7"/>
          <w:sz w:val="20"/>
        </w:rPr>
        <w:t>．</w:t>
      </w:r>
      <w:r>
        <w:rPr>
          <w:spacing w:val="-141"/>
          <w:w w:val="100"/>
          <w:sz w:val="20"/>
        </w:rPr>
        <w:t>款</w:t>
      </w:r>
      <w:r>
        <w:rPr>
          <w:spacing w:val="-60"/>
          <w:w w:val="100"/>
          <w:position w:val="-7"/>
          <w:sz w:val="20"/>
        </w:rPr>
        <w:t>．</w:t>
      </w:r>
      <w:r>
        <w:rPr>
          <w:spacing w:val="-141"/>
          <w:w w:val="100"/>
          <w:sz w:val="20"/>
        </w:rPr>
        <w:t>，</w:t>
      </w:r>
      <w:r>
        <w:rPr>
          <w:spacing w:val="-60"/>
          <w:w w:val="100"/>
          <w:position w:val="-7"/>
          <w:sz w:val="20"/>
        </w:rPr>
        <w:t>．</w:t>
      </w:r>
      <w:r>
        <w:rPr>
          <w:spacing w:val="-142"/>
          <w:w w:val="100"/>
          <w:sz w:val="20"/>
        </w:rPr>
        <w:t>对</w:t>
      </w:r>
      <w:r>
        <w:rPr>
          <w:spacing w:val="-60"/>
          <w:w w:val="100"/>
          <w:position w:val="-7"/>
          <w:sz w:val="20"/>
        </w:rPr>
        <w:t>．</w:t>
      </w:r>
      <w:r>
        <w:rPr>
          <w:b/>
          <w:spacing w:val="-141"/>
          <w:w w:val="99"/>
          <w:sz w:val="20"/>
        </w:rPr>
        <w:t>“</w:t>
      </w:r>
      <w:r>
        <w:rPr>
          <w:spacing w:val="-60"/>
          <w:w w:val="100"/>
          <w:position w:val="-7"/>
          <w:sz w:val="20"/>
        </w:rPr>
        <w:t>．</w:t>
      </w:r>
      <w:r>
        <w:rPr>
          <w:b/>
          <w:spacing w:val="-141"/>
          <w:w w:val="99"/>
          <w:sz w:val="20"/>
        </w:rPr>
        <w:t>国</w:t>
      </w:r>
      <w:r>
        <w:rPr>
          <w:spacing w:val="-60"/>
          <w:w w:val="100"/>
          <w:position w:val="-7"/>
          <w:sz w:val="20"/>
        </w:rPr>
        <w:t>．</w:t>
      </w:r>
      <w:r>
        <w:rPr>
          <w:b/>
          <w:spacing w:val="-141"/>
          <w:w w:val="99"/>
          <w:sz w:val="20"/>
        </w:rPr>
        <w:t>华</w:t>
      </w:r>
      <w:r>
        <w:rPr>
          <w:spacing w:val="-59"/>
          <w:w w:val="100"/>
          <w:position w:val="-7"/>
          <w:sz w:val="20"/>
        </w:rPr>
        <w:t>．</w:t>
      </w:r>
      <w:r>
        <w:rPr>
          <w:b/>
          <w:spacing w:val="-141"/>
          <w:w w:val="99"/>
          <w:sz w:val="20"/>
        </w:rPr>
        <w:t>附</w:t>
      </w:r>
      <w:r>
        <w:rPr>
          <w:spacing w:val="-60"/>
          <w:w w:val="100"/>
          <w:position w:val="-7"/>
          <w:sz w:val="20"/>
        </w:rPr>
        <w:t>．</w:t>
      </w:r>
      <w:r>
        <w:rPr>
          <w:b/>
          <w:spacing w:val="-141"/>
          <w:w w:val="99"/>
          <w:sz w:val="20"/>
        </w:rPr>
        <w:t>加</w:t>
      </w:r>
      <w:r>
        <w:rPr>
          <w:spacing w:val="-60"/>
          <w:w w:val="100"/>
          <w:position w:val="-7"/>
          <w:sz w:val="20"/>
        </w:rPr>
        <w:t>．</w:t>
      </w:r>
      <w:r>
        <w:rPr>
          <w:b/>
          <w:spacing w:val="-141"/>
          <w:w w:val="99"/>
          <w:sz w:val="20"/>
        </w:rPr>
        <w:t>万</w:t>
      </w:r>
      <w:r>
        <w:rPr>
          <w:spacing w:val="-59"/>
          <w:w w:val="100"/>
          <w:position w:val="-7"/>
          <w:sz w:val="20"/>
        </w:rPr>
        <w:t>．</w:t>
      </w:r>
      <w:r>
        <w:rPr>
          <w:b/>
          <w:spacing w:val="-141"/>
          <w:w w:val="99"/>
          <w:sz w:val="20"/>
        </w:rPr>
        <w:t>能</w:t>
      </w:r>
      <w:r>
        <w:rPr>
          <w:spacing w:val="-60"/>
          <w:w w:val="100"/>
          <w:position w:val="-7"/>
          <w:sz w:val="20"/>
        </w:rPr>
        <w:t>．</w:t>
      </w:r>
      <w:r>
        <w:rPr>
          <w:b/>
          <w:spacing w:val="-141"/>
          <w:w w:val="99"/>
          <w:sz w:val="20"/>
        </w:rPr>
        <w:t>提</w:t>
      </w:r>
      <w:r>
        <w:rPr>
          <w:spacing w:val="-60"/>
          <w:w w:val="100"/>
          <w:position w:val="-7"/>
          <w:sz w:val="20"/>
        </w:rPr>
        <w:t>．</w:t>
      </w:r>
      <w:r>
        <w:rPr>
          <w:b/>
          <w:spacing w:val="-141"/>
          <w:w w:val="99"/>
          <w:sz w:val="20"/>
        </w:rPr>
        <w:t>前</w:t>
      </w:r>
      <w:r>
        <w:rPr>
          <w:spacing w:val="-59"/>
          <w:w w:val="100"/>
          <w:position w:val="-7"/>
          <w:sz w:val="20"/>
        </w:rPr>
        <w:t>．</w:t>
      </w:r>
      <w:r>
        <w:rPr>
          <w:b/>
          <w:spacing w:val="-141"/>
          <w:w w:val="99"/>
          <w:sz w:val="20"/>
        </w:rPr>
        <w:t>给</w:t>
      </w:r>
      <w:r>
        <w:rPr>
          <w:spacing w:val="-60"/>
          <w:w w:val="100"/>
          <w:position w:val="-7"/>
          <w:sz w:val="20"/>
        </w:rPr>
        <w:t>．</w:t>
      </w:r>
      <w:r>
        <w:rPr>
          <w:b/>
          <w:spacing w:val="-141"/>
          <w:w w:val="99"/>
          <w:sz w:val="20"/>
        </w:rPr>
        <w:t>付</w:t>
      </w:r>
      <w:r>
        <w:rPr>
          <w:spacing w:val="-60"/>
          <w:w w:val="100"/>
          <w:position w:val="-7"/>
          <w:sz w:val="20"/>
        </w:rPr>
        <w:t>．</w:t>
      </w:r>
      <w:r>
        <w:rPr>
          <w:b/>
          <w:spacing w:val="-141"/>
          <w:w w:val="99"/>
          <w:sz w:val="20"/>
        </w:rPr>
        <w:t>重</w:t>
      </w:r>
      <w:r>
        <w:rPr>
          <w:spacing w:val="-59"/>
          <w:w w:val="100"/>
          <w:position w:val="-7"/>
          <w:sz w:val="20"/>
        </w:rPr>
        <w:t>．</w:t>
      </w:r>
      <w:r>
        <w:rPr>
          <w:b/>
          <w:spacing w:val="-141"/>
          <w:w w:val="99"/>
          <w:sz w:val="20"/>
        </w:rPr>
        <w:t>大</w:t>
      </w:r>
      <w:r>
        <w:rPr>
          <w:spacing w:val="-60"/>
          <w:w w:val="100"/>
          <w:position w:val="-7"/>
          <w:sz w:val="20"/>
        </w:rPr>
        <w:t>．</w:t>
      </w:r>
      <w:r>
        <w:rPr>
          <w:b/>
          <w:spacing w:val="-141"/>
          <w:w w:val="99"/>
          <w:sz w:val="20"/>
        </w:rPr>
        <w:t>疾</w:t>
      </w:r>
      <w:r>
        <w:rPr>
          <w:spacing w:val="-60"/>
          <w:w w:val="100"/>
          <w:position w:val="-7"/>
          <w:sz w:val="20"/>
        </w:rPr>
        <w:t>．</w:t>
      </w:r>
      <w:r>
        <w:rPr>
          <w:b/>
          <w:spacing w:val="-141"/>
          <w:w w:val="99"/>
          <w:sz w:val="20"/>
        </w:rPr>
        <w:t>病</w:t>
      </w:r>
      <w:r>
        <w:rPr>
          <w:spacing w:val="-59"/>
          <w:w w:val="100"/>
          <w:position w:val="-7"/>
          <w:sz w:val="20"/>
        </w:rPr>
        <w:t>．</w:t>
      </w:r>
      <w:r>
        <w:rPr>
          <w:b/>
          <w:spacing w:val="-141"/>
          <w:w w:val="99"/>
          <w:sz w:val="20"/>
        </w:rPr>
        <w:t>保</w:t>
      </w:r>
      <w:r>
        <w:rPr>
          <w:spacing w:val="-60"/>
          <w:w w:val="100"/>
          <w:position w:val="-7"/>
          <w:sz w:val="20"/>
        </w:rPr>
        <w:t>．</w:t>
      </w:r>
      <w:r>
        <w:rPr>
          <w:b/>
          <w:spacing w:val="-141"/>
          <w:w w:val="99"/>
          <w:sz w:val="20"/>
        </w:rPr>
        <w:t>险</w:t>
      </w:r>
      <w:r>
        <w:rPr>
          <w:spacing w:val="-60"/>
          <w:w w:val="100"/>
          <w:position w:val="-7"/>
          <w:sz w:val="20"/>
        </w:rPr>
        <w:t>．</w:t>
      </w:r>
      <w:r>
        <w:rPr>
          <w:b/>
          <w:spacing w:val="-141"/>
          <w:w w:val="99"/>
          <w:sz w:val="20"/>
        </w:rPr>
        <w:t>合</w:t>
      </w:r>
      <w:r>
        <w:rPr>
          <w:spacing w:val="-59"/>
          <w:w w:val="100"/>
          <w:position w:val="-7"/>
          <w:sz w:val="20"/>
        </w:rPr>
        <w:t>．</w:t>
      </w:r>
      <w:r>
        <w:rPr>
          <w:b/>
          <w:spacing w:val="-141"/>
          <w:w w:val="99"/>
          <w:sz w:val="20"/>
        </w:rPr>
        <w:t>同</w:t>
      </w:r>
      <w:r>
        <w:rPr>
          <w:spacing w:val="-60"/>
          <w:w w:val="100"/>
          <w:position w:val="-7"/>
          <w:sz w:val="20"/>
        </w:rPr>
        <w:t>．</w:t>
      </w:r>
      <w:r>
        <w:rPr>
          <w:spacing w:val="-142"/>
          <w:w w:val="100"/>
          <w:sz w:val="20"/>
        </w:rPr>
        <w:t>”</w:t>
      </w:r>
      <w:r>
        <w:rPr>
          <w:spacing w:val="-60"/>
          <w:w w:val="100"/>
          <w:position w:val="-7"/>
          <w:sz w:val="20"/>
        </w:rPr>
        <w:t>．</w:t>
      </w:r>
      <w:r>
        <w:rPr>
          <w:spacing w:val="-141"/>
          <w:w w:val="100"/>
          <w:sz w:val="20"/>
        </w:rPr>
        <w:t>内</w:t>
      </w:r>
      <w:r>
        <w:rPr>
          <w:spacing w:val="-60"/>
          <w:w w:val="100"/>
          <w:position w:val="-7"/>
          <w:sz w:val="20"/>
        </w:rPr>
        <w:t>．</w:t>
      </w:r>
      <w:r>
        <w:rPr>
          <w:spacing w:val="-141"/>
          <w:w w:val="100"/>
          <w:sz w:val="20"/>
        </w:rPr>
        <w:t>容</w:t>
      </w:r>
      <w:r>
        <w:rPr>
          <w:spacing w:val="-60"/>
          <w:w w:val="100"/>
          <w:position w:val="-7"/>
          <w:sz w:val="20"/>
        </w:rPr>
        <w:t>．</w:t>
      </w:r>
      <w:r>
        <w:rPr>
          <w:spacing w:val="-141"/>
          <w:w w:val="100"/>
          <w:sz w:val="20"/>
        </w:rPr>
        <w:t>的</w:t>
      </w:r>
      <w:r>
        <w:rPr>
          <w:spacing w:val="-60"/>
          <w:w w:val="100"/>
          <w:position w:val="-7"/>
          <w:sz w:val="20"/>
        </w:rPr>
        <w:t>．</w:t>
      </w:r>
      <w:r>
        <w:rPr>
          <w:spacing w:val="-142"/>
          <w:w w:val="100"/>
          <w:sz w:val="20"/>
        </w:rPr>
        <w:t>解</w:t>
      </w:r>
      <w:r>
        <w:rPr>
          <w:spacing w:val="-60"/>
          <w:w w:val="100"/>
          <w:position w:val="-7"/>
          <w:sz w:val="20"/>
        </w:rPr>
        <w:t>．</w:t>
      </w:r>
      <w:r>
        <w:rPr>
          <w:spacing w:val="-141"/>
          <w:w w:val="100"/>
          <w:sz w:val="20"/>
        </w:rPr>
        <w:t>释</w:t>
      </w:r>
      <w:r>
        <w:rPr>
          <w:spacing w:val="-60"/>
          <w:w w:val="100"/>
          <w:position w:val="-7"/>
          <w:sz w:val="20"/>
        </w:rPr>
        <w:t>．</w:t>
      </w:r>
      <w:r>
        <w:rPr>
          <w:spacing w:val="-142"/>
          <w:w w:val="100"/>
          <w:sz w:val="20"/>
        </w:rPr>
        <w:t>以</w:t>
      </w:r>
      <w:r>
        <w:rPr>
          <w:spacing w:val="-60"/>
          <w:w w:val="100"/>
          <w:position w:val="-7"/>
          <w:sz w:val="20"/>
        </w:rPr>
        <w:t>．</w:t>
      </w:r>
      <w:r>
        <w:rPr>
          <w:spacing w:val="-141"/>
          <w:w w:val="100"/>
          <w:sz w:val="20"/>
        </w:rPr>
        <w:t>条</w:t>
      </w:r>
      <w:r>
        <w:rPr>
          <w:spacing w:val="-60"/>
          <w:w w:val="100"/>
          <w:position w:val="-7"/>
          <w:sz w:val="20"/>
        </w:rPr>
        <w:t>．</w:t>
      </w:r>
      <w:r>
        <w:rPr>
          <w:spacing w:val="-141"/>
          <w:w w:val="100"/>
          <w:sz w:val="20"/>
        </w:rPr>
        <w:t>款</w:t>
      </w:r>
      <w:r>
        <w:rPr>
          <w:spacing w:val="-60"/>
          <w:w w:val="100"/>
          <w:position w:val="-7"/>
          <w:sz w:val="20"/>
        </w:rPr>
        <w:t>．</w:t>
      </w:r>
      <w:r>
        <w:rPr>
          <w:spacing w:val="-141"/>
          <w:w w:val="100"/>
          <w:sz w:val="20"/>
        </w:rPr>
        <w:t>为</w:t>
      </w:r>
      <w:r>
        <w:rPr>
          <w:spacing w:val="-60"/>
          <w:w w:val="100"/>
          <w:position w:val="-7"/>
          <w:sz w:val="20"/>
        </w:rPr>
        <w:t>．</w:t>
      </w:r>
      <w:r>
        <w:rPr>
          <w:spacing w:val="-142"/>
          <w:w w:val="100"/>
          <w:sz w:val="20"/>
        </w:rPr>
        <w:t>准</w:t>
      </w:r>
      <w:r>
        <w:rPr>
          <w:spacing w:val="-60"/>
          <w:w w:val="100"/>
          <w:position w:val="-7"/>
          <w:sz w:val="20"/>
        </w:rPr>
        <w:t>．</w:t>
      </w:r>
      <w:r>
        <w:rPr>
          <w:w w:val="100"/>
          <w:sz w:val="20"/>
        </w:rPr>
        <w:t>。</w:t>
      </w:r>
    </w:p>
    <w:p>
      <w:pPr>
        <w:pStyle w:val="BodyText"/>
        <w:spacing w:before="4"/>
      </w:pPr>
    </w:p>
    <w:p>
      <w:pPr>
        <w:pStyle w:val="Heading6"/>
        <w:tabs>
          <w:tab w:pos="1391" w:val="left" w:leader="none"/>
        </w:tabs>
        <w:ind w:left="381"/>
      </w:pPr>
      <w:r>
        <w:rPr>
          <w:rFonts w:ascii="Arial" w:hAnsi="Arial" w:eastAsia="Arial"/>
          <w:w w:val="105"/>
          <w:position w:val="-11"/>
          <w:sz w:val="52"/>
        </w:rPr>
        <w:t></w:t>
        <w:tab/>
      </w:r>
      <w:r>
        <w:rPr>
          <w:w w:val="95"/>
        </w:rPr>
        <w:t>您拥有的重要权益</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投保后10日内您可以要求全额退还风险保险费</w:t>
        <w:tab/>
        <w:t>1.3</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被保险人可以享受本附加合同提供的保障</w:t>
        <w:tab/>
        <w:t>2.4</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您有退保的权利</w:t>
        <w:tab/>
        <w:t>6.1</w:t>
      </w:r>
    </w:p>
    <w:p>
      <w:pPr>
        <w:pStyle w:val="Heading6"/>
        <w:tabs>
          <w:tab w:pos="1391" w:val="left" w:leader="none"/>
        </w:tabs>
        <w:spacing w:before="25"/>
        <w:ind w:left="381"/>
      </w:pPr>
      <w:r>
        <w:rPr>
          <w:rFonts w:ascii="Arial" w:hAnsi="Arial" w:eastAsia="Arial"/>
          <w:w w:val="105"/>
          <w:position w:val="-11"/>
          <w:sz w:val="52"/>
        </w:rPr>
        <w:t></w:t>
        <w:tab/>
      </w:r>
      <w:r>
        <w:rPr>
          <w:w w:val="95"/>
        </w:rPr>
        <w:t>您应当特别注意的事项</w:t>
      </w:r>
    </w:p>
    <w:p>
      <w:pPr>
        <w:pStyle w:val="ListParagraph"/>
        <w:numPr>
          <w:ilvl w:val="0"/>
          <w:numId w:val="1"/>
        </w:numPr>
        <w:tabs>
          <w:tab w:pos="1773" w:val="left" w:leader="none"/>
          <w:tab w:pos="1774" w:val="left" w:leader="none"/>
          <w:tab w:pos="9647" w:val="right" w:leader="dot"/>
        </w:tabs>
        <w:spacing w:line="240" w:lineRule="auto" w:before="21" w:after="0"/>
        <w:ind w:left="1773" w:right="0" w:hanging="423"/>
        <w:jc w:val="left"/>
        <w:rPr>
          <w:sz w:val="21"/>
        </w:rPr>
      </w:pPr>
      <w:r>
        <w:rPr>
          <w:sz w:val="21"/>
        </w:rPr>
        <w:t>在某些情况下，我们不承担保险责任</w:t>
        <w:tab/>
        <w:t>2.5</w:t>
      </w:r>
    </w:p>
    <w:p>
      <w:pPr>
        <w:pStyle w:val="ListParagraph"/>
        <w:numPr>
          <w:ilvl w:val="0"/>
          <w:numId w:val="1"/>
        </w:numPr>
        <w:tabs>
          <w:tab w:pos="1773" w:val="left" w:leader="none"/>
          <w:tab w:pos="1774" w:val="left" w:leader="none"/>
          <w:tab w:pos="9646" w:val="right" w:leader="dot"/>
        </w:tabs>
        <w:spacing w:line="240" w:lineRule="auto" w:before="21" w:after="0"/>
        <w:ind w:left="1773" w:right="0" w:hanging="423"/>
        <w:jc w:val="left"/>
        <w:rPr>
          <w:sz w:val="21"/>
        </w:rPr>
      </w:pPr>
      <w:r>
        <w:rPr>
          <w:sz w:val="21"/>
        </w:rPr>
        <w:t>本附加合同对主合同的宽限期进行了重新约定</w:t>
        <w:tab/>
        <w:t>4.3</w:t>
      </w:r>
    </w:p>
    <w:p>
      <w:pPr>
        <w:pStyle w:val="ListParagraph"/>
        <w:numPr>
          <w:ilvl w:val="0"/>
          <w:numId w:val="1"/>
        </w:numPr>
        <w:tabs>
          <w:tab w:pos="1773" w:val="left" w:leader="none"/>
          <w:tab w:pos="1774" w:val="left" w:leader="none"/>
          <w:tab w:pos="9647" w:val="right" w:leader="dot"/>
        </w:tabs>
        <w:spacing w:line="240" w:lineRule="auto" w:before="21" w:after="0"/>
        <w:ind w:left="1773" w:right="0" w:hanging="423"/>
        <w:jc w:val="left"/>
        <w:rPr>
          <w:sz w:val="21"/>
        </w:rPr>
      </w:pPr>
      <w:r>
        <w:rPr>
          <w:sz w:val="21"/>
        </w:rPr>
        <w:t>退保会给您造成一定的损失，请您慎重决策</w:t>
        <w:tab/>
        <w:t>6.1</w:t>
      </w:r>
    </w:p>
    <w:p>
      <w:pPr>
        <w:pStyle w:val="ListParagraph"/>
        <w:numPr>
          <w:ilvl w:val="0"/>
          <w:numId w:val="1"/>
        </w:numPr>
        <w:tabs>
          <w:tab w:pos="1773" w:val="left" w:leader="none"/>
          <w:tab w:pos="1774" w:val="left" w:leader="none"/>
          <w:tab w:pos="9647" w:val="right" w:leader="dot"/>
        </w:tabs>
        <w:spacing w:line="240" w:lineRule="auto" w:before="21" w:after="0"/>
        <w:ind w:left="1773" w:right="0" w:hanging="423"/>
        <w:jc w:val="left"/>
        <w:rPr>
          <w:sz w:val="21"/>
        </w:rPr>
      </w:pPr>
      <w:r>
        <w:rPr>
          <w:sz w:val="21"/>
        </w:rPr>
        <w:t>主合同的某些变动会导致本附加合同效力终止</w:t>
        <w:tab/>
        <w:t>7.2</w:t>
      </w:r>
    </w:p>
    <w:p>
      <w:pPr>
        <w:pStyle w:val="ListParagraph"/>
        <w:numPr>
          <w:ilvl w:val="0"/>
          <w:numId w:val="1"/>
        </w:numPr>
        <w:tabs>
          <w:tab w:pos="1773" w:val="left" w:leader="none"/>
          <w:tab w:pos="1774" w:val="left" w:leader="none"/>
          <w:tab w:pos="9438" w:val="right" w:leader="dot"/>
        </w:tabs>
        <w:spacing w:line="240" w:lineRule="auto" w:before="21" w:after="0"/>
        <w:ind w:left="1773" w:right="0" w:hanging="423"/>
        <w:jc w:val="left"/>
        <w:rPr>
          <w:sz w:val="21"/>
        </w:rPr>
      </w:pPr>
      <w:r>
        <w:rPr>
          <w:sz w:val="21"/>
        </w:rPr>
        <w:t>我们对一些重要术语进行了解释，并作了显著标识，请您注意</w:t>
        <w:tab/>
        <w:t>8</w:t>
      </w:r>
    </w:p>
    <w:p>
      <w:pPr>
        <w:pStyle w:val="ListParagraph"/>
        <w:numPr>
          <w:ilvl w:val="0"/>
          <w:numId w:val="1"/>
        </w:numPr>
        <w:tabs>
          <w:tab w:pos="1773" w:val="left" w:leader="none"/>
          <w:tab w:pos="1774" w:val="left" w:leader="none"/>
        </w:tabs>
        <w:spacing w:line="240" w:lineRule="auto" w:before="21" w:after="0"/>
        <w:ind w:left="1773" w:right="0" w:hanging="423"/>
        <w:jc w:val="left"/>
        <w:rPr>
          <w:sz w:val="21"/>
        </w:rPr>
      </w:pPr>
      <w:r>
        <w:rPr>
          <w:spacing w:val="-1"/>
          <w:sz w:val="21"/>
        </w:rPr>
        <w:t>保险条款有关于重大疾病的释义，请您留意……………………… </w:t>
      </w:r>
      <w:r>
        <w:rPr>
          <w:sz w:val="21"/>
        </w:rPr>
        <w:t>8.5、8.6、8.7、8.8</w:t>
      </w:r>
    </w:p>
    <w:p>
      <w:pPr>
        <w:pStyle w:val="Heading6"/>
        <w:tabs>
          <w:tab w:pos="1391" w:val="left" w:leader="none"/>
        </w:tabs>
        <w:spacing w:before="25"/>
        <w:ind w:left="381"/>
      </w:pPr>
      <w:r>
        <w:rPr>
          <w:rFonts w:ascii="Arial" w:hAnsi="Arial" w:eastAsia="Arial"/>
          <w:w w:val="105"/>
          <w:position w:val="-11"/>
          <w:sz w:val="52"/>
        </w:rPr>
        <w:t></w:t>
        <w:tab/>
      </w:r>
      <w:r>
        <w:rPr>
          <w:w w:val="95"/>
        </w:rPr>
        <w:t>条款是保险合同的重要内容，为充分保障您的权益，请您仔细阅读本条款。</w:t>
      </w:r>
    </w:p>
    <w:p>
      <w:pPr>
        <w:tabs>
          <w:tab w:pos="1391" w:val="left" w:leader="none"/>
        </w:tabs>
        <w:spacing w:before="25"/>
        <w:ind w:left="381" w:right="0" w:firstLine="0"/>
        <w:jc w:val="left"/>
        <w:rPr>
          <w:b/>
          <w:sz w:val="21"/>
        </w:rPr>
      </w:pPr>
      <w:r>
        <w:rPr>
          <w:rFonts w:ascii="Arial" w:hAnsi="Arial" w:eastAsia="Arial"/>
          <w:b/>
          <w:w w:val="110"/>
          <w:position w:val="-11"/>
          <w:sz w:val="52"/>
        </w:rPr>
        <w:t></w:t>
        <w:tab/>
      </w:r>
      <w:r>
        <w:rPr>
          <w:b/>
          <w:w w:val="95"/>
          <w:sz w:val="21"/>
        </w:rPr>
        <w:t>条款目录</w:t>
      </w:r>
    </w:p>
    <w:p>
      <w:pPr>
        <w:pStyle w:val="BodyText"/>
        <w:spacing w:before="8"/>
        <w:rPr>
          <w:b/>
          <w:sz w:val="12"/>
        </w:rPr>
      </w:pPr>
    </w:p>
    <w:tbl>
      <w:tblPr>
        <w:tblW w:w="0" w:type="auto"/>
        <w:jc w:val="left"/>
        <w:tblInd w:w="1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8"/>
        <w:gridCol w:w="2651"/>
        <w:gridCol w:w="2817"/>
      </w:tblGrid>
      <w:tr>
        <w:trPr>
          <w:trHeight w:val="446" w:hRule="atLeast"/>
        </w:trPr>
        <w:tc>
          <w:tcPr>
            <w:tcW w:w="2938" w:type="dxa"/>
            <w:tcBorders>
              <w:top w:val="dotted" w:sz="6" w:space="0" w:color="000000"/>
              <w:left w:val="dotted" w:sz="6" w:space="0" w:color="000000"/>
            </w:tcBorders>
          </w:tcPr>
          <w:p>
            <w:pPr>
              <w:pStyle w:val="TableParagraph"/>
              <w:spacing w:line="358" w:lineRule="exact" w:before="68"/>
              <w:ind w:left="287"/>
              <w:jc w:val="left"/>
              <w:rPr>
                <w:rFonts w:ascii="Microsoft JhengHei" w:eastAsia="Microsoft JhengHei" w:hint="eastAsia"/>
                <w:b/>
                <w:sz w:val="21"/>
              </w:rPr>
            </w:pPr>
            <w:r>
              <w:rPr>
                <w:rFonts w:ascii="宋体" w:eastAsia="宋体" w:hint="eastAsia"/>
                <w:b/>
                <w:sz w:val="21"/>
              </w:rPr>
              <w:t>1.</w:t>
            </w:r>
            <w:r>
              <w:rPr>
                <w:rFonts w:ascii="Microsoft JhengHei" w:eastAsia="Microsoft JhengHei" w:hint="eastAsia"/>
                <w:b/>
                <w:sz w:val="21"/>
              </w:rPr>
              <w:t>您与我们的合同</w:t>
            </w:r>
          </w:p>
        </w:tc>
        <w:tc>
          <w:tcPr>
            <w:tcW w:w="2651" w:type="dxa"/>
            <w:tcBorders>
              <w:top w:val="dotted" w:sz="6" w:space="0" w:color="000000"/>
            </w:tcBorders>
          </w:tcPr>
          <w:p>
            <w:pPr>
              <w:pStyle w:val="TableParagraph"/>
              <w:spacing w:line="240" w:lineRule="auto" w:before="107"/>
              <w:ind w:right="149"/>
              <w:jc w:val="right"/>
              <w:rPr>
                <w:rFonts w:ascii="宋体" w:eastAsia="宋体" w:hint="eastAsia"/>
                <w:sz w:val="21"/>
              </w:rPr>
            </w:pPr>
            <w:r>
              <w:rPr>
                <w:rFonts w:ascii="宋体" w:eastAsia="宋体" w:hint="eastAsia"/>
                <w:sz w:val="21"/>
              </w:rPr>
              <w:t>4.2 风险保险费费率调</w:t>
            </w:r>
          </w:p>
        </w:tc>
        <w:tc>
          <w:tcPr>
            <w:tcW w:w="2817" w:type="dxa"/>
            <w:tcBorders>
              <w:top w:val="dotted" w:sz="6" w:space="0" w:color="000000"/>
              <w:right w:val="dotted" w:sz="6" w:space="0" w:color="000000"/>
            </w:tcBorders>
          </w:tcPr>
          <w:p>
            <w:pPr>
              <w:pStyle w:val="TableParagraph"/>
              <w:spacing w:line="240" w:lineRule="auto" w:before="109"/>
              <w:ind w:left="164"/>
              <w:jc w:val="left"/>
              <w:rPr>
                <w:rFonts w:ascii="宋体" w:eastAsia="宋体" w:hint="eastAsia"/>
                <w:sz w:val="21"/>
              </w:rPr>
            </w:pPr>
            <w:r>
              <w:rPr>
                <w:rFonts w:ascii="宋体" w:eastAsia="宋体" w:hint="eastAsia"/>
                <w:sz w:val="21"/>
              </w:rPr>
              <w:t>8.5 少儿重大疾病</w:t>
            </w:r>
          </w:p>
        </w:tc>
      </w:tr>
      <w:tr>
        <w:trPr>
          <w:trHeight w:val="311" w:hRule="atLeast"/>
        </w:trPr>
        <w:tc>
          <w:tcPr>
            <w:tcW w:w="2938" w:type="dxa"/>
            <w:tcBorders>
              <w:left w:val="dotted" w:sz="6" w:space="0" w:color="000000"/>
            </w:tcBorders>
          </w:tcPr>
          <w:p>
            <w:pPr>
              <w:pStyle w:val="TableParagraph"/>
              <w:spacing w:line="240" w:lineRule="auto"/>
              <w:ind w:left="497"/>
              <w:jc w:val="left"/>
              <w:rPr>
                <w:rFonts w:ascii="宋体" w:eastAsia="宋体" w:hint="eastAsia"/>
                <w:sz w:val="21"/>
              </w:rPr>
            </w:pPr>
            <w:r>
              <w:rPr>
                <w:rFonts w:ascii="宋体" w:eastAsia="宋体" w:hint="eastAsia"/>
                <w:sz w:val="21"/>
              </w:rPr>
              <w:t>1.1 保险合同构成</w:t>
            </w:r>
          </w:p>
        </w:tc>
        <w:tc>
          <w:tcPr>
            <w:tcW w:w="2651" w:type="dxa"/>
          </w:tcPr>
          <w:p>
            <w:pPr>
              <w:pStyle w:val="TableParagraph"/>
              <w:spacing w:line="247" w:lineRule="exact"/>
              <w:ind w:left="819"/>
              <w:jc w:val="left"/>
              <w:rPr>
                <w:rFonts w:ascii="宋体" w:eastAsia="宋体" w:hint="eastAsia"/>
                <w:sz w:val="21"/>
              </w:rPr>
            </w:pPr>
            <w:r>
              <w:rPr>
                <w:rFonts w:ascii="宋体" w:eastAsia="宋体" w:hint="eastAsia"/>
                <w:sz w:val="21"/>
              </w:rPr>
              <w:t>整</w:t>
            </w:r>
          </w:p>
        </w:tc>
        <w:tc>
          <w:tcPr>
            <w:tcW w:w="2817" w:type="dxa"/>
            <w:tcBorders>
              <w:right w:val="dotted" w:sz="6" w:space="0" w:color="000000"/>
            </w:tcBorders>
          </w:tcPr>
          <w:p>
            <w:pPr>
              <w:pStyle w:val="TableParagraph"/>
              <w:spacing w:line="250" w:lineRule="exact"/>
              <w:ind w:left="164"/>
              <w:jc w:val="left"/>
              <w:rPr>
                <w:rFonts w:ascii="宋体" w:eastAsia="宋体" w:hint="eastAsia"/>
                <w:sz w:val="21"/>
              </w:rPr>
            </w:pPr>
            <w:r>
              <w:rPr>
                <w:rFonts w:ascii="宋体" w:eastAsia="宋体" w:hint="eastAsia"/>
                <w:sz w:val="21"/>
              </w:rPr>
              <w:t>8.6 少儿特别重大疾病</w:t>
            </w:r>
          </w:p>
        </w:tc>
      </w:tr>
      <w:tr>
        <w:trPr>
          <w:trHeight w:val="311" w:hRule="atLeast"/>
        </w:trPr>
        <w:tc>
          <w:tcPr>
            <w:tcW w:w="2938" w:type="dxa"/>
            <w:tcBorders>
              <w:left w:val="dotted" w:sz="6" w:space="0" w:color="000000"/>
            </w:tcBorders>
          </w:tcPr>
          <w:p>
            <w:pPr>
              <w:pStyle w:val="TableParagraph"/>
              <w:spacing w:line="240" w:lineRule="auto"/>
              <w:ind w:right="173"/>
              <w:jc w:val="right"/>
              <w:rPr>
                <w:rFonts w:ascii="宋体" w:eastAsia="宋体" w:hint="eastAsia"/>
                <w:sz w:val="21"/>
              </w:rPr>
            </w:pPr>
            <w:r>
              <w:rPr>
                <w:rFonts w:ascii="宋体" w:eastAsia="宋体" w:hint="eastAsia"/>
                <w:sz w:val="21"/>
              </w:rPr>
              <w:t>1.2 保险合同成立与生效</w:t>
            </w:r>
          </w:p>
        </w:tc>
        <w:tc>
          <w:tcPr>
            <w:tcW w:w="2651" w:type="dxa"/>
          </w:tcPr>
          <w:p>
            <w:pPr>
              <w:pStyle w:val="TableParagraph"/>
              <w:spacing w:line="247" w:lineRule="exact"/>
              <w:ind w:left="399"/>
              <w:jc w:val="left"/>
              <w:rPr>
                <w:rFonts w:ascii="宋体" w:eastAsia="宋体" w:hint="eastAsia"/>
                <w:sz w:val="21"/>
              </w:rPr>
            </w:pPr>
            <w:r>
              <w:rPr>
                <w:rFonts w:ascii="宋体" w:eastAsia="宋体" w:hint="eastAsia"/>
                <w:sz w:val="21"/>
              </w:rPr>
              <w:t>4.3 宽限期</w:t>
            </w:r>
          </w:p>
        </w:tc>
        <w:tc>
          <w:tcPr>
            <w:tcW w:w="2817" w:type="dxa"/>
            <w:tcBorders>
              <w:right w:val="dotted" w:sz="6" w:space="0" w:color="000000"/>
            </w:tcBorders>
          </w:tcPr>
          <w:p>
            <w:pPr>
              <w:pStyle w:val="TableParagraph"/>
              <w:spacing w:line="250" w:lineRule="exact"/>
              <w:ind w:left="164"/>
              <w:jc w:val="left"/>
              <w:rPr>
                <w:rFonts w:ascii="宋体" w:eastAsia="宋体" w:hint="eastAsia"/>
                <w:sz w:val="21"/>
              </w:rPr>
            </w:pPr>
            <w:r>
              <w:rPr>
                <w:rFonts w:ascii="宋体" w:eastAsia="宋体" w:hint="eastAsia"/>
                <w:sz w:val="21"/>
              </w:rPr>
              <w:t>8.7 成人重大疾病</w:t>
            </w:r>
          </w:p>
        </w:tc>
      </w:tr>
      <w:tr>
        <w:trPr>
          <w:trHeight w:val="311" w:hRule="atLeast"/>
        </w:trPr>
        <w:tc>
          <w:tcPr>
            <w:tcW w:w="2938" w:type="dxa"/>
            <w:tcBorders>
              <w:left w:val="dotted" w:sz="6" w:space="0" w:color="000000"/>
            </w:tcBorders>
          </w:tcPr>
          <w:p>
            <w:pPr>
              <w:pStyle w:val="TableParagraph"/>
              <w:spacing w:line="240" w:lineRule="auto"/>
              <w:ind w:left="497"/>
              <w:jc w:val="left"/>
              <w:rPr>
                <w:rFonts w:ascii="宋体" w:eastAsia="宋体" w:hint="eastAsia"/>
                <w:sz w:val="21"/>
              </w:rPr>
            </w:pPr>
            <w:r>
              <w:rPr>
                <w:rFonts w:ascii="宋体" w:eastAsia="宋体" w:hint="eastAsia"/>
                <w:sz w:val="21"/>
              </w:rPr>
              <w:t>1.3 犹豫期</w:t>
            </w:r>
          </w:p>
        </w:tc>
        <w:tc>
          <w:tcPr>
            <w:tcW w:w="2651" w:type="dxa"/>
          </w:tcPr>
          <w:p>
            <w:pPr>
              <w:pStyle w:val="TableParagraph"/>
              <w:spacing w:line="270" w:lineRule="exact"/>
              <w:ind w:left="189"/>
              <w:jc w:val="left"/>
              <w:rPr>
                <w:rFonts w:ascii="Microsoft JhengHei" w:eastAsia="Microsoft JhengHei" w:hint="eastAsia"/>
                <w:b/>
                <w:sz w:val="21"/>
              </w:rPr>
            </w:pPr>
            <w:r>
              <w:rPr>
                <w:rFonts w:ascii="宋体" w:eastAsia="宋体" w:hint="eastAsia"/>
                <w:b/>
                <w:sz w:val="21"/>
              </w:rPr>
              <w:t>5.</w:t>
            </w:r>
            <w:r>
              <w:rPr>
                <w:rFonts w:ascii="Microsoft JhengHei" w:eastAsia="Microsoft JhengHei" w:hint="eastAsia"/>
                <w:b/>
                <w:sz w:val="21"/>
              </w:rPr>
              <w:t>如何恢复合同效力</w:t>
            </w:r>
          </w:p>
        </w:tc>
        <w:tc>
          <w:tcPr>
            <w:tcW w:w="2817" w:type="dxa"/>
            <w:tcBorders>
              <w:right w:val="dotted" w:sz="6" w:space="0" w:color="000000"/>
            </w:tcBorders>
          </w:tcPr>
          <w:p>
            <w:pPr>
              <w:pStyle w:val="TableParagraph"/>
              <w:spacing w:line="250" w:lineRule="exact"/>
              <w:ind w:left="164"/>
              <w:jc w:val="left"/>
              <w:rPr>
                <w:rFonts w:ascii="宋体" w:eastAsia="宋体" w:hint="eastAsia"/>
                <w:sz w:val="21"/>
              </w:rPr>
            </w:pPr>
            <w:r>
              <w:rPr>
                <w:rFonts w:ascii="宋体" w:eastAsia="宋体" w:hint="eastAsia"/>
                <w:sz w:val="21"/>
              </w:rPr>
              <w:t>8.8 成人轻症疾病</w:t>
            </w:r>
          </w:p>
        </w:tc>
      </w:tr>
      <w:tr>
        <w:trPr>
          <w:trHeight w:val="311" w:hRule="atLeast"/>
        </w:trPr>
        <w:tc>
          <w:tcPr>
            <w:tcW w:w="2938" w:type="dxa"/>
            <w:tcBorders>
              <w:left w:val="dotted" w:sz="6" w:space="0" w:color="000000"/>
            </w:tcBorders>
          </w:tcPr>
          <w:p>
            <w:pPr>
              <w:pStyle w:val="TableParagraph"/>
              <w:spacing w:line="292" w:lineRule="exact"/>
              <w:ind w:left="287"/>
              <w:jc w:val="left"/>
              <w:rPr>
                <w:rFonts w:ascii="Microsoft JhengHei" w:eastAsia="Microsoft JhengHei" w:hint="eastAsia"/>
                <w:b/>
                <w:sz w:val="21"/>
              </w:rPr>
            </w:pPr>
            <w:r>
              <w:rPr>
                <w:rFonts w:ascii="宋体" w:eastAsia="宋体" w:hint="eastAsia"/>
                <w:b/>
                <w:sz w:val="21"/>
              </w:rPr>
              <w:t>2.</w:t>
            </w:r>
            <w:r>
              <w:rPr>
                <w:rFonts w:ascii="Microsoft JhengHei" w:eastAsia="Microsoft JhengHei" w:hint="eastAsia"/>
                <w:b/>
                <w:sz w:val="21"/>
              </w:rPr>
              <w:t>我们提供的保障</w:t>
            </w:r>
          </w:p>
        </w:tc>
        <w:tc>
          <w:tcPr>
            <w:tcW w:w="2651" w:type="dxa"/>
          </w:tcPr>
          <w:p>
            <w:pPr>
              <w:pStyle w:val="TableParagraph"/>
              <w:spacing w:line="247" w:lineRule="exact"/>
              <w:ind w:left="399"/>
              <w:jc w:val="left"/>
              <w:rPr>
                <w:rFonts w:ascii="宋体" w:eastAsia="宋体" w:hint="eastAsia"/>
                <w:sz w:val="21"/>
              </w:rPr>
            </w:pPr>
            <w:r>
              <w:rPr>
                <w:rFonts w:ascii="宋体" w:eastAsia="宋体" w:hint="eastAsia"/>
                <w:sz w:val="21"/>
              </w:rPr>
              <w:t>5.1 效力恢复</w:t>
            </w:r>
          </w:p>
        </w:tc>
        <w:tc>
          <w:tcPr>
            <w:tcW w:w="2817" w:type="dxa"/>
            <w:tcBorders>
              <w:right w:val="dotted" w:sz="6" w:space="0" w:color="000000"/>
            </w:tcBorders>
          </w:tcPr>
          <w:p>
            <w:pPr>
              <w:pStyle w:val="TableParagraph"/>
              <w:spacing w:line="250" w:lineRule="exact"/>
              <w:ind w:left="164"/>
              <w:jc w:val="left"/>
              <w:rPr>
                <w:rFonts w:ascii="宋体" w:eastAsia="宋体" w:hint="eastAsia"/>
                <w:sz w:val="21"/>
              </w:rPr>
            </w:pPr>
            <w:r>
              <w:rPr>
                <w:rFonts w:ascii="宋体" w:eastAsia="宋体" w:hint="eastAsia"/>
                <w:sz w:val="21"/>
              </w:rPr>
              <w:t>8.9 初次发生</w:t>
            </w:r>
          </w:p>
        </w:tc>
      </w:tr>
      <w:tr>
        <w:trPr>
          <w:trHeight w:val="311" w:hRule="atLeast"/>
        </w:trPr>
        <w:tc>
          <w:tcPr>
            <w:tcW w:w="2938" w:type="dxa"/>
            <w:tcBorders>
              <w:left w:val="dotted" w:sz="6" w:space="0" w:color="000000"/>
            </w:tcBorders>
          </w:tcPr>
          <w:p>
            <w:pPr>
              <w:pStyle w:val="TableParagraph"/>
              <w:spacing w:line="240" w:lineRule="auto"/>
              <w:ind w:left="497"/>
              <w:jc w:val="left"/>
              <w:rPr>
                <w:rFonts w:ascii="宋体" w:eastAsia="宋体" w:hint="eastAsia"/>
                <w:sz w:val="21"/>
              </w:rPr>
            </w:pPr>
            <w:r>
              <w:rPr>
                <w:rFonts w:ascii="宋体" w:eastAsia="宋体" w:hint="eastAsia"/>
                <w:sz w:val="21"/>
              </w:rPr>
              <w:t>2.1 保险期间</w:t>
            </w:r>
          </w:p>
        </w:tc>
        <w:tc>
          <w:tcPr>
            <w:tcW w:w="2651" w:type="dxa"/>
          </w:tcPr>
          <w:p>
            <w:pPr>
              <w:pStyle w:val="TableParagraph"/>
              <w:spacing w:line="270" w:lineRule="exact"/>
              <w:ind w:left="189"/>
              <w:jc w:val="left"/>
              <w:rPr>
                <w:rFonts w:ascii="Microsoft JhengHei" w:eastAsia="Microsoft JhengHei" w:hint="eastAsia"/>
                <w:b/>
                <w:sz w:val="21"/>
              </w:rPr>
            </w:pPr>
            <w:r>
              <w:rPr>
                <w:rFonts w:ascii="宋体" w:eastAsia="宋体" w:hint="eastAsia"/>
                <w:b/>
                <w:sz w:val="21"/>
              </w:rPr>
              <w:t>6.</w:t>
            </w:r>
            <w:r>
              <w:rPr>
                <w:rFonts w:ascii="Microsoft JhengHei" w:eastAsia="Microsoft JhengHei" w:hint="eastAsia"/>
                <w:b/>
                <w:sz w:val="21"/>
              </w:rPr>
              <w:t>如何解除保险合同</w:t>
            </w:r>
          </w:p>
        </w:tc>
        <w:tc>
          <w:tcPr>
            <w:tcW w:w="2817" w:type="dxa"/>
            <w:tcBorders>
              <w:right w:val="dotted" w:sz="6" w:space="0" w:color="000000"/>
            </w:tcBorders>
          </w:tcPr>
          <w:p>
            <w:pPr>
              <w:pStyle w:val="TableParagraph"/>
              <w:spacing w:line="250" w:lineRule="exact"/>
              <w:ind w:left="164"/>
              <w:jc w:val="left"/>
              <w:rPr>
                <w:rFonts w:ascii="宋体" w:eastAsia="宋体" w:hint="eastAsia"/>
                <w:sz w:val="21"/>
              </w:rPr>
            </w:pPr>
            <w:r>
              <w:rPr>
                <w:rFonts w:ascii="宋体" w:eastAsia="宋体" w:hint="eastAsia"/>
                <w:sz w:val="21"/>
              </w:rPr>
              <w:t>8.10 医院</w:t>
            </w:r>
          </w:p>
        </w:tc>
      </w:tr>
      <w:tr>
        <w:trPr>
          <w:trHeight w:val="311" w:hRule="atLeast"/>
        </w:trPr>
        <w:tc>
          <w:tcPr>
            <w:tcW w:w="2938" w:type="dxa"/>
            <w:tcBorders>
              <w:left w:val="dotted" w:sz="6" w:space="0" w:color="000000"/>
            </w:tcBorders>
          </w:tcPr>
          <w:p>
            <w:pPr>
              <w:pStyle w:val="TableParagraph"/>
              <w:spacing w:line="240" w:lineRule="auto"/>
              <w:ind w:left="497"/>
              <w:jc w:val="left"/>
              <w:rPr>
                <w:rFonts w:ascii="宋体" w:eastAsia="宋体" w:hint="eastAsia"/>
                <w:sz w:val="21"/>
              </w:rPr>
            </w:pPr>
            <w:r>
              <w:rPr>
                <w:rFonts w:ascii="宋体" w:eastAsia="宋体" w:hint="eastAsia"/>
                <w:sz w:val="21"/>
              </w:rPr>
              <w:t>2.2 基本保险金额</w:t>
            </w:r>
          </w:p>
        </w:tc>
        <w:tc>
          <w:tcPr>
            <w:tcW w:w="2651" w:type="dxa"/>
          </w:tcPr>
          <w:p>
            <w:pPr>
              <w:pStyle w:val="TableParagraph"/>
              <w:spacing w:line="247" w:lineRule="exact"/>
              <w:ind w:right="149"/>
              <w:jc w:val="right"/>
              <w:rPr>
                <w:rFonts w:ascii="宋体" w:eastAsia="宋体" w:hint="eastAsia"/>
                <w:sz w:val="21"/>
              </w:rPr>
            </w:pPr>
            <w:r>
              <w:rPr>
                <w:rFonts w:ascii="宋体" w:eastAsia="宋体" w:hint="eastAsia"/>
                <w:sz w:val="21"/>
              </w:rPr>
              <w:t>6.1 您解除合同的手续</w:t>
            </w:r>
          </w:p>
        </w:tc>
        <w:tc>
          <w:tcPr>
            <w:tcW w:w="2817" w:type="dxa"/>
            <w:tcBorders>
              <w:right w:val="dotted" w:sz="6" w:space="0" w:color="000000"/>
            </w:tcBorders>
          </w:tcPr>
          <w:p>
            <w:pPr>
              <w:pStyle w:val="TableParagraph"/>
              <w:spacing w:line="250" w:lineRule="exact"/>
              <w:ind w:left="164"/>
              <w:jc w:val="left"/>
              <w:rPr>
                <w:rFonts w:ascii="宋体" w:eastAsia="宋体" w:hint="eastAsia"/>
                <w:sz w:val="21"/>
              </w:rPr>
            </w:pPr>
            <w:r>
              <w:rPr>
                <w:rFonts w:ascii="宋体" w:eastAsia="宋体" w:hint="eastAsia"/>
                <w:sz w:val="21"/>
              </w:rPr>
              <w:t>8.11 专科医生</w:t>
            </w:r>
          </w:p>
        </w:tc>
      </w:tr>
      <w:tr>
        <w:trPr>
          <w:trHeight w:val="311" w:hRule="atLeast"/>
        </w:trPr>
        <w:tc>
          <w:tcPr>
            <w:tcW w:w="2938" w:type="dxa"/>
            <w:tcBorders>
              <w:left w:val="dotted" w:sz="6" w:space="0" w:color="000000"/>
            </w:tcBorders>
          </w:tcPr>
          <w:p>
            <w:pPr>
              <w:pStyle w:val="TableParagraph"/>
              <w:spacing w:line="240" w:lineRule="auto"/>
              <w:ind w:right="173"/>
              <w:jc w:val="right"/>
              <w:rPr>
                <w:rFonts w:ascii="宋体" w:eastAsia="宋体" w:hint="eastAsia"/>
                <w:sz w:val="21"/>
              </w:rPr>
            </w:pPr>
            <w:r>
              <w:rPr>
                <w:rFonts w:ascii="宋体" w:eastAsia="宋体" w:hint="eastAsia"/>
                <w:sz w:val="21"/>
              </w:rPr>
              <w:t>2.3 基本保险金额的变更</w:t>
            </w:r>
          </w:p>
        </w:tc>
        <w:tc>
          <w:tcPr>
            <w:tcW w:w="2651" w:type="dxa"/>
          </w:tcPr>
          <w:p>
            <w:pPr>
              <w:pStyle w:val="TableParagraph"/>
              <w:spacing w:line="247" w:lineRule="exact"/>
              <w:ind w:left="819"/>
              <w:jc w:val="left"/>
              <w:rPr>
                <w:rFonts w:ascii="宋体" w:eastAsia="宋体" w:hint="eastAsia"/>
                <w:sz w:val="21"/>
              </w:rPr>
            </w:pPr>
            <w:r>
              <w:rPr>
                <w:rFonts w:ascii="宋体" w:eastAsia="宋体" w:hint="eastAsia"/>
                <w:sz w:val="21"/>
              </w:rPr>
              <w:t>及风险</w:t>
            </w:r>
          </w:p>
        </w:tc>
        <w:tc>
          <w:tcPr>
            <w:tcW w:w="2817" w:type="dxa"/>
            <w:tcBorders>
              <w:right w:val="dotted" w:sz="6" w:space="0" w:color="000000"/>
            </w:tcBorders>
          </w:tcPr>
          <w:p>
            <w:pPr>
              <w:pStyle w:val="TableParagraph"/>
              <w:spacing w:line="250" w:lineRule="exact"/>
              <w:ind w:left="164"/>
              <w:jc w:val="left"/>
              <w:rPr>
                <w:rFonts w:ascii="宋体" w:eastAsia="宋体" w:hint="eastAsia"/>
                <w:sz w:val="21"/>
              </w:rPr>
            </w:pPr>
            <w:r>
              <w:rPr>
                <w:rFonts w:ascii="宋体" w:eastAsia="宋体" w:hint="eastAsia"/>
                <w:sz w:val="21"/>
              </w:rPr>
              <w:t>8.12 毒品</w:t>
            </w:r>
          </w:p>
        </w:tc>
      </w:tr>
      <w:tr>
        <w:trPr>
          <w:trHeight w:val="311" w:hRule="atLeast"/>
        </w:trPr>
        <w:tc>
          <w:tcPr>
            <w:tcW w:w="2938" w:type="dxa"/>
            <w:tcBorders>
              <w:left w:val="dotted" w:sz="6" w:space="0" w:color="000000"/>
            </w:tcBorders>
          </w:tcPr>
          <w:p>
            <w:pPr>
              <w:pStyle w:val="TableParagraph"/>
              <w:spacing w:line="240" w:lineRule="auto"/>
              <w:ind w:left="497"/>
              <w:jc w:val="left"/>
              <w:rPr>
                <w:rFonts w:ascii="宋体" w:eastAsia="宋体" w:hint="eastAsia"/>
                <w:sz w:val="21"/>
              </w:rPr>
            </w:pPr>
            <w:r>
              <w:rPr>
                <w:rFonts w:ascii="宋体" w:eastAsia="宋体" w:hint="eastAsia"/>
                <w:sz w:val="21"/>
              </w:rPr>
              <w:t>2.4 保险责任</w:t>
            </w:r>
          </w:p>
        </w:tc>
        <w:tc>
          <w:tcPr>
            <w:tcW w:w="2651" w:type="dxa"/>
          </w:tcPr>
          <w:p>
            <w:pPr>
              <w:pStyle w:val="TableParagraph"/>
              <w:spacing w:line="270" w:lineRule="exact"/>
              <w:ind w:left="189"/>
              <w:jc w:val="left"/>
              <w:rPr>
                <w:rFonts w:ascii="Microsoft JhengHei" w:eastAsia="Microsoft JhengHei" w:hint="eastAsia"/>
                <w:b/>
                <w:sz w:val="21"/>
              </w:rPr>
            </w:pPr>
            <w:r>
              <w:rPr>
                <w:rFonts w:ascii="宋体" w:eastAsia="宋体" w:hint="eastAsia"/>
                <w:b/>
                <w:sz w:val="21"/>
              </w:rPr>
              <w:t>7.</w:t>
            </w:r>
            <w:r>
              <w:rPr>
                <w:rFonts w:ascii="Microsoft JhengHei" w:eastAsia="Microsoft JhengHei" w:hint="eastAsia"/>
                <w:b/>
                <w:sz w:val="21"/>
              </w:rPr>
              <w:t>其他需要关注的事项</w:t>
            </w:r>
          </w:p>
        </w:tc>
        <w:tc>
          <w:tcPr>
            <w:tcW w:w="2817" w:type="dxa"/>
            <w:tcBorders>
              <w:right w:val="dotted" w:sz="6" w:space="0" w:color="000000"/>
            </w:tcBorders>
          </w:tcPr>
          <w:p>
            <w:pPr>
              <w:pStyle w:val="TableParagraph"/>
              <w:spacing w:line="250" w:lineRule="exact"/>
              <w:ind w:left="164"/>
              <w:jc w:val="left"/>
              <w:rPr>
                <w:rFonts w:ascii="宋体" w:eastAsia="宋体" w:hint="eastAsia"/>
                <w:sz w:val="21"/>
              </w:rPr>
            </w:pPr>
            <w:r>
              <w:rPr>
                <w:rFonts w:ascii="宋体" w:eastAsia="宋体" w:hint="eastAsia"/>
                <w:sz w:val="21"/>
              </w:rPr>
              <w:t>8.13 酒后驾驶</w:t>
            </w:r>
          </w:p>
        </w:tc>
      </w:tr>
      <w:tr>
        <w:trPr>
          <w:trHeight w:val="311" w:hRule="atLeast"/>
        </w:trPr>
        <w:tc>
          <w:tcPr>
            <w:tcW w:w="2938" w:type="dxa"/>
            <w:tcBorders>
              <w:left w:val="dotted" w:sz="6" w:space="0" w:color="000000"/>
            </w:tcBorders>
          </w:tcPr>
          <w:p>
            <w:pPr>
              <w:pStyle w:val="TableParagraph"/>
              <w:spacing w:line="240" w:lineRule="auto"/>
              <w:ind w:left="497"/>
              <w:jc w:val="left"/>
              <w:rPr>
                <w:rFonts w:ascii="宋体" w:eastAsia="宋体" w:hint="eastAsia"/>
                <w:sz w:val="21"/>
              </w:rPr>
            </w:pPr>
            <w:r>
              <w:rPr>
                <w:rFonts w:ascii="宋体" w:eastAsia="宋体" w:hint="eastAsia"/>
                <w:sz w:val="21"/>
              </w:rPr>
              <w:t>2.5 责任免除</w:t>
            </w:r>
          </w:p>
        </w:tc>
        <w:tc>
          <w:tcPr>
            <w:tcW w:w="2651" w:type="dxa"/>
          </w:tcPr>
          <w:p>
            <w:pPr>
              <w:pStyle w:val="TableParagraph"/>
              <w:spacing w:line="247" w:lineRule="exact"/>
              <w:ind w:left="399"/>
              <w:jc w:val="left"/>
              <w:rPr>
                <w:rFonts w:ascii="宋体" w:eastAsia="宋体" w:hint="eastAsia"/>
                <w:sz w:val="21"/>
              </w:rPr>
            </w:pPr>
            <w:r>
              <w:rPr>
                <w:rFonts w:ascii="宋体" w:eastAsia="宋体" w:hint="eastAsia"/>
                <w:sz w:val="21"/>
              </w:rPr>
              <w:t>7.1 年龄错误</w:t>
            </w:r>
          </w:p>
        </w:tc>
        <w:tc>
          <w:tcPr>
            <w:tcW w:w="2817" w:type="dxa"/>
            <w:tcBorders>
              <w:right w:val="dotted" w:sz="6" w:space="0" w:color="000000"/>
            </w:tcBorders>
          </w:tcPr>
          <w:p>
            <w:pPr>
              <w:pStyle w:val="TableParagraph"/>
              <w:spacing w:line="250" w:lineRule="exact"/>
              <w:ind w:left="164"/>
              <w:jc w:val="left"/>
              <w:rPr>
                <w:rFonts w:ascii="宋体" w:eastAsia="宋体" w:hint="eastAsia"/>
                <w:sz w:val="21"/>
              </w:rPr>
            </w:pPr>
            <w:r>
              <w:rPr>
                <w:rFonts w:ascii="宋体" w:eastAsia="宋体" w:hint="eastAsia"/>
                <w:sz w:val="21"/>
              </w:rPr>
              <w:t>8.14 无合法有效驾驶证</w:t>
            </w:r>
          </w:p>
        </w:tc>
      </w:tr>
      <w:tr>
        <w:trPr>
          <w:trHeight w:val="311" w:hRule="atLeast"/>
        </w:trPr>
        <w:tc>
          <w:tcPr>
            <w:tcW w:w="2938" w:type="dxa"/>
            <w:tcBorders>
              <w:left w:val="dotted" w:sz="6" w:space="0" w:color="000000"/>
            </w:tcBorders>
          </w:tcPr>
          <w:p>
            <w:pPr>
              <w:pStyle w:val="TableParagraph"/>
              <w:spacing w:line="292" w:lineRule="exact"/>
              <w:ind w:left="287"/>
              <w:jc w:val="left"/>
              <w:rPr>
                <w:rFonts w:ascii="Microsoft JhengHei" w:eastAsia="Microsoft JhengHei" w:hint="eastAsia"/>
                <w:b/>
                <w:sz w:val="21"/>
              </w:rPr>
            </w:pPr>
            <w:r>
              <w:rPr>
                <w:rFonts w:ascii="宋体" w:eastAsia="宋体" w:hint="eastAsia"/>
                <w:b/>
                <w:sz w:val="21"/>
              </w:rPr>
              <w:t>3.</w:t>
            </w:r>
            <w:r>
              <w:rPr>
                <w:rFonts w:ascii="Microsoft JhengHei" w:eastAsia="Microsoft JhengHei" w:hint="eastAsia"/>
                <w:b/>
                <w:sz w:val="21"/>
              </w:rPr>
              <w:t>如何申请领取保险金</w:t>
            </w:r>
          </w:p>
        </w:tc>
        <w:tc>
          <w:tcPr>
            <w:tcW w:w="2651" w:type="dxa"/>
          </w:tcPr>
          <w:p>
            <w:pPr>
              <w:pStyle w:val="TableParagraph"/>
              <w:spacing w:line="247" w:lineRule="exact"/>
              <w:ind w:left="399"/>
              <w:jc w:val="left"/>
              <w:rPr>
                <w:rFonts w:ascii="宋体" w:eastAsia="宋体" w:hint="eastAsia"/>
                <w:sz w:val="21"/>
              </w:rPr>
            </w:pPr>
            <w:r>
              <w:rPr>
                <w:rFonts w:ascii="宋体" w:eastAsia="宋体" w:hint="eastAsia"/>
                <w:sz w:val="21"/>
              </w:rPr>
              <w:t>7.2 效力终止</w:t>
            </w:r>
          </w:p>
        </w:tc>
        <w:tc>
          <w:tcPr>
            <w:tcW w:w="2817" w:type="dxa"/>
            <w:tcBorders>
              <w:right w:val="dotted" w:sz="6" w:space="0" w:color="000000"/>
            </w:tcBorders>
          </w:tcPr>
          <w:p>
            <w:pPr>
              <w:pStyle w:val="TableParagraph"/>
              <w:spacing w:line="250" w:lineRule="exact"/>
              <w:ind w:left="689"/>
              <w:jc w:val="left"/>
              <w:rPr>
                <w:rFonts w:ascii="宋体" w:eastAsia="宋体" w:hint="eastAsia"/>
                <w:sz w:val="21"/>
              </w:rPr>
            </w:pPr>
            <w:r>
              <w:rPr>
                <w:rFonts w:ascii="宋体" w:eastAsia="宋体" w:hint="eastAsia"/>
                <w:sz w:val="21"/>
              </w:rPr>
              <w:t>驾驶</w:t>
            </w:r>
          </w:p>
        </w:tc>
      </w:tr>
      <w:tr>
        <w:trPr>
          <w:trHeight w:val="311" w:hRule="atLeast"/>
        </w:trPr>
        <w:tc>
          <w:tcPr>
            <w:tcW w:w="2938" w:type="dxa"/>
            <w:tcBorders>
              <w:left w:val="dotted" w:sz="6" w:space="0" w:color="000000"/>
            </w:tcBorders>
          </w:tcPr>
          <w:p>
            <w:pPr>
              <w:pStyle w:val="TableParagraph"/>
              <w:spacing w:line="240" w:lineRule="auto"/>
              <w:ind w:left="498"/>
              <w:jc w:val="left"/>
              <w:rPr>
                <w:rFonts w:ascii="宋体" w:eastAsia="宋体" w:hint="eastAsia"/>
                <w:sz w:val="21"/>
              </w:rPr>
            </w:pPr>
            <w:r>
              <w:rPr>
                <w:rFonts w:ascii="宋体" w:eastAsia="宋体" w:hint="eastAsia"/>
                <w:sz w:val="21"/>
              </w:rPr>
              <w:t>3.1 受益人</w:t>
            </w:r>
          </w:p>
        </w:tc>
        <w:tc>
          <w:tcPr>
            <w:tcW w:w="2651" w:type="dxa"/>
          </w:tcPr>
          <w:p>
            <w:pPr>
              <w:pStyle w:val="TableParagraph"/>
              <w:spacing w:line="247" w:lineRule="exact"/>
              <w:ind w:left="399"/>
              <w:jc w:val="left"/>
              <w:rPr>
                <w:rFonts w:ascii="宋体" w:eastAsia="宋体" w:hint="eastAsia"/>
                <w:sz w:val="21"/>
              </w:rPr>
            </w:pPr>
            <w:r>
              <w:rPr>
                <w:rFonts w:ascii="宋体" w:eastAsia="宋体" w:hint="eastAsia"/>
                <w:sz w:val="21"/>
              </w:rPr>
              <w:t>7.3 适用主合同条款</w:t>
            </w:r>
          </w:p>
        </w:tc>
        <w:tc>
          <w:tcPr>
            <w:tcW w:w="2817" w:type="dxa"/>
            <w:tcBorders>
              <w:right w:val="dotted" w:sz="6" w:space="0" w:color="000000"/>
            </w:tcBorders>
          </w:tcPr>
          <w:p>
            <w:pPr>
              <w:pStyle w:val="TableParagraph"/>
              <w:spacing w:line="250" w:lineRule="exact"/>
              <w:ind w:left="164"/>
              <w:jc w:val="left"/>
              <w:rPr>
                <w:rFonts w:ascii="宋体" w:eastAsia="宋体" w:hint="eastAsia"/>
                <w:sz w:val="21"/>
              </w:rPr>
            </w:pPr>
            <w:r>
              <w:rPr>
                <w:rFonts w:ascii="宋体" w:eastAsia="宋体" w:hint="eastAsia"/>
                <w:sz w:val="21"/>
              </w:rPr>
              <w:t>8.15 无有效行驶证</w:t>
            </w:r>
          </w:p>
        </w:tc>
      </w:tr>
      <w:tr>
        <w:trPr>
          <w:trHeight w:val="311" w:hRule="atLeast"/>
        </w:trPr>
        <w:tc>
          <w:tcPr>
            <w:tcW w:w="2938" w:type="dxa"/>
            <w:tcBorders>
              <w:left w:val="dotted" w:sz="6" w:space="0" w:color="000000"/>
            </w:tcBorders>
          </w:tcPr>
          <w:p>
            <w:pPr>
              <w:pStyle w:val="TableParagraph"/>
              <w:spacing w:line="240" w:lineRule="auto"/>
              <w:ind w:left="498"/>
              <w:jc w:val="left"/>
              <w:rPr>
                <w:rFonts w:ascii="宋体" w:eastAsia="宋体" w:hint="eastAsia"/>
                <w:sz w:val="21"/>
              </w:rPr>
            </w:pPr>
            <w:r>
              <w:rPr>
                <w:rFonts w:ascii="宋体" w:eastAsia="宋体" w:hint="eastAsia"/>
                <w:sz w:val="21"/>
              </w:rPr>
              <w:t>3.2 保险金申请</w:t>
            </w:r>
          </w:p>
        </w:tc>
        <w:tc>
          <w:tcPr>
            <w:tcW w:w="2651" w:type="dxa"/>
          </w:tcPr>
          <w:p>
            <w:pPr>
              <w:pStyle w:val="TableParagraph"/>
              <w:spacing w:line="270" w:lineRule="exact"/>
              <w:ind w:left="189"/>
              <w:jc w:val="left"/>
              <w:rPr>
                <w:rFonts w:ascii="Microsoft JhengHei" w:eastAsia="Microsoft JhengHei" w:hint="eastAsia"/>
                <w:b/>
                <w:sz w:val="21"/>
              </w:rPr>
            </w:pPr>
            <w:r>
              <w:rPr>
                <w:rFonts w:ascii="宋体" w:eastAsia="宋体" w:hint="eastAsia"/>
                <w:b/>
                <w:sz w:val="21"/>
              </w:rPr>
              <w:t>8.</w:t>
            </w:r>
            <w:r>
              <w:rPr>
                <w:rFonts w:ascii="Microsoft JhengHei" w:eastAsia="Microsoft JhengHei" w:hint="eastAsia"/>
                <w:b/>
                <w:sz w:val="21"/>
              </w:rPr>
              <w:t>释义</w:t>
            </w:r>
          </w:p>
        </w:tc>
        <w:tc>
          <w:tcPr>
            <w:tcW w:w="2817" w:type="dxa"/>
            <w:tcBorders>
              <w:right w:val="dotted" w:sz="6" w:space="0" w:color="000000"/>
            </w:tcBorders>
          </w:tcPr>
          <w:p>
            <w:pPr>
              <w:pStyle w:val="TableParagraph"/>
              <w:spacing w:line="250" w:lineRule="exact"/>
              <w:ind w:left="164"/>
              <w:jc w:val="left"/>
              <w:rPr>
                <w:rFonts w:ascii="宋体" w:eastAsia="宋体" w:hint="eastAsia"/>
                <w:sz w:val="21"/>
              </w:rPr>
            </w:pPr>
            <w:r>
              <w:rPr>
                <w:rFonts w:ascii="宋体" w:eastAsia="宋体" w:hint="eastAsia"/>
                <w:sz w:val="21"/>
              </w:rPr>
              <w:t>8.16 感染艾滋病病毒或</w:t>
            </w:r>
          </w:p>
        </w:tc>
      </w:tr>
      <w:tr>
        <w:trPr>
          <w:trHeight w:val="311" w:hRule="atLeast"/>
        </w:trPr>
        <w:tc>
          <w:tcPr>
            <w:tcW w:w="2938" w:type="dxa"/>
            <w:tcBorders>
              <w:left w:val="dotted" w:sz="6" w:space="0" w:color="000000"/>
            </w:tcBorders>
          </w:tcPr>
          <w:p>
            <w:pPr>
              <w:pStyle w:val="TableParagraph"/>
              <w:spacing w:line="240" w:lineRule="auto"/>
              <w:ind w:left="498"/>
              <w:jc w:val="left"/>
              <w:rPr>
                <w:rFonts w:ascii="宋体" w:eastAsia="宋体" w:hint="eastAsia"/>
                <w:sz w:val="21"/>
              </w:rPr>
            </w:pPr>
            <w:r>
              <w:rPr>
                <w:rFonts w:ascii="宋体" w:eastAsia="宋体" w:hint="eastAsia"/>
                <w:sz w:val="21"/>
              </w:rPr>
              <w:t>3.3 保险金给付</w:t>
            </w:r>
          </w:p>
        </w:tc>
        <w:tc>
          <w:tcPr>
            <w:tcW w:w="2651" w:type="dxa"/>
          </w:tcPr>
          <w:p>
            <w:pPr>
              <w:pStyle w:val="TableParagraph"/>
              <w:spacing w:line="247" w:lineRule="exact"/>
              <w:ind w:left="399"/>
              <w:jc w:val="left"/>
              <w:rPr>
                <w:rFonts w:ascii="宋体" w:eastAsia="宋体" w:hint="eastAsia"/>
                <w:sz w:val="21"/>
              </w:rPr>
            </w:pPr>
            <w:r>
              <w:rPr>
                <w:rFonts w:ascii="宋体" w:eastAsia="宋体" w:hint="eastAsia"/>
                <w:sz w:val="21"/>
              </w:rPr>
              <w:t>8.1 保单年度</w:t>
            </w:r>
          </w:p>
        </w:tc>
        <w:tc>
          <w:tcPr>
            <w:tcW w:w="2817" w:type="dxa"/>
            <w:tcBorders>
              <w:right w:val="dotted" w:sz="6" w:space="0" w:color="000000"/>
            </w:tcBorders>
          </w:tcPr>
          <w:p>
            <w:pPr>
              <w:pStyle w:val="TableParagraph"/>
              <w:spacing w:line="250" w:lineRule="exact"/>
              <w:ind w:left="689"/>
              <w:jc w:val="left"/>
              <w:rPr>
                <w:rFonts w:ascii="宋体" w:eastAsia="宋体" w:hint="eastAsia"/>
                <w:sz w:val="21"/>
              </w:rPr>
            </w:pPr>
            <w:r>
              <w:rPr>
                <w:rFonts w:ascii="宋体" w:eastAsia="宋体" w:hint="eastAsia"/>
                <w:sz w:val="21"/>
              </w:rPr>
              <w:t>患艾滋病</w:t>
            </w:r>
          </w:p>
        </w:tc>
      </w:tr>
      <w:tr>
        <w:trPr>
          <w:trHeight w:val="311" w:hRule="atLeast"/>
        </w:trPr>
        <w:tc>
          <w:tcPr>
            <w:tcW w:w="2938" w:type="dxa"/>
            <w:tcBorders>
              <w:left w:val="dotted" w:sz="6" w:space="0" w:color="000000"/>
            </w:tcBorders>
          </w:tcPr>
          <w:p>
            <w:pPr>
              <w:pStyle w:val="TableParagraph"/>
              <w:spacing w:line="240" w:lineRule="auto"/>
              <w:ind w:left="498"/>
              <w:jc w:val="left"/>
              <w:rPr>
                <w:rFonts w:ascii="宋体" w:eastAsia="宋体" w:hint="eastAsia"/>
                <w:sz w:val="21"/>
              </w:rPr>
            </w:pPr>
            <w:r>
              <w:rPr>
                <w:rFonts w:ascii="宋体" w:eastAsia="宋体" w:hint="eastAsia"/>
                <w:sz w:val="21"/>
              </w:rPr>
              <w:t>3.4 诉讼时效</w:t>
            </w:r>
          </w:p>
        </w:tc>
        <w:tc>
          <w:tcPr>
            <w:tcW w:w="2651" w:type="dxa"/>
          </w:tcPr>
          <w:p>
            <w:pPr>
              <w:pStyle w:val="TableParagraph"/>
              <w:spacing w:line="247" w:lineRule="exact"/>
              <w:ind w:left="399"/>
              <w:jc w:val="left"/>
              <w:rPr>
                <w:rFonts w:ascii="宋体" w:eastAsia="宋体" w:hint="eastAsia"/>
                <w:sz w:val="21"/>
              </w:rPr>
            </w:pPr>
            <w:r>
              <w:rPr>
                <w:rFonts w:ascii="宋体" w:eastAsia="宋体" w:hint="eastAsia"/>
                <w:sz w:val="21"/>
              </w:rPr>
              <w:t>8.2 有效身份证件</w:t>
            </w:r>
          </w:p>
        </w:tc>
        <w:tc>
          <w:tcPr>
            <w:tcW w:w="2817" w:type="dxa"/>
            <w:tcBorders>
              <w:right w:val="dotted" w:sz="6" w:space="0" w:color="000000"/>
            </w:tcBorders>
          </w:tcPr>
          <w:p>
            <w:pPr>
              <w:pStyle w:val="TableParagraph"/>
              <w:spacing w:line="250" w:lineRule="exact"/>
              <w:ind w:left="164"/>
              <w:jc w:val="left"/>
              <w:rPr>
                <w:rFonts w:ascii="宋体" w:eastAsia="宋体" w:hint="eastAsia"/>
                <w:sz w:val="21"/>
              </w:rPr>
            </w:pPr>
            <w:r>
              <w:rPr>
                <w:rFonts w:ascii="宋体" w:eastAsia="宋体" w:hint="eastAsia"/>
                <w:sz w:val="21"/>
              </w:rPr>
              <w:t>8.17 遗传性疾病</w:t>
            </w:r>
          </w:p>
        </w:tc>
      </w:tr>
      <w:tr>
        <w:trPr>
          <w:trHeight w:val="311" w:hRule="atLeast"/>
        </w:trPr>
        <w:tc>
          <w:tcPr>
            <w:tcW w:w="2938" w:type="dxa"/>
            <w:tcBorders>
              <w:left w:val="dotted" w:sz="6" w:space="0" w:color="000000"/>
            </w:tcBorders>
          </w:tcPr>
          <w:p>
            <w:pPr>
              <w:pStyle w:val="TableParagraph"/>
              <w:spacing w:line="292" w:lineRule="exact"/>
              <w:ind w:left="288"/>
              <w:jc w:val="left"/>
              <w:rPr>
                <w:rFonts w:ascii="宋体" w:eastAsia="宋体" w:hint="eastAsia"/>
                <w:b/>
                <w:sz w:val="21"/>
              </w:rPr>
            </w:pPr>
            <w:r>
              <w:rPr>
                <w:rFonts w:ascii="宋体" w:eastAsia="宋体" w:hint="eastAsia"/>
                <w:b/>
                <w:sz w:val="21"/>
              </w:rPr>
              <w:t>4.</w:t>
            </w:r>
            <w:r>
              <w:rPr>
                <w:rFonts w:ascii="Microsoft JhengHei" w:eastAsia="Microsoft JhengHei" w:hint="eastAsia"/>
                <w:b/>
                <w:sz w:val="21"/>
              </w:rPr>
              <w:t>如何支付</w:t>
            </w:r>
            <w:r>
              <w:rPr>
                <w:rFonts w:ascii="宋体" w:eastAsia="宋体" w:hint="eastAsia"/>
                <w:b/>
                <w:sz w:val="21"/>
              </w:rPr>
              <w:t>风险保险费</w:t>
            </w:r>
          </w:p>
        </w:tc>
        <w:tc>
          <w:tcPr>
            <w:tcW w:w="2651" w:type="dxa"/>
          </w:tcPr>
          <w:p>
            <w:pPr>
              <w:pStyle w:val="TableParagraph"/>
              <w:spacing w:line="247" w:lineRule="exact"/>
              <w:ind w:left="399"/>
              <w:jc w:val="left"/>
              <w:rPr>
                <w:rFonts w:ascii="宋体" w:eastAsia="宋体" w:hint="eastAsia"/>
                <w:sz w:val="21"/>
              </w:rPr>
            </w:pPr>
            <w:r>
              <w:rPr>
                <w:rFonts w:ascii="宋体" w:eastAsia="宋体" w:hint="eastAsia"/>
                <w:sz w:val="21"/>
              </w:rPr>
              <w:t>8.3 周岁</w:t>
            </w:r>
          </w:p>
        </w:tc>
        <w:tc>
          <w:tcPr>
            <w:tcW w:w="2817" w:type="dxa"/>
            <w:tcBorders>
              <w:right w:val="dotted" w:sz="6" w:space="0" w:color="000000"/>
            </w:tcBorders>
          </w:tcPr>
          <w:p>
            <w:pPr>
              <w:pStyle w:val="TableParagraph"/>
              <w:spacing w:line="250" w:lineRule="exact"/>
              <w:ind w:left="164"/>
              <w:jc w:val="left"/>
              <w:rPr>
                <w:rFonts w:ascii="宋体" w:eastAsia="宋体" w:hint="eastAsia"/>
                <w:sz w:val="21"/>
              </w:rPr>
            </w:pPr>
            <w:r>
              <w:rPr>
                <w:rFonts w:ascii="宋体" w:eastAsia="宋体" w:hint="eastAsia"/>
                <w:sz w:val="21"/>
              </w:rPr>
              <w:t>8.18 先天性畸形、变形</w:t>
            </w:r>
          </w:p>
        </w:tc>
      </w:tr>
      <w:tr>
        <w:trPr>
          <w:trHeight w:val="1023" w:hRule="atLeast"/>
        </w:trPr>
        <w:tc>
          <w:tcPr>
            <w:tcW w:w="2938" w:type="dxa"/>
            <w:tcBorders>
              <w:left w:val="dotted" w:sz="6" w:space="0" w:color="000000"/>
              <w:bottom w:val="dotted" w:sz="6" w:space="0" w:color="000000"/>
            </w:tcBorders>
          </w:tcPr>
          <w:p>
            <w:pPr>
              <w:pStyle w:val="TableParagraph"/>
              <w:spacing w:line="240" w:lineRule="auto"/>
              <w:ind w:left="497"/>
              <w:jc w:val="left"/>
              <w:rPr>
                <w:rFonts w:ascii="宋体" w:eastAsia="宋体" w:hint="eastAsia"/>
                <w:sz w:val="21"/>
              </w:rPr>
            </w:pPr>
            <w:r>
              <w:rPr>
                <w:rFonts w:ascii="宋体" w:eastAsia="宋体" w:hint="eastAsia"/>
                <w:sz w:val="21"/>
              </w:rPr>
              <w:t>4.1 风险保险费的支付</w:t>
            </w:r>
          </w:p>
        </w:tc>
        <w:tc>
          <w:tcPr>
            <w:tcW w:w="2651" w:type="dxa"/>
            <w:tcBorders>
              <w:bottom w:val="dotted" w:sz="6" w:space="0" w:color="000000"/>
            </w:tcBorders>
          </w:tcPr>
          <w:p>
            <w:pPr>
              <w:pStyle w:val="TableParagraph"/>
              <w:spacing w:line="247" w:lineRule="exact"/>
              <w:ind w:left="399"/>
              <w:jc w:val="left"/>
              <w:rPr>
                <w:rFonts w:ascii="宋体" w:eastAsia="宋体" w:hint="eastAsia"/>
                <w:sz w:val="21"/>
              </w:rPr>
            </w:pPr>
            <w:r>
              <w:rPr>
                <w:rFonts w:ascii="宋体" w:eastAsia="宋体" w:hint="eastAsia"/>
                <w:sz w:val="21"/>
              </w:rPr>
              <w:t>8.4 意外伤害事故</w:t>
            </w:r>
          </w:p>
        </w:tc>
        <w:tc>
          <w:tcPr>
            <w:tcW w:w="2817" w:type="dxa"/>
            <w:tcBorders>
              <w:bottom w:val="dotted" w:sz="6" w:space="0" w:color="000000"/>
              <w:right w:val="dotted" w:sz="6" w:space="0" w:color="000000"/>
            </w:tcBorders>
          </w:tcPr>
          <w:p>
            <w:pPr>
              <w:pStyle w:val="TableParagraph"/>
              <w:spacing w:line="250" w:lineRule="exact"/>
              <w:ind w:left="689"/>
              <w:jc w:val="left"/>
              <w:rPr>
                <w:rFonts w:ascii="宋体" w:eastAsia="宋体" w:hint="eastAsia"/>
                <w:sz w:val="21"/>
              </w:rPr>
            </w:pPr>
            <w:r>
              <w:rPr>
                <w:rFonts w:ascii="宋体" w:eastAsia="宋体" w:hint="eastAsia"/>
                <w:sz w:val="21"/>
              </w:rPr>
              <w:t>或染色体异常</w:t>
            </w:r>
          </w:p>
        </w:tc>
      </w:tr>
    </w:tbl>
    <w:p>
      <w:pPr>
        <w:spacing w:after="0" w:line="250" w:lineRule="exact"/>
        <w:jc w:val="left"/>
        <w:rPr>
          <w:rFonts w:ascii="宋体" w:eastAsia="宋体" w:hint="eastAsia"/>
          <w:sz w:val="21"/>
        </w:rPr>
        <w:sectPr>
          <w:type w:val="continuous"/>
          <w:pgSz w:w="11910" w:h="16840"/>
          <w:pgMar w:top="520" w:bottom="280" w:left="640" w:right="820"/>
        </w:sectPr>
      </w:pPr>
    </w:p>
    <w:p>
      <w:pPr>
        <w:pStyle w:val="BodyText"/>
        <w:spacing w:before="0"/>
        <w:ind w:left="1065"/>
        <w:rPr>
          <w:sz w:val="20"/>
        </w:rPr>
      </w:pPr>
      <w:r>
        <w:rPr>
          <w:sz w:val="20"/>
        </w:rPr>
        <w:drawing>
          <wp:inline distT="0" distB="0" distL="0" distR="0">
            <wp:extent cx="5308264" cy="67627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308264" cy="676275"/>
                    </a:xfrm>
                    <a:prstGeom prst="rect">
                      <a:avLst/>
                    </a:prstGeom>
                  </pic:spPr>
                </pic:pic>
              </a:graphicData>
            </a:graphic>
          </wp:inline>
        </w:drawing>
      </w:r>
      <w:r>
        <w:rPr>
          <w:sz w:val="20"/>
        </w:rPr>
      </w:r>
    </w:p>
    <w:p>
      <w:pPr>
        <w:pStyle w:val="BodyText"/>
        <w:spacing w:before="0"/>
        <w:rPr>
          <w:b/>
          <w:sz w:val="20"/>
        </w:rPr>
      </w:pPr>
    </w:p>
    <w:p>
      <w:pPr>
        <w:pStyle w:val="Heading1"/>
        <w:spacing w:before="100"/>
        <w:ind w:left="2369"/>
        <w:jc w:val="left"/>
      </w:pPr>
      <w:r>
        <w:rPr/>
        <w:t>国华附加万能提前给付重大疾病保险条款</w:t>
      </w:r>
    </w:p>
    <w:p>
      <w:pPr>
        <w:pStyle w:val="BodyText"/>
        <w:spacing w:before="0"/>
        <w:rPr>
          <w:rFonts w:ascii="微软雅黑"/>
          <w:b/>
          <w:sz w:val="42"/>
        </w:rPr>
      </w:pPr>
    </w:p>
    <w:p>
      <w:pPr>
        <w:pStyle w:val="BodyText"/>
        <w:spacing w:before="1"/>
        <w:ind w:left="321"/>
      </w:pPr>
      <w:r>
        <w:rPr/>
        <w:t>在本条款中，“您”指投保人，“我们”、“本公司”均指国华人寿保险股份有限公司。</w:t>
      </w:r>
    </w:p>
    <w:p>
      <w:pPr>
        <w:pStyle w:val="BodyText"/>
        <w:spacing w:before="0"/>
        <w:rPr>
          <w:sz w:val="20"/>
        </w:rPr>
      </w:pPr>
    </w:p>
    <w:p>
      <w:pPr>
        <w:tabs>
          <w:tab w:pos="961" w:val="left" w:leader="none"/>
        </w:tabs>
        <w:spacing w:before="164"/>
        <w:ind w:left="219" w:right="0" w:firstLine="0"/>
        <w:jc w:val="left"/>
        <w:rPr>
          <w:b/>
          <w:sz w:val="24"/>
        </w:rPr>
      </w:pPr>
      <w:r>
        <w:rPr/>
        <w:pict>
          <v:group style="position:absolute;margin-left:40.560001pt;margin-top:36.300018pt;width:503.1pt;height:1pt;mso-position-horizontal-relative:page;mso-position-vertical-relative:paragraph;z-index:1072;mso-wrap-distance-left:0;mso-wrap-distance-right:0" coordorigin="811,726" coordsize="10062,20">
            <v:line style="position:absolute" from="811,736" to="3559,736" stroked="true" strokeweight=".96002pt" strokecolor="#000000">
              <v:stroke dashstyle="solid"/>
            </v:line>
            <v:line style="position:absolute" from="3559,736" to="10873,736" stroked="true" strokeweight=".96pt" strokecolor="#000000">
              <v:stroke dashstyle="solid"/>
            </v:line>
            <w10:wrap type="topAndBottom"/>
          </v:group>
        </w:pict>
      </w:r>
      <w:r>
        <w:rPr>
          <w:rFonts w:ascii="Arial" w:hAnsi="Arial" w:eastAsia="Arial"/>
          <w:b/>
          <w:position w:val="-3"/>
          <w:sz w:val="40"/>
        </w:rPr>
        <w:t></w:t>
        <w:tab/>
      </w:r>
      <w:r>
        <w:rPr>
          <w:b/>
          <w:w w:val="95"/>
          <w:sz w:val="24"/>
        </w:rPr>
        <w:t>您与我们的合同</w:t>
      </w:r>
    </w:p>
    <w:p>
      <w:pPr>
        <w:pStyle w:val="BodyText"/>
        <w:spacing w:before="11"/>
        <w:rPr>
          <w:b/>
          <w:sz w:val="17"/>
        </w:rPr>
      </w:pPr>
    </w:p>
    <w:p>
      <w:pPr>
        <w:pStyle w:val="ListParagraph"/>
        <w:numPr>
          <w:ilvl w:val="1"/>
          <w:numId w:val="2"/>
        </w:numPr>
        <w:tabs>
          <w:tab w:pos="962" w:val="left" w:leader="none"/>
          <w:tab w:pos="963" w:val="left" w:leader="none"/>
          <w:tab w:pos="2947" w:val="left" w:leader="none"/>
        </w:tabs>
        <w:spacing w:line="273" w:lineRule="auto" w:before="35" w:after="0"/>
        <w:ind w:left="2948" w:right="218" w:hanging="2729"/>
        <w:jc w:val="left"/>
        <w:rPr>
          <w:sz w:val="21"/>
        </w:rPr>
      </w:pPr>
      <w:r>
        <w:rPr>
          <w:b/>
          <w:sz w:val="21"/>
        </w:rPr>
        <w:t>保险合同构成</w:t>
        <w:tab/>
      </w:r>
      <w:r>
        <w:rPr>
          <w:sz w:val="21"/>
        </w:rPr>
        <w:t>本附加保险合</w:t>
      </w:r>
      <w:r>
        <w:rPr>
          <w:spacing w:val="-33"/>
          <w:sz w:val="21"/>
        </w:rPr>
        <w:t>同</w:t>
      </w:r>
      <w:r>
        <w:rPr>
          <w:sz w:val="21"/>
        </w:rPr>
        <w:t>（以下简</w:t>
      </w:r>
      <w:r>
        <w:rPr>
          <w:spacing w:val="-33"/>
          <w:sz w:val="21"/>
        </w:rPr>
        <w:t>称</w:t>
      </w:r>
      <w:r>
        <w:rPr>
          <w:sz w:val="21"/>
        </w:rPr>
        <w:t>“本附加合同</w:t>
      </w:r>
      <w:r>
        <w:rPr>
          <w:spacing w:val="-69"/>
          <w:sz w:val="21"/>
        </w:rPr>
        <w:t>”）</w:t>
      </w:r>
      <w:r>
        <w:rPr>
          <w:sz w:val="21"/>
        </w:rPr>
        <w:t>附加于我们规定的主保险合</w:t>
      </w:r>
      <w:r>
        <w:rPr>
          <w:spacing w:val="-33"/>
          <w:sz w:val="21"/>
        </w:rPr>
        <w:t>同</w:t>
      </w:r>
      <w:r>
        <w:rPr>
          <w:sz w:val="21"/>
        </w:rPr>
        <w:t>（以下简称“主合同</w:t>
      </w:r>
      <w:r>
        <w:rPr>
          <w:spacing w:val="-105"/>
          <w:sz w:val="21"/>
        </w:rPr>
        <w:t>”</w:t>
      </w:r>
      <w:r>
        <w:rPr>
          <w:sz w:val="21"/>
        </w:rPr>
        <w:t>）上</w:t>
      </w:r>
      <w:r>
        <w:rPr>
          <w:spacing w:val="-2"/>
          <w:sz w:val="21"/>
        </w:rPr>
        <w:t>。</w:t>
      </w:r>
      <w:r>
        <w:rPr>
          <w:sz w:val="21"/>
        </w:rPr>
        <w:t>主合同所附条款、投保单及与本附加合同有关的其他投保文件</w:t>
      </w:r>
      <w:r>
        <w:rPr>
          <w:spacing w:val="-7"/>
          <w:sz w:val="21"/>
        </w:rPr>
        <w:t>、</w:t>
      </w:r>
      <w:r>
        <w:rPr>
          <w:sz w:val="21"/>
        </w:rPr>
        <w:t>合法有效的声明</w:t>
      </w:r>
      <w:r>
        <w:rPr>
          <w:spacing w:val="-7"/>
          <w:sz w:val="21"/>
        </w:rPr>
        <w:t>、</w:t>
      </w:r>
      <w:r>
        <w:rPr>
          <w:sz w:val="21"/>
        </w:rPr>
        <w:t>批注</w:t>
      </w:r>
      <w:r>
        <w:rPr>
          <w:spacing w:val="-7"/>
          <w:sz w:val="21"/>
        </w:rPr>
        <w:t>、</w:t>
      </w:r>
      <w:r>
        <w:rPr>
          <w:sz w:val="21"/>
        </w:rPr>
        <w:t>批单和其他书面协议</w:t>
      </w:r>
      <w:r>
        <w:rPr>
          <w:spacing w:val="-7"/>
          <w:sz w:val="21"/>
        </w:rPr>
        <w:t>，</w:t>
      </w:r>
      <w:r>
        <w:rPr>
          <w:sz w:val="21"/>
        </w:rPr>
        <w:t>凡与本附加合同相关者，均为本附加合同的构成部分。</w:t>
      </w:r>
    </w:p>
    <w:p>
      <w:pPr>
        <w:pStyle w:val="BodyText"/>
        <w:spacing w:before="9"/>
      </w:pPr>
    </w:p>
    <w:p>
      <w:pPr>
        <w:spacing w:after="0"/>
        <w:sectPr>
          <w:pgSz w:w="11910" w:h="16840"/>
          <w:pgMar w:top="1220" w:bottom="280" w:left="700" w:right="920"/>
        </w:sectPr>
      </w:pPr>
    </w:p>
    <w:p>
      <w:pPr>
        <w:pStyle w:val="Heading6"/>
        <w:numPr>
          <w:ilvl w:val="1"/>
          <w:numId w:val="2"/>
        </w:numPr>
        <w:tabs>
          <w:tab w:pos="962" w:val="left" w:leader="none"/>
          <w:tab w:pos="963" w:val="left" w:leader="none"/>
        </w:tabs>
        <w:spacing w:line="240" w:lineRule="auto" w:before="35" w:after="0"/>
        <w:ind w:left="962" w:right="0" w:hanging="743"/>
        <w:jc w:val="left"/>
      </w:pPr>
      <w:r>
        <w:rPr>
          <w:w w:val="95"/>
        </w:rPr>
        <w:t>保险合同成立与生</w:t>
      </w:r>
    </w:p>
    <w:p>
      <w:pPr>
        <w:spacing w:before="36"/>
        <w:ind w:left="0" w:right="512" w:firstLine="0"/>
        <w:jc w:val="center"/>
        <w:rPr>
          <w:b/>
          <w:sz w:val="21"/>
        </w:rPr>
      </w:pPr>
      <w:r>
        <w:rPr>
          <w:b/>
          <w:w w:val="99"/>
          <w:sz w:val="21"/>
        </w:rPr>
        <w:t>效</w:t>
      </w:r>
    </w:p>
    <w:p>
      <w:pPr>
        <w:pStyle w:val="BodyText"/>
        <w:spacing w:before="35"/>
        <w:ind w:left="219"/>
      </w:pPr>
      <w:r>
        <w:rPr/>
        <w:br w:type="column"/>
      </w:r>
      <w:r>
        <w:rPr/>
        <w:t>您提出保险申请、我们同意承保，本附加合同成立。</w:t>
      </w:r>
    </w:p>
    <w:p>
      <w:pPr>
        <w:pStyle w:val="BodyText"/>
        <w:spacing w:before="8"/>
        <w:rPr>
          <w:sz w:val="26"/>
        </w:rPr>
      </w:pPr>
    </w:p>
    <w:p>
      <w:pPr>
        <w:pStyle w:val="BodyText"/>
        <w:spacing w:before="0"/>
        <w:ind w:left="219"/>
      </w:pPr>
      <w:r>
        <w:rPr/>
        <w:t>如果本附加合同与主合同同时投保，本附加合同的生效日与主合同相同。</w:t>
      </w:r>
    </w:p>
    <w:p>
      <w:pPr>
        <w:pStyle w:val="BodyText"/>
        <w:spacing w:before="8"/>
        <w:rPr>
          <w:sz w:val="26"/>
        </w:rPr>
      </w:pPr>
    </w:p>
    <w:p>
      <w:pPr>
        <w:pStyle w:val="BodyText"/>
        <w:spacing w:line="273" w:lineRule="auto" w:before="0"/>
        <w:ind w:left="219" w:right="170"/>
      </w:pPr>
      <w:r>
        <w:rPr/>
        <w:t>如果您在主合同有效期内投保本附加合同，本附加合同自我们同意承保、收取首期保险费并签发保险单开始生效，具体生效日以保险单所载的日期为准。</w:t>
      </w:r>
    </w:p>
    <w:p>
      <w:pPr>
        <w:pStyle w:val="BodyText"/>
        <w:spacing w:before="5"/>
        <w:rPr>
          <w:sz w:val="24"/>
        </w:rPr>
      </w:pPr>
    </w:p>
    <w:p>
      <w:pPr>
        <w:pStyle w:val="BodyText"/>
        <w:spacing w:line="273" w:lineRule="auto" w:before="0"/>
        <w:ind w:left="219" w:right="217"/>
        <w:jc w:val="both"/>
      </w:pPr>
      <w:r>
        <w:rPr>
          <w:spacing w:val="-2"/>
        </w:rPr>
        <w:t>本附加合同生效日以后每年对应的保单周年日、</w:t>
      </w:r>
      <w:r>
        <w:rPr>
          <w:b/>
          <w:spacing w:val="-6"/>
          <w:w w:val="99"/>
        </w:rPr>
        <w:t>保单年度</w:t>
      </w:r>
      <w:r>
        <w:rPr>
          <w:spacing w:val="-2"/>
        </w:rPr>
        <w:t>（</w:t>
      </w:r>
      <w:r>
        <w:rPr>
          <w:spacing w:val="-27"/>
        </w:rPr>
        <w:t>见 </w:t>
      </w:r>
      <w:r>
        <w:rPr/>
        <w:t>8</w:t>
      </w:r>
      <w:r>
        <w:rPr>
          <w:spacing w:val="-1"/>
        </w:rPr>
        <w:t>.</w:t>
      </w:r>
      <w:r>
        <w:rPr/>
        <w:t>1</w:t>
      </w:r>
      <w:r>
        <w:rPr>
          <w:spacing w:val="-105"/>
        </w:rPr>
        <w:t>）</w:t>
      </w:r>
      <w:r>
        <w:rPr>
          <w:spacing w:val="-7"/>
        </w:rPr>
        <w:t>、保单周月</w:t>
      </w:r>
      <w:r>
        <w:rPr>
          <w:spacing w:val="-6"/>
        </w:rPr>
        <w:t>日、风险保险费约定支付日和保单满期日均以该日期计算。如当月无对应同一日，则以该月最后一日作为对应日。</w:t>
      </w:r>
    </w:p>
    <w:p>
      <w:pPr>
        <w:spacing w:after="0" w:line="273" w:lineRule="auto"/>
        <w:jc w:val="both"/>
        <w:sectPr>
          <w:type w:val="continuous"/>
          <w:pgSz w:w="11910" w:h="16840"/>
          <w:pgMar w:top="520" w:bottom="280" w:left="700" w:right="920"/>
          <w:cols w:num="2" w:equalWidth="0">
            <w:col w:w="2649" w:space="79"/>
            <w:col w:w="7562"/>
          </w:cols>
        </w:sectPr>
      </w:pPr>
    </w:p>
    <w:p>
      <w:pPr>
        <w:pStyle w:val="BodyText"/>
        <w:spacing w:before="9"/>
      </w:pPr>
    </w:p>
    <w:p>
      <w:pPr>
        <w:pStyle w:val="ListParagraph"/>
        <w:numPr>
          <w:ilvl w:val="1"/>
          <w:numId w:val="2"/>
        </w:numPr>
        <w:tabs>
          <w:tab w:pos="963" w:val="left" w:leader="none"/>
          <w:tab w:pos="2947" w:val="left" w:leader="none"/>
        </w:tabs>
        <w:spacing w:line="273" w:lineRule="auto" w:before="35" w:after="0"/>
        <w:ind w:left="2947" w:right="217" w:hanging="2728"/>
        <w:jc w:val="both"/>
        <w:rPr>
          <w:sz w:val="21"/>
        </w:rPr>
      </w:pPr>
      <w:r>
        <w:rPr>
          <w:b/>
          <w:sz w:val="21"/>
        </w:rPr>
        <w:t>犹豫期</w:t>
        <w:tab/>
      </w:r>
      <w:r>
        <w:rPr>
          <w:sz w:val="21"/>
        </w:rPr>
        <w:t>自您签收本附加合同之日起，有</w:t>
      </w:r>
      <w:r>
        <w:rPr>
          <w:spacing w:val="-29"/>
          <w:sz w:val="21"/>
        </w:rPr>
        <w:t> </w:t>
      </w:r>
      <w:r>
        <w:rPr>
          <w:sz w:val="21"/>
        </w:rPr>
        <w:t>10</w:t>
      </w:r>
      <w:r>
        <w:rPr>
          <w:spacing w:val="-28"/>
          <w:sz w:val="21"/>
        </w:rPr>
        <w:t> </w:t>
      </w:r>
      <w:r>
        <w:rPr>
          <w:sz w:val="21"/>
        </w:rPr>
        <w:t>日的犹豫期。在此期间请您认真审视本附加合同</w:t>
      </w:r>
      <w:r>
        <w:rPr>
          <w:spacing w:val="-12"/>
          <w:sz w:val="21"/>
        </w:rPr>
        <w:t>，</w:t>
      </w:r>
      <w:r>
        <w:rPr>
          <w:sz w:val="21"/>
        </w:rPr>
        <w:t>如果您认为本附加合同与您的需求不相符</w:t>
      </w:r>
      <w:r>
        <w:rPr>
          <w:spacing w:val="-12"/>
          <w:sz w:val="21"/>
        </w:rPr>
        <w:t>，</w:t>
      </w:r>
      <w:r>
        <w:rPr>
          <w:sz w:val="21"/>
        </w:rPr>
        <w:t>您可以在此期间提出解除本附加合同</w:t>
      </w:r>
      <w:r>
        <w:rPr>
          <w:spacing w:val="-12"/>
          <w:sz w:val="21"/>
        </w:rPr>
        <w:t>。</w:t>
      </w:r>
      <w:r>
        <w:rPr>
          <w:sz w:val="21"/>
        </w:rPr>
        <w:t>若主合同继续有效</w:t>
      </w:r>
      <w:r>
        <w:rPr>
          <w:spacing w:val="-12"/>
          <w:sz w:val="21"/>
        </w:rPr>
        <w:t>，</w:t>
      </w:r>
      <w:r>
        <w:rPr>
          <w:sz w:val="21"/>
        </w:rPr>
        <w:t>我们会在收到您解除本附加合同申请书之日将本附加合同所收取的风险保险费无息退还至主合同保单账户价值</w:t>
      </w:r>
      <w:r>
        <w:rPr>
          <w:spacing w:val="-23"/>
          <w:sz w:val="21"/>
        </w:rPr>
        <w:t>，</w:t>
      </w:r>
      <w:r>
        <w:rPr>
          <w:sz w:val="21"/>
        </w:rPr>
        <w:t>主合同保单账户价值按退还的金额等额增加。</w:t>
      </w:r>
    </w:p>
    <w:p>
      <w:pPr>
        <w:pStyle w:val="BodyText"/>
        <w:spacing w:before="4"/>
        <w:rPr>
          <w:sz w:val="24"/>
        </w:rPr>
      </w:pPr>
    </w:p>
    <w:p>
      <w:pPr>
        <w:pStyle w:val="BodyText"/>
        <w:spacing w:before="1"/>
        <w:ind w:left="2947"/>
        <w:rPr>
          <w:b/>
        </w:rPr>
      </w:pPr>
      <w:r>
        <w:rPr/>
        <w:t>解除本附加合同时，您需要填写申请书，并提供您的保险合同及</w:t>
      </w:r>
      <w:r>
        <w:rPr>
          <w:b/>
        </w:rPr>
        <w:t>有效身份证件</w:t>
      </w:r>
    </w:p>
    <w:p>
      <w:pPr>
        <w:pStyle w:val="BodyText"/>
        <w:spacing w:line="273" w:lineRule="auto"/>
        <w:ind w:left="2947" w:right="217"/>
      </w:pPr>
      <w:r>
        <w:rPr/>
        <w:t>（</w:t>
      </w:r>
      <w:r>
        <w:rPr>
          <w:spacing w:val="-27"/>
        </w:rPr>
        <w:t>见 </w:t>
      </w:r>
      <w:r>
        <w:rPr/>
        <w:t>8</w:t>
      </w:r>
      <w:r>
        <w:rPr>
          <w:spacing w:val="-1"/>
        </w:rPr>
        <w:t>.</w:t>
      </w:r>
      <w:r>
        <w:rPr/>
        <w:t>2</w:t>
      </w:r>
      <w:r>
        <w:rPr>
          <w:spacing w:val="-105"/>
        </w:rPr>
        <w:t>）</w:t>
      </w:r>
      <w:r>
        <w:rPr>
          <w:spacing w:val="-9"/>
        </w:rPr>
        <w:t>。自我们收到您解除合同的书面申请时起，本附加合同即被解除，合同解除前发生的保险事故我们不承担保险责任。</w:t>
      </w:r>
    </w:p>
    <w:p>
      <w:pPr>
        <w:pStyle w:val="BodyText"/>
        <w:spacing w:before="0"/>
        <w:rPr>
          <w:sz w:val="20"/>
        </w:rPr>
      </w:pPr>
    </w:p>
    <w:p>
      <w:pPr>
        <w:tabs>
          <w:tab w:pos="961" w:val="left" w:leader="none"/>
        </w:tabs>
        <w:spacing w:before="134"/>
        <w:ind w:left="219" w:right="0" w:firstLine="0"/>
        <w:jc w:val="left"/>
        <w:rPr>
          <w:b/>
          <w:sz w:val="24"/>
        </w:rPr>
      </w:pPr>
      <w:r>
        <w:rPr/>
        <w:pict>
          <v:group style="position:absolute;margin-left:40.560001pt;margin-top:34.800049pt;width:503.1pt;height:1pt;mso-position-horizontal-relative:page;mso-position-vertical-relative:paragraph;z-index:1096;mso-wrap-distance-left:0;mso-wrap-distance-right:0" coordorigin="811,696" coordsize="10062,20">
            <v:line style="position:absolute" from="811,706" to="3559,706" stroked="true" strokeweight=".96002pt" strokecolor="#000000">
              <v:stroke dashstyle="solid"/>
            </v:line>
            <v:line style="position:absolute" from="3559,706" to="10873,706" stroked="true" strokeweight=".96pt" strokecolor="#000000">
              <v:stroke dashstyle="solid"/>
            </v:line>
            <w10:wrap type="topAndBottom"/>
          </v:group>
        </w:pict>
      </w:r>
      <w:r>
        <w:rPr>
          <w:rFonts w:ascii="Arial" w:hAnsi="Arial" w:eastAsia="Arial"/>
          <w:b/>
          <w:position w:val="-3"/>
          <w:sz w:val="40"/>
        </w:rPr>
        <w:t></w:t>
        <w:tab/>
      </w:r>
      <w:r>
        <w:rPr>
          <w:b/>
          <w:w w:val="95"/>
          <w:sz w:val="24"/>
        </w:rPr>
        <w:t>我们提供的保障</w:t>
      </w:r>
    </w:p>
    <w:p>
      <w:pPr>
        <w:pStyle w:val="BodyText"/>
        <w:spacing w:before="10"/>
        <w:rPr>
          <w:b/>
          <w:sz w:val="17"/>
        </w:rPr>
      </w:pPr>
    </w:p>
    <w:p>
      <w:pPr>
        <w:pStyle w:val="ListParagraph"/>
        <w:numPr>
          <w:ilvl w:val="1"/>
          <w:numId w:val="3"/>
        </w:numPr>
        <w:tabs>
          <w:tab w:pos="962" w:val="left" w:leader="none"/>
          <w:tab w:pos="963" w:val="left" w:leader="none"/>
          <w:tab w:pos="2947" w:val="left" w:leader="none"/>
        </w:tabs>
        <w:spacing w:line="273" w:lineRule="auto" w:before="35" w:after="0"/>
        <w:ind w:left="2948" w:right="217" w:hanging="2729"/>
        <w:jc w:val="left"/>
        <w:rPr>
          <w:sz w:val="21"/>
        </w:rPr>
      </w:pPr>
      <w:r>
        <w:rPr>
          <w:b/>
          <w:sz w:val="21"/>
        </w:rPr>
        <w:t>保险期间</w:t>
        <w:tab/>
      </w:r>
      <w:r>
        <w:rPr>
          <w:sz w:val="21"/>
        </w:rPr>
        <w:t>本附加合同的保险期间为终身</w:t>
      </w:r>
      <w:r>
        <w:rPr>
          <w:spacing w:val="-23"/>
          <w:sz w:val="21"/>
        </w:rPr>
        <w:t>，</w:t>
      </w:r>
      <w:r>
        <w:rPr>
          <w:sz w:val="21"/>
        </w:rPr>
        <w:t>自本附加合同生效之日起至本附加合同约定终止时止。</w:t>
      </w:r>
    </w:p>
    <w:p>
      <w:pPr>
        <w:spacing w:after="0" w:line="273" w:lineRule="auto"/>
        <w:jc w:val="left"/>
        <w:rPr>
          <w:sz w:val="21"/>
        </w:rPr>
        <w:sectPr>
          <w:type w:val="continuous"/>
          <w:pgSz w:w="11910" w:h="16840"/>
          <w:pgMar w:top="520" w:bottom="280" w:left="700" w:right="920"/>
        </w:sectPr>
      </w:pPr>
    </w:p>
    <w:p>
      <w:pPr>
        <w:pStyle w:val="ListParagraph"/>
        <w:numPr>
          <w:ilvl w:val="1"/>
          <w:numId w:val="3"/>
        </w:numPr>
        <w:tabs>
          <w:tab w:pos="862" w:val="left" w:leader="none"/>
          <w:tab w:pos="863" w:val="left" w:leader="none"/>
          <w:tab w:pos="2847" w:val="left" w:leader="none"/>
        </w:tabs>
        <w:spacing w:line="273" w:lineRule="auto" w:before="19" w:after="0"/>
        <w:ind w:left="2848" w:right="217" w:hanging="2729"/>
        <w:jc w:val="left"/>
        <w:rPr>
          <w:sz w:val="21"/>
        </w:rPr>
      </w:pPr>
      <w:r>
        <w:rPr>
          <w:b/>
          <w:sz w:val="21"/>
        </w:rPr>
        <w:t>基本保险金额</w:t>
        <w:tab/>
      </w:r>
      <w:r>
        <w:rPr>
          <w:sz w:val="21"/>
        </w:rPr>
        <w:t>本附加合同的基本保险金额由您在投保时与我们约定并在保险单上载明</w:t>
      </w:r>
      <w:r>
        <w:rPr>
          <w:spacing w:val="-23"/>
          <w:sz w:val="21"/>
        </w:rPr>
        <w:t>。</w:t>
      </w:r>
      <w:r>
        <w:rPr>
          <w:sz w:val="21"/>
        </w:rPr>
        <w:t>若该金额发生变更，则以变更后的金额为基本保险金额。</w:t>
      </w:r>
    </w:p>
    <w:p>
      <w:pPr>
        <w:pStyle w:val="BodyText"/>
        <w:spacing w:before="9"/>
      </w:pPr>
    </w:p>
    <w:p>
      <w:pPr>
        <w:spacing w:after="0"/>
        <w:sectPr>
          <w:pgSz w:w="11910" w:h="16840"/>
          <w:pgMar w:top="1100" w:bottom="280" w:left="800" w:right="920"/>
        </w:sectPr>
      </w:pPr>
    </w:p>
    <w:p>
      <w:pPr>
        <w:pStyle w:val="Heading6"/>
        <w:numPr>
          <w:ilvl w:val="1"/>
          <w:numId w:val="3"/>
        </w:numPr>
        <w:tabs>
          <w:tab w:pos="861" w:val="left" w:leader="none"/>
          <w:tab w:pos="862" w:val="left" w:leader="none"/>
        </w:tabs>
        <w:spacing w:line="240" w:lineRule="auto" w:before="36" w:after="0"/>
        <w:ind w:left="861" w:right="0" w:hanging="742"/>
        <w:jc w:val="left"/>
      </w:pPr>
      <w:r>
        <w:rPr>
          <w:w w:val="95"/>
        </w:rPr>
        <w:t>基本保险金额的变</w:t>
      </w:r>
    </w:p>
    <w:p>
      <w:pPr>
        <w:spacing w:before="37"/>
        <w:ind w:left="0" w:right="613" w:firstLine="0"/>
        <w:jc w:val="center"/>
        <w:rPr>
          <w:b/>
          <w:sz w:val="21"/>
        </w:rPr>
      </w:pPr>
      <w:r>
        <w:rPr>
          <w:b/>
          <w:w w:val="99"/>
          <w:sz w:val="21"/>
        </w:rPr>
        <w:t>更</w:t>
      </w:r>
    </w:p>
    <w:p>
      <w:pPr>
        <w:pStyle w:val="BodyText"/>
        <w:spacing w:before="36"/>
        <w:ind w:left="119"/>
      </w:pPr>
      <w:r>
        <w:rPr/>
        <w:br w:type="column"/>
      </w:r>
      <w:r>
        <w:rPr/>
        <w:t>在本附加合同有效期间内，经我们同意，您可以变更基本保险金额。</w:t>
      </w:r>
    </w:p>
    <w:p>
      <w:pPr>
        <w:pStyle w:val="BodyText"/>
        <w:spacing w:before="9"/>
        <w:rPr>
          <w:sz w:val="26"/>
        </w:rPr>
      </w:pPr>
    </w:p>
    <w:p>
      <w:pPr>
        <w:pStyle w:val="BodyText"/>
        <w:spacing w:before="0"/>
        <w:ind w:left="119"/>
      </w:pPr>
      <w:r>
        <w:rPr/>
        <w:t>（1）申请增加基本保险金额</w:t>
      </w:r>
    </w:p>
    <w:p>
      <w:pPr>
        <w:pStyle w:val="BodyText"/>
        <w:spacing w:line="256" w:lineRule="auto"/>
        <w:ind w:left="547" w:right="33" w:firstLine="1"/>
      </w:pPr>
      <w:r>
        <w:rPr/>
        <w:t>您可以向我们申请增加基本保险金额，但每个保单年度最多只能申请</w:t>
      </w:r>
      <w:r>
        <w:rPr>
          <w:rFonts w:ascii="Times New Roman" w:eastAsia="Times New Roman"/>
        </w:rPr>
        <w:t>1 </w:t>
      </w:r>
      <w:r>
        <w:rPr/>
        <w:t>次。在申请增加基本保险金额时，必须同时满足以下条件：</w:t>
      </w:r>
    </w:p>
    <w:p>
      <w:pPr>
        <w:pStyle w:val="BodyText"/>
        <w:spacing w:before="22"/>
        <w:ind w:left="548"/>
      </w:pPr>
      <w:r>
        <w:rPr/>
        <w:t>① 本附加合同生效满 </w:t>
      </w:r>
      <w:r>
        <w:rPr>
          <w:rFonts w:ascii="Times New Roman" w:hAnsi="Times New Roman" w:eastAsia="Times New Roman"/>
        </w:rPr>
        <w:t>1 </w:t>
      </w:r>
      <w:r>
        <w:rPr/>
        <w:t>年；</w:t>
      </w:r>
    </w:p>
    <w:p>
      <w:pPr>
        <w:pStyle w:val="BodyText"/>
        <w:spacing w:before="21"/>
        <w:ind w:left="548"/>
      </w:pPr>
      <w:r>
        <w:rPr>
          <w:spacing w:val="-9"/>
        </w:rPr>
        <w:t>② 在被保险人 </w:t>
      </w:r>
      <w:r>
        <w:rPr/>
        <w:t>55</w:t>
      </w:r>
      <w:r>
        <w:rPr>
          <w:spacing w:val="-54"/>
        </w:rPr>
        <w:t> </w:t>
      </w:r>
      <w:r>
        <w:rPr>
          <w:b/>
        </w:rPr>
        <w:t>周岁</w:t>
      </w:r>
      <w:r>
        <w:rPr/>
        <w:t>（</w:t>
      </w:r>
      <w:r>
        <w:rPr>
          <w:spacing w:val="-28"/>
        </w:rPr>
        <w:t>见 </w:t>
      </w:r>
      <w:r>
        <w:rPr/>
        <w:t>8.3）的保单周年日之前申请；</w:t>
      </w:r>
    </w:p>
    <w:p>
      <w:pPr>
        <w:pStyle w:val="BodyText"/>
        <w:ind w:left="548"/>
      </w:pPr>
      <w:r>
        <w:rPr/>
        <w:t>③ 主合同以前各期和当期应交期交保险费均已支付。</w:t>
      </w:r>
    </w:p>
    <w:p>
      <w:pPr>
        <w:pStyle w:val="BodyText"/>
        <w:spacing w:line="273" w:lineRule="auto"/>
        <w:ind w:left="547" w:right="165" w:firstLine="1"/>
      </w:pPr>
      <w:r>
        <w:rPr/>
        <w:t>在申请增加基本保险金额时，您必须按照我们的规定提供被保险人的健康声明书、体检报告书及其他相关证明文件。</w:t>
      </w:r>
    </w:p>
    <w:p>
      <w:pPr>
        <w:pStyle w:val="BodyText"/>
        <w:spacing w:before="8"/>
        <w:ind w:left="548"/>
      </w:pPr>
      <w:r>
        <w:rPr/>
        <w:t>经我们审核同意后，增加的基本保险金额从次日零时起生效。</w:t>
      </w:r>
    </w:p>
    <w:p>
      <w:pPr>
        <w:pStyle w:val="BodyText"/>
        <w:spacing w:before="9"/>
        <w:rPr>
          <w:sz w:val="26"/>
        </w:rPr>
      </w:pPr>
    </w:p>
    <w:p>
      <w:pPr>
        <w:pStyle w:val="BodyText"/>
        <w:spacing w:before="0"/>
        <w:ind w:left="224"/>
      </w:pPr>
      <w:r>
        <w:rPr/>
        <w:t>（2）申请减少基本保险金额</w:t>
      </w:r>
    </w:p>
    <w:p>
      <w:pPr>
        <w:pStyle w:val="BodyText"/>
        <w:ind w:left="548"/>
      </w:pPr>
      <w:r>
        <w:rPr/>
        <w:t>在本附加合同生效 </w:t>
      </w:r>
      <w:r>
        <w:rPr>
          <w:rFonts w:ascii="Times New Roman" w:eastAsia="Times New Roman"/>
        </w:rPr>
        <w:t>1 </w:t>
      </w:r>
      <w:r>
        <w:rPr/>
        <w:t>年后，您可随时向我们申请减少基本保险金额，但每</w:t>
      </w:r>
    </w:p>
    <w:p>
      <w:pPr>
        <w:pStyle w:val="BodyText"/>
        <w:spacing w:line="256" w:lineRule="auto" w:before="21"/>
        <w:ind w:left="547" w:right="139"/>
      </w:pPr>
      <w:r>
        <w:rPr/>
        <w:t>个保单年度最多只能申请 </w:t>
      </w:r>
      <w:r>
        <w:rPr>
          <w:rFonts w:ascii="Times New Roman" w:eastAsia="Times New Roman"/>
        </w:rPr>
        <w:t>1 </w:t>
      </w:r>
      <w:r>
        <w:rPr/>
        <w:t>次。减少后的基本保险金额须满足我们最低基本保险金额的要求。</w:t>
      </w:r>
    </w:p>
    <w:p>
      <w:pPr>
        <w:pStyle w:val="BodyText"/>
        <w:spacing w:before="22"/>
        <w:ind w:left="539"/>
      </w:pPr>
      <w:r>
        <w:rPr/>
        <w:t>经我们同意后，减少的基本保险金额从次日零时起效力终止。</w:t>
      </w:r>
    </w:p>
    <w:p>
      <w:pPr>
        <w:spacing w:after="0"/>
        <w:sectPr>
          <w:type w:val="continuous"/>
          <w:pgSz w:w="11910" w:h="16840"/>
          <w:pgMar w:top="520" w:bottom="280" w:left="800" w:right="920"/>
          <w:cols w:num="2" w:equalWidth="0">
            <w:col w:w="2550" w:space="179"/>
            <w:col w:w="7461"/>
          </w:cols>
        </w:sectPr>
      </w:pPr>
    </w:p>
    <w:p>
      <w:pPr>
        <w:pStyle w:val="BodyText"/>
        <w:spacing w:before="12"/>
        <w:rPr>
          <w:sz w:val="23"/>
        </w:rPr>
      </w:pPr>
    </w:p>
    <w:p>
      <w:pPr>
        <w:pStyle w:val="ListParagraph"/>
        <w:numPr>
          <w:ilvl w:val="1"/>
          <w:numId w:val="3"/>
        </w:numPr>
        <w:tabs>
          <w:tab w:pos="861" w:val="left" w:leader="none"/>
          <w:tab w:pos="862" w:val="left" w:leader="none"/>
          <w:tab w:pos="2847" w:val="left" w:leader="none"/>
        </w:tabs>
        <w:spacing w:line="240" w:lineRule="auto" w:before="36" w:after="0"/>
        <w:ind w:left="861" w:right="0" w:hanging="742"/>
        <w:jc w:val="left"/>
        <w:rPr>
          <w:sz w:val="21"/>
        </w:rPr>
      </w:pPr>
      <w:r>
        <w:rPr>
          <w:b/>
          <w:sz w:val="21"/>
        </w:rPr>
        <w:t>保险责任</w:t>
        <w:tab/>
      </w:r>
      <w:r>
        <w:rPr>
          <w:sz w:val="21"/>
        </w:rPr>
        <w:t>在本附加合同有效期内，我们承担如下保险责任：</w:t>
      </w:r>
    </w:p>
    <w:p>
      <w:pPr>
        <w:pStyle w:val="BodyText"/>
        <w:spacing w:before="7"/>
        <w:rPr>
          <w:sz w:val="22"/>
        </w:rPr>
      </w:pPr>
    </w:p>
    <w:p>
      <w:pPr>
        <w:pStyle w:val="BodyText"/>
        <w:tabs>
          <w:tab w:pos="2847" w:val="left" w:leader="none"/>
        </w:tabs>
        <w:spacing w:line="223" w:lineRule="auto" w:before="0"/>
        <w:ind w:left="2848" w:right="112" w:hanging="1986"/>
      </w:pPr>
      <w:r>
        <w:rPr>
          <w:rFonts w:ascii="Microsoft JhengHei" w:eastAsia="Microsoft JhengHei" w:hint="eastAsia"/>
          <w:b/>
          <w:position w:val="-2"/>
          <w:sz w:val="24"/>
        </w:rPr>
        <w:t>等待期</w:t>
        <w:tab/>
      </w:r>
      <w:r>
        <w:rPr/>
        <w:t>在本附加合同生效之日或最后复效日(以较迟者为准)起</w:t>
      </w:r>
      <w:r>
        <w:rPr>
          <w:spacing w:val="-70"/>
        </w:rPr>
        <w:t> </w:t>
      </w:r>
      <w:r>
        <w:rPr/>
        <w:t>180</w:t>
      </w:r>
      <w:r>
        <w:rPr>
          <w:spacing w:val="-70"/>
        </w:rPr>
        <w:t> </w:t>
      </w:r>
      <w:r>
        <w:rPr/>
        <w:t>日内</w:t>
      </w:r>
      <w:r>
        <w:rPr>
          <w:spacing w:val="-23"/>
        </w:rPr>
        <w:t>，</w:t>
      </w:r>
      <w:r>
        <w:rPr/>
        <w:t>被保险人因</w:t>
      </w:r>
      <w:r>
        <w:rPr>
          <w:b/>
          <w:spacing w:val="0"/>
          <w:w w:val="99"/>
        </w:rPr>
        <w:t>意外伤</w:t>
      </w:r>
      <w:r>
        <w:rPr>
          <w:b/>
          <w:w w:val="99"/>
        </w:rPr>
        <w:t>害事</w:t>
      </w:r>
      <w:r>
        <w:rPr>
          <w:b/>
          <w:spacing w:val="-104"/>
          <w:w w:val="99"/>
        </w:rPr>
        <w:t>故</w:t>
      </w:r>
      <w:r>
        <w:rPr>
          <w:spacing w:val="-1"/>
        </w:rPr>
        <w:t>（</w:t>
      </w:r>
      <w:r>
        <w:rPr>
          <w:spacing w:val="35"/>
        </w:rPr>
        <w:t>见</w:t>
      </w:r>
      <w:r>
        <w:rPr>
          <w:spacing w:val="-1"/>
        </w:rPr>
        <w:t>8</w:t>
      </w:r>
      <w:r>
        <w:rPr/>
        <w:t>.</w:t>
      </w:r>
      <w:r>
        <w:rPr>
          <w:spacing w:val="-1"/>
        </w:rPr>
        <w:t>4</w:t>
      </w:r>
      <w:r>
        <w:rPr>
          <w:spacing w:val="-105"/>
        </w:rPr>
        <w:t>）</w:t>
      </w:r>
      <w:r>
        <w:rPr>
          <w:spacing w:val="-2"/>
        </w:rPr>
        <w:t>以</w:t>
      </w:r>
      <w:r>
        <w:rPr/>
        <w:t>外的原因患本附加合同约定的</w:t>
      </w:r>
      <w:r>
        <w:rPr>
          <w:b/>
          <w:spacing w:val="0"/>
          <w:w w:val="99"/>
        </w:rPr>
        <w:t>少</w:t>
      </w:r>
      <w:r>
        <w:rPr>
          <w:b/>
          <w:w w:val="99"/>
        </w:rPr>
        <w:t>儿</w:t>
      </w:r>
      <w:r>
        <w:rPr>
          <w:b/>
          <w:spacing w:val="0"/>
          <w:w w:val="99"/>
        </w:rPr>
        <w:t>重大疾</w:t>
      </w:r>
      <w:r>
        <w:rPr>
          <w:b/>
          <w:spacing w:val="-105"/>
          <w:w w:val="99"/>
        </w:rPr>
        <w:t>病</w:t>
      </w:r>
      <w:r>
        <w:rPr/>
        <w:t>（</w:t>
      </w:r>
      <w:r>
        <w:rPr>
          <w:spacing w:val="33"/>
        </w:rPr>
        <w:t>见</w:t>
      </w:r>
      <w:r>
        <w:rPr/>
        <w:t>8</w:t>
      </w:r>
      <w:r>
        <w:rPr>
          <w:spacing w:val="-1"/>
        </w:rPr>
        <w:t>.</w:t>
      </w:r>
      <w:r>
        <w:rPr/>
        <w:t>5</w:t>
      </w:r>
      <w:r>
        <w:rPr>
          <w:spacing w:val="-105"/>
        </w:rPr>
        <w:t>）</w:t>
      </w:r>
      <w:r>
        <w:rPr/>
        <w:t>、</w:t>
      </w:r>
    </w:p>
    <w:p>
      <w:pPr>
        <w:pStyle w:val="BodyText"/>
        <w:spacing w:line="273" w:lineRule="auto"/>
        <w:ind w:left="2848" w:right="113" w:hanging="1"/>
      </w:pPr>
      <w:r>
        <w:rPr>
          <w:b/>
          <w:spacing w:val="-8"/>
          <w:w w:val="99"/>
        </w:rPr>
        <w:t>少儿特别重大疾病</w:t>
      </w:r>
      <w:r>
        <w:rPr>
          <w:spacing w:val="-1"/>
        </w:rPr>
        <w:t>（</w:t>
      </w:r>
      <w:r>
        <w:rPr>
          <w:spacing w:val="-27"/>
        </w:rPr>
        <w:t>见 </w:t>
      </w:r>
      <w:r>
        <w:rPr>
          <w:spacing w:val="-1"/>
        </w:rPr>
        <w:t>8</w:t>
      </w:r>
      <w:r>
        <w:rPr/>
        <w:t>.</w:t>
      </w:r>
      <w:r>
        <w:rPr>
          <w:spacing w:val="-1"/>
        </w:rPr>
        <w:t>6</w:t>
      </w:r>
      <w:r>
        <w:rPr>
          <w:spacing w:val="-105"/>
        </w:rPr>
        <w:t>）</w:t>
      </w:r>
      <w:r>
        <w:rPr>
          <w:spacing w:val="-60"/>
        </w:rPr>
        <w:t>、</w:t>
      </w:r>
      <w:r>
        <w:rPr>
          <w:b/>
          <w:spacing w:val="-10"/>
          <w:w w:val="99"/>
        </w:rPr>
        <w:t>成人重大疾病</w:t>
      </w:r>
      <w:r>
        <w:rPr>
          <w:spacing w:val="-2"/>
        </w:rPr>
        <w:t>（</w:t>
      </w:r>
      <w:r>
        <w:rPr>
          <w:spacing w:val="-27"/>
        </w:rPr>
        <w:t>见 </w:t>
      </w:r>
      <w:r>
        <w:rPr>
          <w:spacing w:val="-1"/>
        </w:rPr>
        <w:t>8</w:t>
      </w:r>
      <w:r>
        <w:rPr/>
        <w:t>.7</w:t>
      </w:r>
      <w:r>
        <w:rPr>
          <w:spacing w:val="-60"/>
        </w:rPr>
        <w:t>）</w:t>
      </w:r>
      <w:r>
        <w:rPr>
          <w:spacing w:val="-2"/>
        </w:rPr>
        <w:t>或</w:t>
      </w:r>
      <w:r>
        <w:rPr>
          <w:b/>
          <w:spacing w:val="-10"/>
          <w:w w:val="99"/>
        </w:rPr>
        <w:t>成人轻症疾病</w:t>
      </w:r>
      <w:r>
        <w:rPr>
          <w:spacing w:val="-1"/>
        </w:rPr>
        <w:t>（</w:t>
      </w:r>
      <w:r>
        <w:rPr>
          <w:spacing w:val="-27"/>
        </w:rPr>
        <w:t>见 </w:t>
      </w:r>
      <w:r>
        <w:rPr>
          <w:spacing w:val="-1"/>
        </w:rPr>
        <w:t>8</w:t>
      </w:r>
      <w:r>
        <w:rPr/>
        <w:t>.</w:t>
      </w:r>
      <w:r>
        <w:rPr>
          <w:spacing w:val="-1"/>
        </w:rPr>
        <w:t>8）</w:t>
      </w:r>
      <w:r>
        <w:rPr/>
        <w:t>的（无论一种或多种</w:t>
      </w:r>
      <w:r>
        <w:rPr>
          <w:spacing w:val="-105"/>
        </w:rPr>
        <w:t>）</w:t>
      </w:r>
      <w:r>
        <w:rPr>
          <w:spacing w:val="-1"/>
        </w:rPr>
        <w:t>，我们不承担保险责任，本附加合同及主合同终止，我</w:t>
      </w:r>
      <w:r>
        <w:rPr>
          <w:spacing w:val="-5"/>
        </w:rPr>
        <w:t>们无息退还主合同所交保险费。这 </w:t>
      </w:r>
      <w:r>
        <w:rPr/>
        <w:t>180</w:t>
      </w:r>
      <w:r>
        <w:rPr>
          <w:spacing w:val="-8"/>
        </w:rPr>
        <w:t> 日的时间称为等待期。</w:t>
      </w:r>
    </w:p>
    <w:p>
      <w:pPr>
        <w:pStyle w:val="BodyText"/>
        <w:spacing w:before="5"/>
        <w:rPr>
          <w:sz w:val="24"/>
        </w:rPr>
      </w:pPr>
    </w:p>
    <w:p>
      <w:pPr>
        <w:pStyle w:val="BodyText"/>
        <w:spacing w:before="0"/>
        <w:ind w:left="2848"/>
      </w:pPr>
      <w:r>
        <w:rPr/>
        <w:t>因意外伤害事故患上述疾病的无等待期。</w:t>
      </w:r>
    </w:p>
    <w:p>
      <w:pPr>
        <w:pStyle w:val="BodyText"/>
        <w:spacing w:before="8"/>
        <w:rPr>
          <w:sz w:val="26"/>
        </w:rPr>
      </w:pPr>
    </w:p>
    <w:p>
      <w:pPr>
        <w:pStyle w:val="BodyText"/>
        <w:spacing w:line="273" w:lineRule="auto" w:before="0"/>
        <w:ind w:left="2848" w:right="169" w:hanging="1"/>
      </w:pPr>
      <w:r>
        <w:rPr/>
        <w:t>如被保险人在等待期后发生本附加合同所约定的保险事故，我们按照下列方式给付保险金：</w:t>
      </w:r>
    </w:p>
    <w:p>
      <w:pPr>
        <w:pStyle w:val="BodyText"/>
        <w:spacing w:before="7"/>
      </w:pPr>
    </w:p>
    <w:p>
      <w:pPr>
        <w:spacing w:after="0"/>
        <w:sectPr>
          <w:type w:val="continuous"/>
          <w:pgSz w:w="11910" w:h="16840"/>
          <w:pgMar w:top="520" w:bottom="280" w:left="800" w:right="920"/>
        </w:sectPr>
      </w:pPr>
    </w:p>
    <w:p>
      <w:pPr>
        <w:spacing w:line="172" w:lineRule="auto" w:before="53"/>
        <w:ind w:left="861" w:right="0" w:firstLine="0"/>
        <w:jc w:val="left"/>
        <w:rPr>
          <w:rFonts w:ascii="Microsoft JhengHei" w:eastAsia="Microsoft JhengHei" w:hint="eastAsia"/>
          <w:b/>
          <w:sz w:val="24"/>
        </w:rPr>
      </w:pPr>
      <w:r>
        <w:rPr>
          <w:rFonts w:ascii="Microsoft JhengHei" w:eastAsia="Microsoft JhengHei" w:hint="eastAsia"/>
          <w:b/>
          <w:sz w:val="24"/>
        </w:rPr>
        <w:t>少儿重大疾病保险金</w:t>
      </w:r>
    </w:p>
    <w:p>
      <w:pPr>
        <w:pStyle w:val="BodyText"/>
        <w:spacing w:line="273" w:lineRule="auto" w:before="38"/>
        <w:ind w:left="264" w:right="217"/>
      </w:pPr>
      <w:r>
        <w:rPr/>
        <w:br w:type="column"/>
      </w:r>
      <w:r>
        <w:rPr>
          <w:spacing w:val="-10"/>
        </w:rPr>
        <w:t>被保险人在 </w:t>
      </w:r>
      <w:r>
        <w:rPr/>
        <w:t>18</w:t>
      </w:r>
      <w:r>
        <w:rPr>
          <w:spacing w:val="-10"/>
        </w:rPr>
        <w:t> 周岁之前，</w:t>
      </w:r>
      <w:r>
        <w:rPr>
          <w:b/>
        </w:rPr>
        <w:t>初次发生</w:t>
      </w:r>
      <w:r>
        <w:rPr/>
        <w:t>（</w:t>
      </w:r>
      <w:r>
        <w:rPr>
          <w:spacing w:val="-28"/>
        </w:rPr>
        <w:t>见 </w:t>
      </w:r>
      <w:r>
        <w:rPr/>
        <w:t>8.9）并被</w:t>
      </w:r>
      <w:r>
        <w:rPr>
          <w:b/>
        </w:rPr>
        <w:t>医院</w:t>
      </w:r>
      <w:r>
        <w:rPr/>
        <w:t>（</w:t>
      </w:r>
      <w:r>
        <w:rPr>
          <w:spacing w:val="-28"/>
        </w:rPr>
        <w:t>见 </w:t>
      </w:r>
      <w:r>
        <w:rPr/>
        <w:t>8.10）的</w:t>
      </w:r>
      <w:r>
        <w:rPr>
          <w:b/>
        </w:rPr>
        <w:t>专科医</w:t>
      </w:r>
      <w:r>
        <w:rPr>
          <w:b/>
          <w:spacing w:val="-25"/>
        </w:rPr>
        <w:t>生</w:t>
      </w:r>
      <w:r>
        <w:rPr/>
        <w:t>（</w:t>
      </w:r>
      <w:r>
        <w:rPr>
          <w:spacing w:val="-35"/>
        </w:rPr>
        <w:t>见 </w:t>
      </w:r>
      <w:r>
        <w:rPr>
          <w:spacing w:val="-6"/>
        </w:rPr>
        <w:t>8.11）</w:t>
      </w:r>
      <w:r>
        <w:rPr>
          <w:spacing w:val="-2"/>
        </w:rPr>
        <w:t>确诊为本附加合同约定的少儿重大疾病，我们按本附加合同基本</w:t>
      </w:r>
      <w:r>
        <w:rPr>
          <w:spacing w:val="-4"/>
        </w:rPr>
        <w:t>保险金额给付少儿重大疾病保险金，本附加合同终止；主合同基本保险金额减少为扣除本附加合同基本保险金额后的金额。</w:t>
      </w:r>
    </w:p>
    <w:p>
      <w:pPr>
        <w:spacing w:after="0" w:line="273" w:lineRule="auto"/>
        <w:sectPr>
          <w:type w:val="continuous"/>
          <w:pgSz w:w="11910" w:h="16840"/>
          <w:pgMar w:top="520" w:bottom="280" w:left="800" w:right="920"/>
          <w:cols w:num="2" w:equalWidth="0">
            <w:col w:w="2544" w:space="40"/>
            <w:col w:w="7606"/>
          </w:cols>
        </w:sectPr>
      </w:pPr>
    </w:p>
    <w:p>
      <w:pPr>
        <w:pStyle w:val="BodyText"/>
        <w:spacing w:before="8"/>
      </w:pPr>
    </w:p>
    <w:p>
      <w:pPr>
        <w:spacing w:after="0"/>
        <w:sectPr>
          <w:type w:val="continuous"/>
          <w:pgSz w:w="11910" w:h="16840"/>
          <w:pgMar w:top="520" w:bottom="280" w:left="800" w:right="920"/>
        </w:sectPr>
      </w:pPr>
    </w:p>
    <w:p>
      <w:pPr>
        <w:pStyle w:val="Heading2"/>
        <w:spacing w:line="172" w:lineRule="auto" w:before="52"/>
        <w:ind w:left="861"/>
        <w:rPr>
          <w:rFonts w:ascii="Microsoft JhengHei" w:eastAsia="Microsoft JhengHei" w:hint="eastAsia"/>
        </w:rPr>
      </w:pPr>
      <w:r>
        <w:rPr>
          <w:rFonts w:ascii="Microsoft JhengHei" w:eastAsia="Microsoft JhengHei" w:hint="eastAsia"/>
        </w:rPr>
        <w:t>少儿特别重大疾病保险金</w:t>
      </w:r>
    </w:p>
    <w:p>
      <w:pPr>
        <w:pStyle w:val="BodyText"/>
        <w:spacing w:line="273" w:lineRule="auto"/>
        <w:ind w:left="264" w:right="217"/>
      </w:pPr>
      <w:r>
        <w:rPr/>
        <w:br w:type="column"/>
      </w:r>
      <w:r>
        <w:rPr>
          <w:spacing w:val="-11"/>
        </w:rPr>
        <w:t>被保险人在 </w:t>
      </w:r>
      <w:r>
        <w:rPr/>
        <w:t>18</w:t>
      </w:r>
      <w:r>
        <w:rPr>
          <w:spacing w:val="-8"/>
        </w:rPr>
        <w:t> 周岁之前，初次发生并被医院的专科医生确诊为本附加合同约</w:t>
      </w:r>
      <w:r>
        <w:rPr>
          <w:spacing w:val="-10"/>
        </w:rPr>
        <w:t>定的少儿特别重大疾病，我们按本附加合同基本保险金额给付少儿特别重大疾</w:t>
      </w:r>
      <w:r>
        <w:rPr>
          <w:spacing w:val="-9"/>
        </w:rPr>
        <w:t>病保险金，本附加合同的少儿重大疾病保险金、成人重大疾病保险金和成人轻</w:t>
      </w:r>
      <w:r>
        <w:rPr>
          <w:spacing w:val="-10"/>
        </w:rPr>
        <w:t>症疾病提前给付保险金三项保险责任终止；主合同基本保险金额减少为扣除本</w:t>
      </w:r>
      <w:r>
        <w:rPr>
          <w:spacing w:val="-12"/>
        </w:rPr>
        <w:t>附加合同基本保险金额后的金额。若自初次确诊之日起被保险人生存满 </w:t>
      </w:r>
      <w:r>
        <w:rPr/>
        <w:t>30</w:t>
      </w:r>
      <w:r>
        <w:rPr>
          <w:spacing w:val="-34"/>
        </w:rPr>
        <w:t> 日</w:t>
      </w:r>
    </w:p>
    <w:p>
      <w:pPr>
        <w:pStyle w:val="BodyText"/>
        <w:spacing w:line="273" w:lineRule="auto" w:before="7"/>
        <w:ind w:left="264" w:right="218"/>
      </w:pPr>
      <w:r>
        <w:rPr/>
        <w:t>（</w:t>
      </w:r>
      <w:r>
        <w:rPr>
          <w:spacing w:val="-29"/>
        </w:rPr>
        <w:t>含 </w:t>
      </w:r>
      <w:r>
        <w:rPr/>
        <w:t>30</w:t>
      </w:r>
      <w:r>
        <w:rPr>
          <w:spacing w:val="-15"/>
        </w:rPr>
        <w:t> 日当日</w:t>
      </w:r>
      <w:r>
        <w:rPr>
          <w:spacing w:val="-64"/>
        </w:rPr>
        <w:t>）</w:t>
      </w:r>
      <w:r>
        <w:rPr>
          <w:spacing w:val="-9"/>
        </w:rPr>
        <w:t>，我们将再次按本附加合同基本保险金额给付少儿特别重大疾病保险金，本附加合同终止。</w:t>
      </w:r>
    </w:p>
    <w:p>
      <w:pPr>
        <w:spacing w:after="0" w:line="273" w:lineRule="auto"/>
        <w:sectPr>
          <w:type w:val="continuous"/>
          <w:pgSz w:w="11910" w:h="16840"/>
          <w:pgMar w:top="520" w:bottom="280" w:left="800" w:right="920"/>
          <w:cols w:num="2" w:equalWidth="0">
            <w:col w:w="2544" w:space="40"/>
            <w:col w:w="7606"/>
          </w:cols>
        </w:sectPr>
      </w:pPr>
    </w:p>
    <w:p>
      <w:pPr>
        <w:pStyle w:val="Heading2"/>
        <w:spacing w:line="172" w:lineRule="auto" w:before="26"/>
        <w:ind w:left="961"/>
        <w:rPr>
          <w:rFonts w:ascii="Microsoft JhengHei" w:eastAsia="Microsoft JhengHei" w:hint="eastAsia"/>
        </w:rPr>
      </w:pPr>
      <w:r>
        <w:rPr>
          <w:rFonts w:ascii="Microsoft JhengHei" w:eastAsia="Microsoft JhengHei" w:hint="eastAsia"/>
        </w:rPr>
        <w:t>成人重大疾病保险金</w:t>
      </w:r>
    </w:p>
    <w:p>
      <w:pPr>
        <w:pStyle w:val="BodyText"/>
        <w:spacing w:line="273" w:lineRule="auto" w:before="11"/>
        <w:ind w:left="264" w:right="194"/>
        <w:jc w:val="both"/>
      </w:pPr>
      <w:r>
        <w:rPr/>
        <w:br w:type="column"/>
      </w:r>
      <w:r>
        <w:rPr>
          <w:spacing w:val="-10"/>
        </w:rPr>
        <w:t>被保险人在 </w:t>
      </w:r>
      <w:r>
        <w:rPr/>
        <w:t>18</w:t>
      </w:r>
      <w:r>
        <w:rPr>
          <w:spacing w:val="-22"/>
        </w:rPr>
        <w:t> 周岁</w:t>
      </w:r>
      <w:r>
        <w:rPr/>
        <w:t>（</w:t>
      </w:r>
      <w:r>
        <w:rPr>
          <w:spacing w:val="-30"/>
        </w:rPr>
        <w:t>含 </w:t>
      </w:r>
      <w:r>
        <w:rPr/>
        <w:t>18</w:t>
      </w:r>
      <w:r>
        <w:rPr>
          <w:spacing w:val="-20"/>
        </w:rPr>
        <w:t> 周岁</w:t>
      </w:r>
      <w:r>
        <w:rPr>
          <w:spacing w:val="-8"/>
        </w:rPr>
        <w:t>）</w:t>
      </w:r>
      <w:r>
        <w:rPr>
          <w:spacing w:val="-3"/>
        </w:rPr>
        <w:t>之后，初次发生并被医院的专科医生确诊为</w:t>
      </w:r>
      <w:r>
        <w:rPr>
          <w:spacing w:val="-5"/>
        </w:rPr>
        <w:t>本附加合同约定的成人重大疾病，我们按本附加合同当时的基本保险金额</w:t>
      </w:r>
      <w:r>
        <w:rPr/>
        <w:t>（扣除给付的轻症疾病提前给付保险金之和后的金额）给付成人重大疾病保险金， </w:t>
      </w:r>
      <w:r>
        <w:rPr>
          <w:spacing w:val="-3"/>
        </w:rPr>
        <w:t>本附加合同终止；主合同基本保险金额减少为扣除本附加合同基本保险金额后的金额。</w:t>
      </w:r>
    </w:p>
    <w:p>
      <w:pPr>
        <w:spacing w:after="0" w:line="273" w:lineRule="auto"/>
        <w:jc w:val="both"/>
        <w:sectPr>
          <w:pgSz w:w="11910" w:h="16840"/>
          <w:pgMar w:top="1420" w:bottom="280" w:left="700" w:right="920"/>
          <w:cols w:num="2" w:equalWidth="0">
            <w:col w:w="2644" w:space="40"/>
            <w:col w:w="7606"/>
          </w:cols>
        </w:sectPr>
      </w:pPr>
    </w:p>
    <w:p>
      <w:pPr>
        <w:pStyle w:val="BodyText"/>
        <w:spacing w:before="7"/>
      </w:pPr>
    </w:p>
    <w:p>
      <w:pPr>
        <w:spacing w:after="0"/>
        <w:sectPr>
          <w:type w:val="continuous"/>
          <w:pgSz w:w="11910" w:h="16840"/>
          <w:pgMar w:top="520" w:bottom="280" w:left="700" w:right="920"/>
        </w:sectPr>
      </w:pPr>
    </w:p>
    <w:p>
      <w:pPr>
        <w:pStyle w:val="Heading2"/>
        <w:spacing w:line="172" w:lineRule="auto"/>
        <w:ind w:left="961"/>
        <w:rPr>
          <w:rFonts w:ascii="Microsoft JhengHei" w:eastAsia="Microsoft JhengHei" w:hint="eastAsia"/>
        </w:rPr>
      </w:pPr>
      <w:r>
        <w:rPr>
          <w:rFonts w:ascii="Microsoft JhengHei" w:eastAsia="Microsoft JhengHei" w:hint="eastAsia"/>
        </w:rPr>
        <w:t>成人轻症疾病提前给付保险金</w:t>
      </w:r>
    </w:p>
    <w:p>
      <w:pPr>
        <w:pStyle w:val="BodyText"/>
        <w:spacing w:line="264" w:lineRule="auto" w:before="38"/>
        <w:ind w:left="264" w:right="217"/>
        <w:jc w:val="both"/>
      </w:pPr>
      <w:r>
        <w:rPr/>
        <w:br w:type="column"/>
      </w:r>
      <w:r>
        <w:rPr>
          <w:spacing w:val="-10"/>
        </w:rPr>
        <w:t>被保险人在 </w:t>
      </w:r>
      <w:r>
        <w:rPr/>
        <w:t>18</w:t>
      </w:r>
      <w:r>
        <w:rPr>
          <w:spacing w:val="-23"/>
        </w:rPr>
        <w:t> 周岁</w:t>
      </w:r>
      <w:r>
        <w:rPr/>
        <w:t>（</w:t>
      </w:r>
      <w:r>
        <w:rPr>
          <w:spacing w:val="-30"/>
        </w:rPr>
        <w:t>含 </w:t>
      </w:r>
      <w:r>
        <w:rPr/>
        <w:t>18</w:t>
      </w:r>
      <w:r>
        <w:rPr>
          <w:spacing w:val="-20"/>
        </w:rPr>
        <w:t> 周岁</w:t>
      </w:r>
      <w:r>
        <w:rPr>
          <w:spacing w:val="-8"/>
        </w:rPr>
        <w:t>）</w:t>
      </w:r>
      <w:r>
        <w:rPr>
          <w:spacing w:val="-3"/>
        </w:rPr>
        <w:t>之后，初次发生并被医院的专科医生确诊为</w:t>
      </w:r>
      <w:r>
        <w:rPr>
          <w:spacing w:val="-10"/>
        </w:rPr>
        <w:t>本附加合同约定的成人轻症疾病，我们按本附加合同基本保险金额 </w:t>
      </w:r>
      <w:r>
        <w:rPr>
          <w:rFonts w:ascii="Times New Roman" w:eastAsia="Times New Roman"/>
        </w:rPr>
        <w:t>20</w:t>
      </w:r>
      <w:r>
        <w:rPr/>
        <w:t>％给付成</w:t>
      </w:r>
      <w:r>
        <w:rPr>
          <w:spacing w:val="-3"/>
        </w:rPr>
        <w:t>人轻症疾病提前给付保险金，但最多不超过人民币 </w:t>
      </w:r>
      <w:r>
        <w:rPr>
          <w:rFonts w:ascii="Times New Roman" w:eastAsia="Times New Roman"/>
        </w:rPr>
        <w:t>50000 </w:t>
      </w:r>
      <w:r>
        <w:rPr/>
        <w:t>元。</w:t>
      </w:r>
    </w:p>
    <w:p>
      <w:pPr>
        <w:pStyle w:val="BodyText"/>
        <w:spacing w:before="9"/>
        <w:rPr>
          <w:sz w:val="23"/>
        </w:rPr>
      </w:pPr>
    </w:p>
    <w:p>
      <w:pPr>
        <w:pStyle w:val="BodyText"/>
        <w:spacing w:line="273" w:lineRule="auto" w:before="0"/>
        <w:ind w:left="264" w:right="217"/>
      </w:pPr>
      <w:r>
        <w:rPr>
          <w:spacing w:val="-5"/>
        </w:rPr>
        <w:t>每种成人轻症疾病只给付 </w:t>
      </w:r>
      <w:r>
        <w:rPr/>
        <w:t>1</w:t>
      </w:r>
      <w:r>
        <w:rPr>
          <w:spacing w:val="-9"/>
        </w:rPr>
        <w:t> 次成人轻症疾病提前给付保险金，给付后该种成人轻症疾病提前给付保险金保险责任终止。</w:t>
      </w:r>
    </w:p>
    <w:p>
      <w:pPr>
        <w:pStyle w:val="BodyText"/>
        <w:spacing w:before="5"/>
        <w:rPr>
          <w:sz w:val="24"/>
        </w:rPr>
      </w:pPr>
    </w:p>
    <w:p>
      <w:pPr>
        <w:pStyle w:val="BodyText"/>
        <w:spacing w:line="273" w:lineRule="auto" w:before="0"/>
        <w:ind w:left="264" w:right="184"/>
      </w:pPr>
      <w:r>
        <w:rPr/>
        <w:t>轻症疾病提前给付保险金给付后，本附加合同的基本保险金额递减为扣除成人轻症疾病提前给付保险金后的金额，当本附加合同的基本保险金额递减为零时，本附加合同终止；主合同基本保险金额减少为扣除成人轻症疾病提前给付保险金之和后的金额。</w:t>
      </w:r>
    </w:p>
    <w:p>
      <w:pPr>
        <w:spacing w:after="0" w:line="273" w:lineRule="auto"/>
        <w:sectPr>
          <w:type w:val="continuous"/>
          <w:pgSz w:w="11910" w:h="16840"/>
          <w:pgMar w:top="520" w:bottom="280" w:left="700" w:right="920"/>
          <w:cols w:num="2" w:equalWidth="0">
            <w:col w:w="2644" w:space="40"/>
            <w:col w:w="7606"/>
          </w:cols>
        </w:sectPr>
      </w:pPr>
    </w:p>
    <w:p>
      <w:pPr>
        <w:pStyle w:val="BodyText"/>
        <w:spacing w:before="7"/>
      </w:pPr>
    </w:p>
    <w:p>
      <w:pPr>
        <w:pStyle w:val="BodyText"/>
        <w:tabs>
          <w:tab w:pos="2947" w:val="left" w:leader="none"/>
        </w:tabs>
        <w:spacing w:line="351" w:lineRule="exact" w:before="0"/>
        <w:ind w:left="961"/>
      </w:pPr>
      <w:r>
        <w:rPr>
          <w:rFonts w:ascii="Microsoft JhengHei" w:eastAsia="Microsoft JhengHei" w:hint="eastAsia"/>
          <w:b/>
          <w:sz w:val="24"/>
        </w:rPr>
        <w:t>对主合同的影响</w:t>
        <w:tab/>
      </w:r>
      <w:r>
        <w:rPr>
          <w:position w:val="1"/>
        </w:rPr>
        <w:t>主合同约定的各项保险责任按减少或再次减少后的基本保险金额确定</w:t>
      </w:r>
      <w:r>
        <w:rPr>
          <w:spacing w:val="-23"/>
          <w:position w:val="1"/>
        </w:rPr>
        <w:t>。</w:t>
      </w:r>
      <w:r>
        <w:rPr>
          <w:position w:val="1"/>
        </w:rPr>
        <w:t>当主合</w:t>
      </w:r>
    </w:p>
    <w:p>
      <w:pPr>
        <w:pStyle w:val="BodyText"/>
        <w:spacing w:line="273" w:lineRule="auto" w:before="0"/>
        <w:ind w:left="2947" w:right="170"/>
      </w:pPr>
      <w:r>
        <w:rPr/>
        <w:t>同基本保险金额减少至零时，主合同终止，我们将按收到重大疾病保险金给付申请书当时的主合同保单账户价值退还给您。</w:t>
      </w:r>
    </w:p>
    <w:p>
      <w:pPr>
        <w:pStyle w:val="BodyText"/>
        <w:spacing w:before="7"/>
        <w:rPr>
          <w:sz w:val="24"/>
        </w:rPr>
      </w:pPr>
    </w:p>
    <w:p>
      <w:pPr>
        <w:pStyle w:val="ListParagraph"/>
        <w:numPr>
          <w:ilvl w:val="1"/>
          <w:numId w:val="3"/>
        </w:numPr>
        <w:tabs>
          <w:tab w:pos="962" w:val="left" w:leader="none"/>
          <w:tab w:pos="2947" w:val="left" w:leader="none"/>
        </w:tabs>
        <w:spacing w:line="273" w:lineRule="auto" w:before="0" w:after="0"/>
        <w:ind w:left="2947" w:right="218" w:hanging="2728"/>
        <w:jc w:val="both"/>
        <w:rPr>
          <w:rFonts w:ascii="黑体" w:hAnsi="黑体" w:eastAsia="黑体" w:hint="eastAsia"/>
          <w:sz w:val="21"/>
        </w:rPr>
      </w:pPr>
      <w:r>
        <w:rPr>
          <w:b/>
          <w:sz w:val="21"/>
        </w:rPr>
        <w:t>责任免除</w:t>
        <w:tab/>
      </w:r>
      <w:r>
        <w:rPr>
          <w:rFonts w:ascii="黑体" w:hAnsi="黑体" w:eastAsia="黑体" w:hint="eastAsia"/>
          <w:sz w:val="21"/>
        </w:rPr>
        <w:t>因下列情形之一导致被保险人初次发</w:t>
      </w:r>
      <w:r>
        <w:rPr>
          <w:rFonts w:ascii="黑体" w:hAnsi="黑体" w:eastAsia="黑体" w:hint="eastAsia"/>
          <w:spacing w:val="-3"/>
          <w:sz w:val="21"/>
        </w:rPr>
        <w:t>Th“</w:t>
      </w:r>
      <w:r>
        <w:rPr>
          <w:rFonts w:ascii="黑体" w:hAnsi="黑体" w:eastAsia="黑体" w:hint="eastAsia"/>
          <w:sz w:val="21"/>
        </w:rPr>
        <w:t>少儿重大疾病</w:t>
      </w:r>
      <w:r>
        <w:rPr>
          <w:rFonts w:ascii="黑体" w:hAnsi="黑体" w:eastAsia="黑体" w:hint="eastAsia"/>
          <w:spacing w:val="-7"/>
          <w:sz w:val="21"/>
        </w:rPr>
        <w:t>”</w:t>
      </w:r>
      <w:r>
        <w:rPr>
          <w:rFonts w:ascii="黑体" w:hAnsi="黑体" w:eastAsia="黑体" w:hint="eastAsia"/>
          <w:spacing w:val="-12"/>
          <w:sz w:val="21"/>
        </w:rPr>
        <w:t>、</w:t>
      </w:r>
      <w:r>
        <w:rPr>
          <w:rFonts w:ascii="黑体" w:hAnsi="黑体" w:eastAsia="黑体" w:hint="eastAsia"/>
          <w:sz w:val="21"/>
        </w:rPr>
        <w:t>“少儿特别重大疾 病</w:t>
      </w:r>
      <w:r>
        <w:rPr>
          <w:rFonts w:ascii="黑体" w:hAnsi="黑体" w:eastAsia="黑体" w:hint="eastAsia"/>
          <w:spacing w:val="-4"/>
          <w:sz w:val="21"/>
        </w:rPr>
        <w:t>”</w:t>
      </w:r>
      <w:r>
        <w:rPr>
          <w:rFonts w:ascii="黑体" w:hAnsi="黑体" w:eastAsia="黑体" w:hint="eastAsia"/>
          <w:spacing w:val="-8"/>
          <w:sz w:val="21"/>
        </w:rPr>
        <w:t>、</w:t>
      </w:r>
      <w:r>
        <w:rPr>
          <w:rFonts w:ascii="黑体" w:hAnsi="黑体" w:eastAsia="黑体" w:hint="eastAsia"/>
          <w:sz w:val="21"/>
        </w:rPr>
        <w:t>“成人重大疾病</w:t>
      </w:r>
      <w:r>
        <w:rPr>
          <w:rFonts w:ascii="黑体" w:hAnsi="黑体" w:eastAsia="黑体" w:hint="eastAsia"/>
          <w:spacing w:val="-4"/>
          <w:sz w:val="21"/>
        </w:rPr>
        <w:t>”或</w:t>
      </w:r>
      <w:r>
        <w:rPr>
          <w:rFonts w:ascii="黑体" w:hAnsi="黑体" w:eastAsia="黑体" w:hint="eastAsia"/>
          <w:sz w:val="21"/>
        </w:rPr>
        <w:t>“成人轻症疾病</w:t>
      </w:r>
      <w:r>
        <w:rPr>
          <w:rFonts w:ascii="黑体" w:hAnsi="黑体" w:eastAsia="黑体" w:hint="eastAsia"/>
          <w:spacing w:val="-4"/>
          <w:sz w:val="21"/>
        </w:rPr>
        <w:t>”</w:t>
      </w:r>
      <w:r>
        <w:rPr>
          <w:rFonts w:ascii="黑体" w:hAnsi="黑体" w:eastAsia="黑体" w:hint="eastAsia"/>
          <w:sz w:val="21"/>
        </w:rPr>
        <w:t>的</w:t>
      </w:r>
      <w:r>
        <w:rPr>
          <w:rFonts w:ascii="黑体" w:hAnsi="黑体" w:eastAsia="黑体" w:hint="eastAsia"/>
          <w:spacing w:val="-4"/>
          <w:sz w:val="21"/>
        </w:rPr>
        <w:t>，</w:t>
      </w:r>
      <w:r>
        <w:rPr>
          <w:rFonts w:ascii="黑体" w:hAnsi="黑体" w:eastAsia="黑体" w:hint="eastAsia"/>
          <w:sz w:val="21"/>
        </w:rPr>
        <w:t>我们不承担给付保险金的责任：</w:t>
      </w:r>
    </w:p>
    <w:p>
      <w:pPr>
        <w:pStyle w:val="ListParagraph"/>
        <w:numPr>
          <w:ilvl w:val="2"/>
          <w:numId w:val="3"/>
        </w:numPr>
        <w:tabs>
          <w:tab w:pos="3369" w:val="left" w:leader="none"/>
        </w:tabs>
        <w:spacing w:line="240" w:lineRule="auto" w:before="7" w:after="0"/>
        <w:ind w:left="3473" w:right="0" w:hanging="526"/>
        <w:jc w:val="left"/>
        <w:rPr>
          <w:rFonts w:ascii="黑体" w:eastAsia="黑体" w:hint="eastAsia"/>
          <w:sz w:val="21"/>
        </w:rPr>
      </w:pPr>
      <w:r>
        <w:rPr>
          <w:rFonts w:ascii="黑体" w:eastAsia="黑体" w:hint="eastAsia"/>
          <w:spacing w:val="-1"/>
          <w:sz w:val="21"/>
        </w:rPr>
        <w:t>投保人对被保险人的故意杀害、故意伤害；</w:t>
      </w:r>
    </w:p>
    <w:p>
      <w:pPr>
        <w:pStyle w:val="ListParagraph"/>
        <w:numPr>
          <w:ilvl w:val="2"/>
          <w:numId w:val="3"/>
        </w:numPr>
        <w:tabs>
          <w:tab w:pos="3369" w:val="left" w:leader="none"/>
        </w:tabs>
        <w:spacing w:line="240" w:lineRule="auto" w:before="37" w:after="0"/>
        <w:ind w:left="3473" w:right="0" w:hanging="526"/>
        <w:jc w:val="left"/>
        <w:rPr>
          <w:rFonts w:ascii="黑体" w:eastAsia="黑体" w:hint="eastAsia"/>
          <w:sz w:val="21"/>
        </w:rPr>
      </w:pPr>
      <w:r>
        <w:rPr>
          <w:rFonts w:ascii="黑体" w:eastAsia="黑体" w:hint="eastAsia"/>
          <w:spacing w:val="-1"/>
          <w:sz w:val="21"/>
        </w:rPr>
        <w:t>被保险人故意自伤，故意犯罪或者抗拒依法采取的刑事强制措施；</w:t>
      </w:r>
    </w:p>
    <w:p>
      <w:pPr>
        <w:pStyle w:val="ListParagraph"/>
        <w:numPr>
          <w:ilvl w:val="2"/>
          <w:numId w:val="3"/>
        </w:numPr>
        <w:tabs>
          <w:tab w:pos="3369" w:val="left" w:leader="none"/>
        </w:tabs>
        <w:spacing w:line="273" w:lineRule="auto" w:before="37" w:after="0"/>
        <w:ind w:left="3473" w:right="217" w:hanging="526"/>
        <w:jc w:val="left"/>
        <w:rPr>
          <w:rFonts w:ascii="黑体" w:eastAsia="黑体" w:hint="eastAsia"/>
          <w:sz w:val="21"/>
        </w:rPr>
      </w:pPr>
      <w:r>
        <w:rPr>
          <w:rFonts w:ascii="黑体" w:eastAsia="黑体" w:hint="eastAsia"/>
          <w:spacing w:val="-3"/>
          <w:sz w:val="21"/>
        </w:rPr>
        <w:t>被保险人自本附加合同成立或者合同效力恢复之日起 </w:t>
      </w:r>
      <w:r>
        <w:rPr>
          <w:rFonts w:ascii="黑体" w:eastAsia="黑体" w:hint="eastAsia"/>
          <w:sz w:val="21"/>
        </w:rPr>
        <w:t>2</w:t>
      </w:r>
      <w:r>
        <w:rPr>
          <w:rFonts w:ascii="黑体" w:eastAsia="黑体" w:hint="eastAsia"/>
          <w:spacing w:val="-11"/>
          <w:sz w:val="21"/>
        </w:rPr>
        <w:t> 年内自杀，但被保险人自杀时为无民事行为能力人的除外；</w:t>
      </w:r>
    </w:p>
    <w:p>
      <w:pPr>
        <w:pStyle w:val="ListParagraph"/>
        <w:numPr>
          <w:ilvl w:val="2"/>
          <w:numId w:val="3"/>
        </w:numPr>
        <w:tabs>
          <w:tab w:pos="3369" w:val="left" w:leader="none"/>
        </w:tabs>
        <w:spacing w:line="240" w:lineRule="auto" w:before="7" w:after="0"/>
        <w:ind w:left="3368" w:right="0" w:hanging="421"/>
        <w:jc w:val="left"/>
        <w:rPr>
          <w:rFonts w:ascii="黑体" w:eastAsia="黑体" w:hint="eastAsia"/>
          <w:b/>
          <w:sz w:val="21"/>
        </w:rPr>
      </w:pPr>
      <w:r>
        <w:rPr>
          <w:rFonts w:ascii="黑体" w:eastAsia="黑体" w:hint="eastAsia"/>
          <w:spacing w:val="-1"/>
          <w:sz w:val="21"/>
        </w:rPr>
        <w:t>被保险人主动吸食或注射</w:t>
      </w:r>
      <w:r>
        <w:rPr>
          <w:rFonts w:ascii="黑体" w:eastAsia="黑体" w:hint="eastAsia"/>
          <w:b/>
          <w:w w:val="99"/>
          <w:sz w:val="21"/>
        </w:rPr>
        <w:t>毒品</w:t>
      </w:r>
      <w:r>
        <w:rPr>
          <w:rFonts w:ascii="黑体" w:eastAsia="黑体" w:hint="eastAsia"/>
          <w:sz w:val="21"/>
        </w:rPr>
        <w:t>（</w:t>
      </w:r>
      <w:r>
        <w:rPr>
          <w:rFonts w:ascii="黑体" w:eastAsia="黑体" w:hint="eastAsia"/>
          <w:spacing w:val="-27"/>
          <w:sz w:val="21"/>
        </w:rPr>
        <w:t>见 </w:t>
      </w:r>
      <w:r>
        <w:rPr>
          <w:rFonts w:ascii="黑体" w:eastAsia="黑体" w:hint="eastAsia"/>
          <w:sz w:val="21"/>
        </w:rPr>
        <w:t>8</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2</w:t>
      </w:r>
      <w:r>
        <w:rPr>
          <w:rFonts w:ascii="黑体" w:eastAsia="黑体" w:hint="eastAsia"/>
          <w:spacing w:val="-105"/>
          <w:sz w:val="21"/>
        </w:rPr>
        <w:t>）</w:t>
      </w:r>
      <w:r>
        <w:rPr>
          <w:rFonts w:ascii="黑体" w:eastAsia="黑体" w:hint="eastAsia"/>
          <w:b/>
          <w:w w:val="99"/>
          <w:sz w:val="21"/>
        </w:rPr>
        <w:t>；</w:t>
      </w:r>
    </w:p>
    <w:p>
      <w:pPr>
        <w:pStyle w:val="ListParagraph"/>
        <w:numPr>
          <w:ilvl w:val="2"/>
          <w:numId w:val="3"/>
        </w:numPr>
        <w:tabs>
          <w:tab w:pos="3369" w:val="left" w:leader="none"/>
        </w:tabs>
        <w:spacing w:line="273" w:lineRule="auto" w:before="36" w:after="0"/>
        <w:ind w:left="3438" w:right="216" w:hanging="491"/>
        <w:jc w:val="left"/>
        <w:rPr>
          <w:rFonts w:ascii="黑体" w:eastAsia="黑体" w:hint="eastAsia"/>
          <w:sz w:val="21"/>
        </w:rPr>
      </w:pPr>
      <w:r>
        <w:rPr>
          <w:rFonts w:ascii="黑体" w:eastAsia="黑体" w:hint="eastAsia"/>
          <w:spacing w:val="-1"/>
          <w:sz w:val="21"/>
        </w:rPr>
        <w:t>被保险人</w:t>
      </w:r>
      <w:r>
        <w:rPr>
          <w:rFonts w:ascii="黑体" w:eastAsia="黑体" w:hint="eastAsia"/>
          <w:b/>
          <w:w w:val="99"/>
          <w:sz w:val="21"/>
        </w:rPr>
        <w:t>酒后驾驶</w:t>
      </w:r>
      <w:r>
        <w:rPr>
          <w:rFonts w:ascii="黑体" w:eastAsia="黑体" w:hint="eastAsia"/>
          <w:sz w:val="21"/>
        </w:rPr>
        <w:t>（</w:t>
      </w:r>
      <w:r>
        <w:rPr>
          <w:rFonts w:ascii="黑体" w:eastAsia="黑体" w:hint="eastAsia"/>
          <w:spacing w:val="-9"/>
          <w:sz w:val="21"/>
        </w:rPr>
        <w:t>见 </w:t>
      </w:r>
      <w:r>
        <w:rPr>
          <w:rFonts w:ascii="黑体" w:eastAsia="黑体" w:hint="eastAsia"/>
          <w:sz w:val="21"/>
        </w:rPr>
        <w:t>8.</w:t>
      </w:r>
      <w:r>
        <w:rPr>
          <w:rFonts w:ascii="黑体" w:eastAsia="黑体" w:hint="eastAsia"/>
          <w:spacing w:val="-1"/>
          <w:sz w:val="21"/>
        </w:rPr>
        <w:t>1</w:t>
      </w:r>
      <w:r>
        <w:rPr>
          <w:rFonts w:ascii="黑体" w:eastAsia="黑体" w:hint="eastAsia"/>
          <w:sz w:val="21"/>
        </w:rPr>
        <w:t>3</w:t>
      </w:r>
      <w:r>
        <w:rPr>
          <w:rFonts w:ascii="黑体" w:eastAsia="黑体" w:hint="eastAsia"/>
          <w:spacing w:val="-106"/>
          <w:sz w:val="21"/>
        </w:rPr>
        <w:t>）</w:t>
      </w:r>
      <w:r>
        <w:rPr>
          <w:rFonts w:ascii="黑体" w:eastAsia="黑体" w:hint="eastAsia"/>
          <w:sz w:val="21"/>
        </w:rPr>
        <w:t>、</w:t>
      </w:r>
      <w:r>
        <w:rPr>
          <w:rFonts w:ascii="黑体" w:eastAsia="黑体" w:hint="eastAsia"/>
          <w:b/>
          <w:w w:val="99"/>
          <w:sz w:val="21"/>
        </w:rPr>
        <w:t>无合法有效驾驶证驾驶</w:t>
      </w:r>
      <w:r>
        <w:rPr>
          <w:rFonts w:ascii="黑体" w:eastAsia="黑体" w:hint="eastAsia"/>
          <w:sz w:val="21"/>
        </w:rPr>
        <w:t>（</w:t>
      </w:r>
      <w:r>
        <w:rPr>
          <w:rFonts w:ascii="黑体" w:eastAsia="黑体" w:hint="eastAsia"/>
          <w:spacing w:val="-9"/>
          <w:sz w:val="21"/>
        </w:rPr>
        <w:t>见 </w:t>
      </w:r>
      <w:r>
        <w:rPr>
          <w:rFonts w:ascii="黑体" w:eastAsia="黑体" w:hint="eastAsia"/>
          <w:sz w:val="21"/>
        </w:rPr>
        <w:t>8</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4</w:t>
      </w:r>
      <w:r>
        <w:rPr>
          <w:rFonts w:ascii="黑体" w:eastAsia="黑体" w:hint="eastAsia"/>
          <w:spacing w:val="-105"/>
          <w:sz w:val="21"/>
        </w:rPr>
        <w:t>）</w:t>
      </w:r>
      <w:r>
        <w:rPr>
          <w:rFonts w:ascii="黑体" w:eastAsia="黑体" w:hint="eastAsia"/>
          <w:sz w:val="21"/>
        </w:rPr>
        <w:t>，或驾驶</w:t>
      </w:r>
      <w:r>
        <w:rPr>
          <w:rFonts w:ascii="黑体" w:eastAsia="黑体" w:hint="eastAsia"/>
          <w:b/>
          <w:sz w:val="21"/>
        </w:rPr>
        <w:t>无有效行驶证</w:t>
      </w:r>
      <w:r>
        <w:rPr>
          <w:rFonts w:ascii="黑体" w:eastAsia="黑体" w:hint="eastAsia"/>
          <w:sz w:val="21"/>
        </w:rPr>
        <w:t>（</w:t>
      </w:r>
      <w:r>
        <w:rPr>
          <w:rFonts w:ascii="黑体" w:eastAsia="黑体" w:hint="eastAsia"/>
          <w:spacing w:val="-28"/>
          <w:sz w:val="21"/>
        </w:rPr>
        <w:t>见 </w:t>
      </w:r>
      <w:r>
        <w:rPr>
          <w:rFonts w:ascii="黑体" w:eastAsia="黑体" w:hint="eastAsia"/>
          <w:sz w:val="21"/>
        </w:rPr>
        <w:t>8.15）的机动车；</w:t>
      </w:r>
    </w:p>
    <w:p>
      <w:pPr>
        <w:pStyle w:val="ListParagraph"/>
        <w:numPr>
          <w:ilvl w:val="2"/>
          <w:numId w:val="3"/>
        </w:numPr>
        <w:tabs>
          <w:tab w:pos="3369" w:val="left" w:leader="none"/>
        </w:tabs>
        <w:spacing w:line="240" w:lineRule="auto" w:before="7" w:after="0"/>
        <w:ind w:left="3368" w:right="0" w:hanging="421"/>
        <w:jc w:val="left"/>
        <w:rPr>
          <w:rFonts w:ascii="黑体" w:eastAsia="黑体" w:hint="eastAsia"/>
          <w:sz w:val="21"/>
        </w:rPr>
      </w:pPr>
      <w:r>
        <w:rPr>
          <w:rFonts w:ascii="黑体" w:eastAsia="黑体" w:hint="eastAsia"/>
          <w:sz w:val="21"/>
        </w:rPr>
        <w:t>被保险人</w:t>
      </w:r>
      <w:r>
        <w:rPr>
          <w:rFonts w:ascii="黑体" w:eastAsia="黑体" w:hint="eastAsia"/>
          <w:b/>
          <w:sz w:val="21"/>
        </w:rPr>
        <w:t>感染艾滋病病毒或患艾滋病</w:t>
      </w:r>
      <w:r>
        <w:rPr>
          <w:rFonts w:ascii="黑体" w:eastAsia="黑体" w:hint="eastAsia"/>
          <w:sz w:val="21"/>
        </w:rPr>
        <w:t>（</w:t>
      </w:r>
      <w:r>
        <w:rPr>
          <w:rFonts w:ascii="黑体" w:eastAsia="黑体" w:hint="eastAsia"/>
          <w:spacing w:val="-30"/>
          <w:sz w:val="21"/>
        </w:rPr>
        <w:t>见 </w:t>
      </w:r>
      <w:r>
        <w:rPr>
          <w:rFonts w:ascii="黑体" w:eastAsia="黑体" w:hint="eastAsia"/>
          <w:sz w:val="21"/>
        </w:rPr>
        <w:t>8.16）期间因疾病导致的；</w:t>
      </w:r>
    </w:p>
    <w:p>
      <w:pPr>
        <w:pStyle w:val="ListParagraph"/>
        <w:numPr>
          <w:ilvl w:val="2"/>
          <w:numId w:val="3"/>
        </w:numPr>
        <w:tabs>
          <w:tab w:pos="3369" w:val="left" w:leader="none"/>
        </w:tabs>
        <w:spacing w:line="240" w:lineRule="auto" w:before="37" w:after="0"/>
        <w:ind w:left="3368" w:right="0" w:hanging="421"/>
        <w:jc w:val="left"/>
        <w:rPr>
          <w:rFonts w:ascii="黑体" w:eastAsia="黑体" w:hint="eastAsia"/>
          <w:sz w:val="21"/>
        </w:rPr>
      </w:pPr>
      <w:r>
        <w:rPr>
          <w:rFonts w:ascii="黑体" w:eastAsia="黑体" w:hint="eastAsia"/>
          <w:spacing w:val="-1"/>
          <w:sz w:val="21"/>
        </w:rPr>
        <w:t>战争、军事冲突、暴乱或武装叛乱；</w:t>
      </w:r>
    </w:p>
    <w:p>
      <w:pPr>
        <w:pStyle w:val="ListParagraph"/>
        <w:numPr>
          <w:ilvl w:val="2"/>
          <w:numId w:val="3"/>
        </w:numPr>
        <w:tabs>
          <w:tab w:pos="3369" w:val="left" w:leader="none"/>
        </w:tabs>
        <w:spacing w:line="240" w:lineRule="auto" w:before="37" w:after="0"/>
        <w:ind w:left="3368" w:right="0" w:hanging="421"/>
        <w:jc w:val="left"/>
        <w:rPr>
          <w:rFonts w:ascii="黑体" w:eastAsia="黑体" w:hint="eastAsia"/>
          <w:sz w:val="21"/>
        </w:rPr>
      </w:pPr>
      <w:r>
        <w:rPr>
          <w:rFonts w:ascii="黑体" w:eastAsia="黑体" w:hint="eastAsia"/>
          <w:spacing w:val="-1"/>
          <w:sz w:val="21"/>
        </w:rPr>
        <w:t>核爆炸、核辐射或核污染；</w:t>
      </w:r>
    </w:p>
    <w:p>
      <w:pPr>
        <w:pStyle w:val="ListParagraph"/>
        <w:numPr>
          <w:ilvl w:val="2"/>
          <w:numId w:val="3"/>
        </w:numPr>
        <w:tabs>
          <w:tab w:pos="3370" w:val="left" w:leader="none"/>
        </w:tabs>
        <w:spacing w:line="240" w:lineRule="auto" w:before="37" w:after="0"/>
        <w:ind w:left="3369" w:right="0" w:hanging="422"/>
        <w:jc w:val="left"/>
        <w:rPr>
          <w:rFonts w:ascii="黑体" w:eastAsia="黑体" w:hint="eastAsia"/>
          <w:sz w:val="21"/>
        </w:rPr>
      </w:pPr>
      <w:r>
        <w:rPr>
          <w:rFonts w:ascii="黑体" w:eastAsia="黑体" w:hint="eastAsia"/>
          <w:b/>
          <w:w w:val="99"/>
          <w:sz w:val="21"/>
        </w:rPr>
        <w:t>遗传性疾病</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8</w:t>
      </w:r>
      <w:r>
        <w:rPr>
          <w:rFonts w:ascii="黑体" w:eastAsia="黑体" w:hint="eastAsia"/>
          <w:sz w:val="21"/>
        </w:rPr>
        <w:t>.</w:t>
      </w:r>
      <w:r>
        <w:rPr>
          <w:rFonts w:ascii="黑体" w:eastAsia="黑体" w:hint="eastAsia"/>
          <w:spacing w:val="-1"/>
          <w:sz w:val="21"/>
        </w:rPr>
        <w:t>1</w:t>
      </w:r>
      <w:r>
        <w:rPr>
          <w:rFonts w:ascii="黑体" w:eastAsia="黑体" w:hint="eastAsia"/>
          <w:sz w:val="21"/>
        </w:rPr>
        <w:t>7</w:t>
      </w:r>
      <w:r>
        <w:rPr>
          <w:rFonts w:ascii="黑体" w:eastAsia="黑体" w:hint="eastAsia"/>
          <w:spacing w:val="-105"/>
          <w:sz w:val="21"/>
        </w:rPr>
        <w:t>）</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8</w:t>
      </w:r>
      <w:r>
        <w:rPr>
          <w:rFonts w:ascii="黑体" w:eastAsia="黑体" w:hint="eastAsia"/>
          <w:sz w:val="21"/>
        </w:rPr>
        <w:t>.</w:t>
      </w:r>
      <w:r>
        <w:rPr>
          <w:rFonts w:ascii="黑体" w:eastAsia="黑体" w:hint="eastAsia"/>
          <w:spacing w:val="-1"/>
          <w:sz w:val="21"/>
        </w:rPr>
        <w:t>1</w:t>
      </w:r>
      <w:r>
        <w:rPr>
          <w:rFonts w:ascii="黑体" w:eastAsia="黑体" w:hint="eastAsia"/>
          <w:sz w:val="21"/>
        </w:rPr>
        <w:t>8</w:t>
      </w:r>
      <w:r>
        <w:rPr>
          <w:rFonts w:ascii="黑体" w:eastAsia="黑体" w:hint="eastAsia"/>
          <w:spacing w:val="-106"/>
          <w:sz w:val="21"/>
        </w:rPr>
        <w:t>）</w:t>
      </w:r>
      <w:r>
        <w:rPr>
          <w:rFonts w:ascii="黑体" w:eastAsia="黑体" w:hint="eastAsia"/>
          <w:sz w:val="21"/>
        </w:rPr>
        <w:t>。</w:t>
      </w:r>
    </w:p>
    <w:p>
      <w:pPr>
        <w:pStyle w:val="BodyText"/>
        <w:spacing w:before="9"/>
        <w:rPr>
          <w:rFonts w:ascii="黑体"/>
          <w:sz w:val="26"/>
        </w:rPr>
      </w:pPr>
    </w:p>
    <w:p>
      <w:pPr>
        <w:pStyle w:val="BodyText"/>
        <w:spacing w:line="273" w:lineRule="auto" w:before="0"/>
        <w:ind w:left="2947" w:right="217"/>
        <w:jc w:val="both"/>
        <w:rPr>
          <w:rFonts w:ascii="黑体" w:eastAsia="黑体" w:hint="eastAsia"/>
        </w:rPr>
      </w:pPr>
      <w:r>
        <w:rPr>
          <w:rFonts w:ascii="黑体" w:eastAsia="黑体" w:hint="eastAsia"/>
        </w:rPr>
        <w:t>发Th</w:t>
      </w:r>
      <w:r>
        <w:rPr>
          <w:rFonts w:ascii="黑体" w:eastAsia="黑体" w:hint="eastAsia"/>
          <w:spacing w:val="-4"/>
        </w:rPr>
        <w:t>上述情形，本附加合同终止，我们将已收取的本附加合同终止日之后的风</w:t>
      </w:r>
      <w:r>
        <w:rPr>
          <w:rFonts w:ascii="黑体" w:eastAsia="黑体" w:hint="eastAsia"/>
          <w:spacing w:val="-5"/>
        </w:rPr>
        <w:t>险保险费无息退还至主合同保单账户价值，主合同保单账户价值按退还的金额等额增加。</w:t>
      </w:r>
    </w:p>
    <w:p>
      <w:pPr>
        <w:pStyle w:val="BodyText"/>
        <w:spacing w:before="0"/>
        <w:rPr>
          <w:rFonts w:ascii="黑体"/>
          <w:sz w:val="20"/>
        </w:rPr>
      </w:pPr>
    </w:p>
    <w:p>
      <w:pPr>
        <w:pStyle w:val="Heading2"/>
        <w:tabs>
          <w:tab w:pos="961" w:val="left" w:leader="none"/>
        </w:tabs>
        <w:spacing w:before="135"/>
      </w:pPr>
      <w:r>
        <w:rPr/>
        <w:pict>
          <v:group style="position:absolute;margin-left:40.560001pt;margin-top:34.850067pt;width:503.1pt;height:1pt;mso-position-horizontal-relative:page;mso-position-vertical-relative:paragraph;z-index:1120;mso-wrap-distance-left:0;mso-wrap-distance-right:0" coordorigin="811,697" coordsize="10062,20">
            <v:line style="position:absolute" from="811,707" to="3559,707" stroked="true" strokeweight=".95999pt" strokecolor="#000000">
              <v:stroke dashstyle="solid"/>
            </v:line>
            <v:line style="position:absolute" from="3559,707" to="10873,707" stroked="true" strokeweight=".96pt" strokecolor="#000000">
              <v:stroke dashstyle="solid"/>
            </v:line>
            <w10:wrap type="topAndBottom"/>
          </v:group>
        </w:pict>
      </w:r>
      <w:r>
        <w:rPr>
          <w:rFonts w:ascii="Arial" w:hAnsi="Arial" w:eastAsia="Arial"/>
          <w:position w:val="-3"/>
          <w:sz w:val="40"/>
        </w:rPr>
        <w:t></w:t>
        <w:tab/>
      </w:r>
      <w:r>
        <w:rPr>
          <w:w w:val="95"/>
        </w:rPr>
        <w:t>如何申请领取保险金</w:t>
      </w:r>
    </w:p>
    <w:p>
      <w:pPr>
        <w:pStyle w:val="BodyText"/>
        <w:spacing w:before="11"/>
        <w:rPr>
          <w:b/>
          <w:sz w:val="17"/>
        </w:rPr>
      </w:pPr>
    </w:p>
    <w:p>
      <w:pPr>
        <w:pStyle w:val="ListParagraph"/>
        <w:numPr>
          <w:ilvl w:val="1"/>
          <w:numId w:val="4"/>
        </w:numPr>
        <w:tabs>
          <w:tab w:pos="961" w:val="left" w:leader="none"/>
          <w:tab w:pos="963" w:val="left" w:leader="none"/>
          <w:tab w:pos="2947" w:val="left" w:leader="none"/>
        </w:tabs>
        <w:spacing w:line="240" w:lineRule="auto" w:before="35" w:after="0"/>
        <w:ind w:left="2948" w:right="0" w:hanging="2729"/>
        <w:jc w:val="left"/>
        <w:rPr>
          <w:sz w:val="21"/>
        </w:rPr>
      </w:pPr>
      <w:r>
        <w:rPr>
          <w:b/>
          <w:sz w:val="21"/>
        </w:rPr>
        <w:t>受益人</w:t>
        <w:tab/>
      </w:r>
      <w:r>
        <w:rPr>
          <w:sz w:val="21"/>
        </w:rPr>
        <w:t>除另有约定外，本附加合同各项保险金的受益人均为被保险人本人。</w:t>
      </w:r>
    </w:p>
    <w:p>
      <w:pPr>
        <w:spacing w:after="0" w:line="240" w:lineRule="auto"/>
        <w:jc w:val="left"/>
        <w:rPr>
          <w:sz w:val="21"/>
        </w:rPr>
        <w:sectPr>
          <w:type w:val="continuous"/>
          <w:pgSz w:w="11910" w:h="16840"/>
          <w:pgMar w:top="520" w:bottom="280" w:left="700" w:right="920"/>
        </w:sectPr>
      </w:pPr>
    </w:p>
    <w:p>
      <w:pPr>
        <w:pStyle w:val="ListParagraph"/>
        <w:numPr>
          <w:ilvl w:val="1"/>
          <w:numId w:val="4"/>
        </w:numPr>
        <w:tabs>
          <w:tab w:pos="961" w:val="left" w:leader="none"/>
          <w:tab w:pos="963" w:val="left" w:leader="none"/>
          <w:tab w:pos="2947" w:val="left" w:leader="none"/>
        </w:tabs>
        <w:spacing w:line="240" w:lineRule="auto" w:before="11" w:after="0"/>
        <w:ind w:left="962" w:right="0" w:hanging="743"/>
        <w:jc w:val="left"/>
        <w:rPr>
          <w:sz w:val="21"/>
        </w:rPr>
      </w:pPr>
      <w:r>
        <w:rPr>
          <w:b/>
          <w:sz w:val="21"/>
        </w:rPr>
        <w:t>保险金申请</w:t>
        <w:tab/>
      </w:r>
      <w:r>
        <w:rPr>
          <w:sz w:val="21"/>
        </w:rPr>
        <w:t>在申请保险金时，请按照下列方式办理：</w:t>
      </w:r>
    </w:p>
    <w:p>
      <w:pPr>
        <w:pStyle w:val="BodyText"/>
        <w:spacing w:before="5"/>
        <w:rPr>
          <w:sz w:val="20"/>
        </w:rPr>
      </w:pPr>
    </w:p>
    <w:p>
      <w:pPr>
        <w:pStyle w:val="BodyText"/>
        <w:tabs>
          <w:tab w:pos="2947" w:val="left" w:leader="none"/>
        </w:tabs>
        <w:spacing w:line="406" w:lineRule="exact" w:before="1"/>
        <w:ind w:left="961"/>
      </w:pPr>
      <w:r>
        <w:rPr>
          <w:rFonts w:ascii="Microsoft JhengHei" w:eastAsia="Microsoft JhengHei" w:hint="eastAsia"/>
          <w:b/>
          <w:position w:val="-2"/>
          <w:sz w:val="24"/>
        </w:rPr>
        <w:t>保险金申请</w:t>
        <w:tab/>
      </w:r>
      <w:r>
        <w:rPr/>
        <w:t>在申请保险金时，申请人须填写保险金给付申请书，并提供下列证明和资料</w:t>
      </w:r>
    </w:p>
    <w:p>
      <w:pPr>
        <w:pStyle w:val="BodyText"/>
        <w:spacing w:line="263" w:lineRule="exact" w:before="0"/>
        <w:ind w:left="2948"/>
      </w:pPr>
      <w:r>
        <w:rPr/>
        <w:t>（1）保险合同；</w:t>
      </w:r>
    </w:p>
    <w:p>
      <w:pPr>
        <w:pStyle w:val="BodyText"/>
        <w:ind w:left="2948"/>
      </w:pPr>
      <w:r>
        <w:rPr/>
        <w:t>（2）申请人的有效身份证件；</w:t>
      </w:r>
    </w:p>
    <w:p>
      <w:pPr>
        <w:pStyle w:val="BodyText"/>
        <w:spacing w:line="273" w:lineRule="auto"/>
        <w:ind w:left="3452" w:right="299" w:hanging="504"/>
      </w:pPr>
      <w:r>
        <w:rPr/>
        <w:t>（3）医院出具的附有病理显微镜检查、血液检验及其他科学方法检验报告的疾病诊断证明书；</w:t>
      </w:r>
    </w:p>
    <w:p>
      <w:pPr>
        <w:pStyle w:val="BodyText"/>
        <w:spacing w:before="7"/>
        <w:ind w:left="2948"/>
      </w:pPr>
      <w:r>
        <w:rPr/>
        <w:t>（4）所能提供的与确认保险事故的性质、原因等有关的其他证明和资料。</w:t>
      </w:r>
    </w:p>
    <w:p>
      <w:pPr>
        <w:pStyle w:val="BodyText"/>
        <w:spacing w:before="8"/>
        <w:rPr>
          <w:sz w:val="26"/>
        </w:rPr>
      </w:pPr>
    </w:p>
    <w:p>
      <w:pPr>
        <w:pStyle w:val="BodyText"/>
        <w:spacing w:line="273" w:lineRule="auto" w:before="0"/>
        <w:ind w:left="2948" w:right="169"/>
      </w:pPr>
      <w:r>
        <w:rPr/>
        <w:t>以上证明和资料不完整的，我们将及时一次性通知申请人补充提供有关证明和资料。</w:t>
      </w:r>
    </w:p>
    <w:p>
      <w:pPr>
        <w:pStyle w:val="BodyText"/>
        <w:spacing w:before="5"/>
        <w:rPr>
          <w:sz w:val="24"/>
        </w:rPr>
      </w:pPr>
    </w:p>
    <w:p>
      <w:pPr>
        <w:pStyle w:val="ListParagraph"/>
        <w:numPr>
          <w:ilvl w:val="1"/>
          <w:numId w:val="4"/>
        </w:numPr>
        <w:tabs>
          <w:tab w:pos="961" w:val="left" w:leader="none"/>
          <w:tab w:pos="963" w:val="left" w:leader="none"/>
          <w:tab w:pos="2947" w:val="left" w:leader="none"/>
        </w:tabs>
        <w:spacing w:line="273" w:lineRule="auto" w:before="0" w:after="0"/>
        <w:ind w:left="2948" w:right="217" w:hanging="2729"/>
        <w:jc w:val="left"/>
        <w:rPr>
          <w:sz w:val="21"/>
        </w:rPr>
      </w:pPr>
      <w:r>
        <w:rPr>
          <w:b/>
          <w:sz w:val="21"/>
        </w:rPr>
        <w:t>保险金给付</w:t>
        <w:tab/>
      </w:r>
      <w:r>
        <w:rPr>
          <w:sz w:val="21"/>
        </w:rPr>
        <w:t>我们在收到保险金给付申请书及合同约定的证明和资料后</w:t>
      </w:r>
      <w:r>
        <w:rPr>
          <w:spacing w:val="-23"/>
          <w:sz w:val="21"/>
        </w:rPr>
        <w:t>，</w:t>
      </w:r>
      <w:r>
        <w:rPr>
          <w:sz w:val="21"/>
        </w:rPr>
        <w:t>将在</w:t>
      </w:r>
      <w:r>
        <w:rPr>
          <w:spacing w:val="-54"/>
          <w:sz w:val="21"/>
        </w:rPr>
        <w:t> </w:t>
      </w:r>
      <w:r>
        <w:rPr>
          <w:sz w:val="21"/>
        </w:rPr>
        <w:t>5</w:t>
      </w:r>
      <w:r>
        <w:rPr>
          <w:spacing w:val="-53"/>
          <w:sz w:val="21"/>
        </w:rPr>
        <w:t> </w:t>
      </w:r>
      <w:r>
        <w:rPr>
          <w:sz w:val="21"/>
        </w:rPr>
        <w:t>日内作出核定；情形复杂的，在</w:t>
      </w:r>
      <w:r>
        <w:rPr>
          <w:spacing w:val="-61"/>
          <w:sz w:val="21"/>
        </w:rPr>
        <w:t> </w:t>
      </w:r>
      <w:r>
        <w:rPr>
          <w:sz w:val="21"/>
        </w:rPr>
        <w:t>30</w:t>
      </w:r>
      <w:r>
        <w:rPr>
          <w:spacing w:val="-61"/>
          <w:sz w:val="21"/>
        </w:rPr>
        <w:t> </w:t>
      </w:r>
      <w:r>
        <w:rPr>
          <w:sz w:val="21"/>
        </w:rPr>
        <w:t>日内作出核定。但因第三方责任或其他非我们的责任导致保险事故的性质、金额无法确定的除外。</w:t>
      </w:r>
    </w:p>
    <w:p>
      <w:pPr>
        <w:pStyle w:val="BodyText"/>
        <w:spacing w:before="5"/>
        <w:rPr>
          <w:sz w:val="24"/>
        </w:rPr>
      </w:pPr>
    </w:p>
    <w:p>
      <w:pPr>
        <w:pStyle w:val="BodyText"/>
        <w:spacing w:line="273" w:lineRule="auto" w:before="0"/>
        <w:ind w:left="2948" w:right="299"/>
      </w:pPr>
      <w:r>
        <w:rPr>
          <w:spacing w:val="-3"/>
        </w:rPr>
        <w:t>对确定属于保险责任的，在与受益人达成有关给付保险金数额的协议后 </w:t>
      </w:r>
      <w:r>
        <w:rPr/>
        <w:t>10</w:t>
      </w:r>
      <w:r>
        <w:rPr>
          <w:spacing w:val="-32"/>
        </w:rPr>
        <w:t> 日内，履行给付保险金义务。</w:t>
      </w:r>
    </w:p>
    <w:p>
      <w:pPr>
        <w:pStyle w:val="BodyText"/>
        <w:spacing w:before="5"/>
        <w:rPr>
          <w:sz w:val="24"/>
        </w:rPr>
      </w:pPr>
    </w:p>
    <w:p>
      <w:pPr>
        <w:pStyle w:val="BodyText"/>
        <w:spacing w:line="273" w:lineRule="auto" w:before="0"/>
        <w:ind w:left="2948" w:right="169"/>
      </w:pPr>
      <w:r>
        <w:rPr/>
        <w:t>我们未及时履行前款规定义务的，除支付保险金外，应当赔偿受益人因此受到的损失。</w:t>
      </w:r>
    </w:p>
    <w:p>
      <w:pPr>
        <w:pStyle w:val="BodyText"/>
        <w:spacing w:before="5"/>
        <w:rPr>
          <w:sz w:val="24"/>
        </w:rPr>
      </w:pPr>
    </w:p>
    <w:p>
      <w:pPr>
        <w:pStyle w:val="BodyText"/>
        <w:spacing w:line="273" w:lineRule="auto" w:before="0"/>
        <w:ind w:left="2948" w:right="217"/>
      </w:pPr>
      <w:r>
        <w:rPr>
          <w:spacing w:val="-6"/>
        </w:rPr>
        <w:t>对不属于保险责任的，我们自作出核定之日起 </w:t>
      </w:r>
      <w:r>
        <w:rPr/>
        <w:t>3</w:t>
      </w:r>
      <w:r>
        <w:rPr>
          <w:spacing w:val="-8"/>
        </w:rPr>
        <w:t> 日内向受益人发出拒绝给付保险金通知书并说明理由。</w:t>
      </w:r>
    </w:p>
    <w:p>
      <w:pPr>
        <w:pStyle w:val="BodyText"/>
        <w:spacing w:before="5"/>
        <w:rPr>
          <w:sz w:val="24"/>
        </w:rPr>
      </w:pPr>
    </w:p>
    <w:p>
      <w:pPr>
        <w:pStyle w:val="BodyText"/>
        <w:spacing w:line="273" w:lineRule="auto" w:before="0"/>
        <w:ind w:left="2928" w:right="218" w:firstLine="19"/>
      </w:pPr>
      <w:r>
        <w:rPr>
          <w:spacing w:val="-3"/>
        </w:rPr>
        <w:t>我们在收到保险金给付申请书及有关证明和资料之日起 </w:t>
      </w:r>
      <w:r>
        <w:rPr/>
        <w:t>60</w:t>
      </w:r>
      <w:r>
        <w:rPr>
          <w:spacing w:val="-8"/>
        </w:rPr>
        <w:t> 日内，对给付保险金的数额不能确定的，根据已有证明和资料可以确定的数额先予支付；我们最终确定给付保险金的数额后，将支付相应的差额。</w:t>
      </w:r>
    </w:p>
    <w:p>
      <w:pPr>
        <w:pStyle w:val="BodyText"/>
        <w:spacing w:before="5"/>
        <w:rPr>
          <w:sz w:val="24"/>
        </w:rPr>
      </w:pPr>
    </w:p>
    <w:p>
      <w:pPr>
        <w:pStyle w:val="ListParagraph"/>
        <w:numPr>
          <w:ilvl w:val="1"/>
          <w:numId w:val="4"/>
        </w:numPr>
        <w:tabs>
          <w:tab w:pos="961" w:val="left" w:leader="none"/>
          <w:tab w:pos="962" w:val="left" w:leader="none"/>
          <w:tab w:pos="2947" w:val="left" w:leader="none"/>
        </w:tabs>
        <w:spacing w:line="273" w:lineRule="auto" w:before="0" w:after="0"/>
        <w:ind w:left="2948" w:right="217" w:hanging="2729"/>
        <w:jc w:val="left"/>
        <w:rPr>
          <w:sz w:val="21"/>
        </w:rPr>
      </w:pPr>
      <w:r>
        <w:rPr>
          <w:b/>
          <w:sz w:val="21"/>
        </w:rPr>
        <w:t>诉讼时效</w:t>
        <w:tab/>
      </w:r>
      <w:r>
        <w:rPr>
          <w:sz w:val="21"/>
        </w:rPr>
        <w:t>受益人向我们请求给付保险金的诉讼时效期间为</w:t>
      </w:r>
      <w:r>
        <w:rPr>
          <w:spacing w:val="-54"/>
          <w:sz w:val="21"/>
        </w:rPr>
        <w:t> </w:t>
      </w:r>
      <w:r>
        <w:rPr>
          <w:sz w:val="21"/>
        </w:rPr>
        <w:t>2</w:t>
      </w:r>
      <w:r>
        <w:rPr>
          <w:spacing w:val="-53"/>
          <w:sz w:val="21"/>
        </w:rPr>
        <w:t> </w:t>
      </w:r>
      <w:r>
        <w:rPr>
          <w:sz w:val="21"/>
        </w:rPr>
        <w:t>年</w:t>
      </w:r>
      <w:r>
        <w:rPr>
          <w:spacing w:val="-23"/>
          <w:sz w:val="21"/>
        </w:rPr>
        <w:t>，</w:t>
      </w:r>
      <w:r>
        <w:rPr>
          <w:sz w:val="21"/>
        </w:rPr>
        <w:t>自其知道或者应当知道保险事故发生之日起计算。</w:t>
      </w:r>
    </w:p>
    <w:p>
      <w:pPr>
        <w:pStyle w:val="BodyText"/>
        <w:spacing w:before="0"/>
        <w:rPr>
          <w:sz w:val="20"/>
        </w:rPr>
      </w:pPr>
    </w:p>
    <w:p>
      <w:pPr>
        <w:pStyle w:val="Heading2"/>
        <w:tabs>
          <w:tab w:pos="961" w:val="left" w:leader="none"/>
        </w:tabs>
        <w:spacing w:before="135"/>
      </w:pPr>
      <w:r>
        <w:rPr/>
        <w:pict>
          <v:group style="position:absolute;margin-left:40.560001pt;margin-top:34.850163pt;width:503.1pt;height:1pt;mso-position-horizontal-relative:page;mso-position-vertical-relative:paragraph;z-index:1144;mso-wrap-distance-left:0;mso-wrap-distance-right:0" coordorigin="811,697" coordsize="10062,20">
            <v:line style="position:absolute" from="811,707" to="3559,707" stroked="true" strokeweight=".95999pt" strokecolor="#000000">
              <v:stroke dashstyle="solid"/>
            </v:line>
            <v:line style="position:absolute" from="3559,707" to="10873,707" stroked="true" strokeweight=".96pt" strokecolor="#000000">
              <v:stroke dashstyle="solid"/>
            </v:line>
            <w10:wrap type="topAndBottom"/>
          </v:group>
        </w:pict>
      </w:r>
      <w:r>
        <w:rPr>
          <w:rFonts w:ascii="Arial" w:hAnsi="Arial" w:eastAsia="Arial"/>
          <w:position w:val="-3"/>
          <w:sz w:val="40"/>
        </w:rPr>
        <w:t></w:t>
        <w:tab/>
      </w:r>
      <w:r>
        <w:rPr>
          <w:w w:val="95"/>
        </w:rPr>
        <w:t>如何支付风险保险费</w:t>
      </w:r>
    </w:p>
    <w:p>
      <w:pPr>
        <w:pStyle w:val="BodyText"/>
        <w:spacing w:before="11"/>
        <w:rPr>
          <w:b/>
          <w:sz w:val="17"/>
        </w:rPr>
      </w:pPr>
    </w:p>
    <w:p>
      <w:pPr>
        <w:pStyle w:val="ListParagraph"/>
        <w:numPr>
          <w:ilvl w:val="1"/>
          <w:numId w:val="5"/>
        </w:numPr>
        <w:tabs>
          <w:tab w:pos="961" w:val="left" w:leader="none"/>
          <w:tab w:pos="963" w:val="left" w:leader="none"/>
          <w:tab w:pos="2947" w:val="left" w:leader="none"/>
        </w:tabs>
        <w:spacing w:line="240" w:lineRule="auto" w:before="35" w:after="0"/>
        <w:ind w:left="2947" w:right="0" w:hanging="2728"/>
        <w:jc w:val="left"/>
        <w:rPr>
          <w:sz w:val="21"/>
        </w:rPr>
      </w:pPr>
      <w:r>
        <w:rPr>
          <w:b/>
          <w:sz w:val="21"/>
        </w:rPr>
        <w:t>风险保险费的支付</w:t>
        <w:tab/>
      </w:r>
      <w:r>
        <w:rPr>
          <w:spacing w:val="-1"/>
          <w:sz w:val="21"/>
        </w:rPr>
        <w:t>（1）</w:t>
      </w:r>
      <w:r>
        <w:rPr>
          <w:sz w:val="21"/>
        </w:rPr>
        <w:t>风险保险费</w:t>
      </w:r>
    </w:p>
    <w:p>
      <w:pPr>
        <w:pStyle w:val="BodyText"/>
        <w:spacing w:line="273" w:lineRule="auto" w:before="36"/>
        <w:ind w:left="2948" w:right="194"/>
        <w:jc w:val="both"/>
      </w:pPr>
      <w:r>
        <w:rPr>
          <w:spacing w:val="-1"/>
        </w:rPr>
        <w:t>我们对本附加合同承担的保险责任收取相应的风险保险费，本附加合同的风险</w:t>
      </w:r>
      <w:r>
        <w:rPr>
          <w:spacing w:val="-3"/>
        </w:rPr>
        <w:t>保险费在主合同保单账户价值里扣除。本附加合同年风险保险费根据被保险人</w:t>
      </w:r>
      <w:r>
        <w:rPr>
          <w:spacing w:val="-6"/>
        </w:rPr>
        <w:t>的年龄、性别、基本保险金额及风险程度决定。每千元基本保险金额应收取的风险保险费见附表。如果根据被保险人的风险程度需要增加年风险保险费的， 将在保险单上批注。</w:t>
      </w:r>
    </w:p>
    <w:p>
      <w:pPr>
        <w:pStyle w:val="BodyText"/>
        <w:spacing w:before="4"/>
        <w:rPr>
          <w:sz w:val="24"/>
        </w:rPr>
      </w:pPr>
    </w:p>
    <w:p>
      <w:pPr>
        <w:pStyle w:val="BodyText"/>
        <w:spacing w:before="1"/>
        <w:ind w:left="2948"/>
      </w:pPr>
      <w:r>
        <w:rPr/>
        <w:t>（2）风险保险费的收取</w:t>
      </w:r>
    </w:p>
    <w:p>
      <w:pPr>
        <w:pStyle w:val="BodyText"/>
        <w:spacing w:line="273" w:lineRule="auto"/>
        <w:ind w:left="2948" w:right="217"/>
        <w:jc w:val="both"/>
      </w:pPr>
      <w:r>
        <w:rPr>
          <w:spacing w:val="-1"/>
        </w:rPr>
        <w:t>在本附加合同生效或本附加合同增加基本保险金额时，我们在本附加合同生效</w:t>
      </w:r>
      <w:r>
        <w:rPr>
          <w:spacing w:val="-3"/>
        </w:rPr>
        <w:t>日或本附加合同新增基本保险金额生效日，按照生效日至生效日后首个结算日</w:t>
      </w:r>
    </w:p>
    <w:p>
      <w:pPr>
        <w:spacing w:after="0" w:line="273" w:lineRule="auto"/>
        <w:jc w:val="both"/>
        <w:sectPr>
          <w:pgSz w:w="11910" w:h="16840"/>
          <w:pgMar w:top="1420" w:bottom="280" w:left="700" w:right="920"/>
        </w:sectPr>
      </w:pPr>
    </w:p>
    <w:p>
      <w:pPr>
        <w:pStyle w:val="BodyText"/>
        <w:spacing w:line="273" w:lineRule="auto" w:before="19"/>
        <w:ind w:left="2948" w:right="217"/>
        <w:jc w:val="both"/>
      </w:pPr>
      <w:r>
        <w:rPr>
          <w:spacing w:val="-1"/>
        </w:rPr>
        <w:t>前一日的实际日数从主合同保单账户价值中扣除风险保险费；其余月度的风险</w:t>
      </w:r>
      <w:r>
        <w:rPr>
          <w:spacing w:val="-3"/>
        </w:rPr>
        <w:t>保险费在主合同每月结算日零时，我们按照当日至下月结算日前一日的实际日数从主合同保单账户价值中扣除相应的风险保险费。</w:t>
      </w:r>
    </w:p>
    <w:p>
      <w:pPr>
        <w:pStyle w:val="BodyText"/>
        <w:spacing w:line="273" w:lineRule="auto" w:before="7"/>
        <w:ind w:left="2948" w:right="217"/>
        <w:jc w:val="both"/>
      </w:pPr>
      <w:r>
        <w:rPr>
          <w:spacing w:val="-2"/>
        </w:rPr>
        <w:t>本附加合同效力中止后恢复，我们在复效日从主合同保单账户价值中扣除欠交的风险保险费。</w:t>
      </w:r>
    </w:p>
    <w:p>
      <w:pPr>
        <w:pStyle w:val="BodyText"/>
        <w:spacing w:before="7"/>
        <w:ind w:left="2948"/>
        <w:jc w:val="both"/>
      </w:pPr>
      <w:r>
        <w:rPr/>
        <w:t>每日的风险保险费为年风险保险费的 1/365。</w:t>
      </w:r>
    </w:p>
    <w:p>
      <w:pPr>
        <w:pStyle w:val="BodyText"/>
        <w:ind w:left="2948"/>
        <w:jc w:val="both"/>
      </w:pPr>
      <w:r>
        <w:rPr/>
        <w:t>主合同保单账户价值按扣除的风险保险费等额减少。</w:t>
      </w:r>
    </w:p>
    <w:p>
      <w:pPr>
        <w:pStyle w:val="BodyText"/>
        <w:spacing w:before="12"/>
        <w:rPr>
          <w:sz w:val="23"/>
        </w:rPr>
      </w:pPr>
    </w:p>
    <w:p>
      <w:pPr>
        <w:spacing w:after="0"/>
        <w:rPr>
          <w:sz w:val="23"/>
        </w:rPr>
        <w:sectPr>
          <w:pgSz w:w="11910" w:h="16840"/>
          <w:pgMar w:top="1100" w:bottom="280" w:left="700" w:right="920"/>
        </w:sectPr>
      </w:pPr>
    </w:p>
    <w:p>
      <w:pPr>
        <w:pStyle w:val="Heading6"/>
        <w:numPr>
          <w:ilvl w:val="1"/>
          <w:numId w:val="5"/>
        </w:numPr>
        <w:tabs>
          <w:tab w:pos="962" w:val="left" w:leader="none"/>
          <w:tab w:pos="963" w:val="left" w:leader="none"/>
        </w:tabs>
        <w:spacing w:line="240" w:lineRule="auto" w:before="36" w:after="0"/>
        <w:ind w:left="962" w:right="0" w:hanging="743"/>
        <w:jc w:val="left"/>
      </w:pPr>
      <w:r>
        <w:rPr>
          <w:w w:val="95"/>
        </w:rPr>
        <w:t>风险保险费费率调</w:t>
      </w:r>
    </w:p>
    <w:p>
      <w:pPr>
        <w:spacing w:before="37"/>
        <w:ind w:left="0" w:right="512" w:firstLine="0"/>
        <w:jc w:val="center"/>
        <w:rPr>
          <w:b/>
          <w:sz w:val="21"/>
        </w:rPr>
      </w:pPr>
      <w:r>
        <w:rPr>
          <w:b/>
          <w:w w:val="99"/>
          <w:sz w:val="21"/>
        </w:rPr>
        <w:t>整</w:t>
      </w:r>
    </w:p>
    <w:p>
      <w:pPr>
        <w:pStyle w:val="BodyText"/>
        <w:spacing w:before="36"/>
        <w:ind w:left="219"/>
      </w:pPr>
      <w:r>
        <w:rPr/>
        <w:br w:type="column"/>
      </w:r>
      <w:r>
        <w:rPr/>
        <w:t>我们保留提高或降低每千元基本保险金额年风险保险费费率的权利。</w:t>
      </w:r>
    </w:p>
    <w:p>
      <w:pPr>
        <w:pStyle w:val="BodyText"/>
        <w:spacing w:before="8"/>
        <w:rPr>
          <w:sz w:val="26"/>
        </w:rPr>
      </w:pPr>
    </w:p>
    <w:p>
      <w:pPr>
        <w:pStyle w:val="BodyText"/>
        <w:spacing w:line="273" w:lineRule="auto" w:before="1"/>
        <w:ind w:left="219" w:right="218"/>
        <w:jc w:val="both"/>
      </w:pPr>
      <w:r>
        <w:rPr>
          <w:spacing w:val="-2"/>
        </w:rPr>
        <w:t>我们将根据整体风险的变化情况，决定是否调整年风险保险费费率。本附加保</w:t>
      </w:r>
      <w:r>
        <w:rPr>
          <w:spacing w:val="1"/>
        </w:rPr>
        <w:t>险的年风险保险费费率调整针对所有被保险人或同一投保年龄的所有被保险人。</w:t>
      </w:r>
    </w:p>
    <w:p>
      <w:pPr>
        <w:pStyle w:val="BodyText"/>
        <w:spacing w:line="273" w:lineRule="auto" w:before="8"/>
        <w:ind w:left="219" w:right="217"/>
        <w:jc w:val="both"/>
      </w:pPr>
      <w:r>
        <w:rPr>
          <w:spacing w:val="-1"/>
        </w:rPr>
        <w:t>我们对年风险保险费费率进行调整并向保险监管机关备案后，收取的风险保险</w:t>
      </w:r>
      <w:r>
        <w:rPr>
          <w:spacing w:val="-3"/>
        </w:rPr>
        <w:t>费按调整后的年风险保险费费率计算，风险保险费费率调整前我们已收取的风险保险费不受影响。</w:t>
      </w:r>
    </w:p>
    <w:p>
      <w:pPr>
        <w:spacing w:after="0" w:line="273" w:lineRule="auto"/>
        <w:jc w:val="both"/>
        <w:sectPr>
          <w:type w:val="continuous"/>
          <w:pgSz w:w="11910" w:h="16840"/>
          <w:pgMar w:top="520" w:bottom="280" w:left="700" w:right="920"/>
          <w:cols w:num="2" w:equalWidth="0">
            <w:col w:w="2649" w:space="79"/>
            <w:col w:w="7562"/>
          </w:cols>
        </w:sectPr>
      </w:pPr>
    </w:p>
    <w:p>
      <w:pPr>
        <w:pStyle w:val="BodyText"/>
        <w:spacing w:before="9"/>
      </w:pPr>
    </w:p>
    <w:p>
      <w:pPr>
        <w:pStyle w:val="ListParagraph"/>
        <w:numPr>
          <w:ilvl w:val="1"/>
          <w:numId w:val="5"/>
        </w:numPr>
        <w:tabs>
          <w:tab w:pos="962" w:val="left" w:leader="none"/>
          <w:tab w:pos="963" w:val="left" w:leader="none"/>
          <w:tab w:pos="2947" w:val="left" w:leader="none"/>
        </w:tabs>
        <w:spacing w:line="273" w:lineRule="auto" w:before="36" w:after="0"/>
        <w:ind w:left="2947" w:right="217" w:hanging="2728"/>
        <w:jc w:val="left"/>
        <w:rPr>
          <w:sz w:val="21"/>
        </w:rPr>
      </w:pPr>
      <w:r>
        <w:rPr>
          <w:b/>
          <w:sz w:val="21"/>
        </w:rPr>
        <w:t>宽限期</w:t>
        <w:tab/>
      </w:r>
      <w:r>
        <w:rPr>
          <w:sz w:val="21"/>
        </w:rPr>
        <w:t>附加了本附加合同后，主合同及本附加合同的宽限期按照以下的约定确定。在主合同有效期内</w:t>
      </w:r>
      <w:r>
        <w:rPr>
          <w:spacing w:val="-23"/>
          <w:sz w:val="21"/>
        </w:rPr>
        <w:t>，</w:t>
      </w:r>
      <w:r>
        <w:rPr>
          <w:sz w:val="21"/>
        </w:rPr>
        <w:t>在每月结算日零时如果主合同的账户价值不足以同时支付主合同及附加合同的风险保险费，则自该结算日的次日起</w:t>
      </w:r>
      <w:r>
        <w:rPr>
          <w:spacing w:val="-61"/>
          <w:sz w:val="21"/>
        </w:rPr>
        <w:t> </w:t>
      </w:r>
      <w:r>
        <w:rPr>
          <w:sz w:val="21"/>
        </w:rPr>
        <w:t>60</w:t>
      </w:r>
      <w:r>
        <w:rPr>
          <w:spacing w:val="-60"/>
          <w:sz w:val="21"/>
        </w:rPr>
        <w:t> </w:t>
      </w:r>
      <w:r>
        <w:rPr>
          <w:sz w:val="21"/>
        </w:rPr>
        <w:t>日为主合同及本附加合同的宽限期。</w:t>
      </w:r>
    </w:p>
    <w:p>
      <w:pPr>
        <w:pStyle w:val="BodyText"/>
        <w:spacing w:before="5"/>
        <w:rPr>
          <w:sz w:val="24"/>
        </w:rPr>
      </w:pPr>
    </w:p>
    <w:p>
      <w:pPr>
        <w:pStyle w:val="BodyText"/>
        <w:spacing w:line="273" w:lineRule="auto" w:before="0"/>
        <w:ind w:left="2947" w:right="218"/>
        <w:jc w:val="both"/>
      </w:pPr>
      <w:r>
        <w:rPr>
          <w:spacing w:val="-2"/>
        </w:rPr>
        <w:t>宽限期内发生的保险事故，我们仍会承担保险责任，但在给付保险金时会扣除</w:t>
      </w:r>
      <w:r>
        <w:rPr>
          <w:spacing w:val="-4"/>
        </w:rPr>
        <w:t>您欠交的风险保险费。如果您宽限期结束后仍未支付主合同保险费，则本附加合同自宽限期满的次日零时起效力中止。</w:t>
      </w:r>
    </w:p>
    <w:p>
      <w:pPr>
        <w:pStyle w:val="BodyText"/>
        <w:spacing w:before="0"/>
        <w:rPr>
          <w:sz w:val="20"/>
        </w:rPr>
      </w:pPr>
    </w:p>
    <w:p>
      <w:pPr>
        <w:pStyle w:val="Heading2"/>
        <w:tabs>
          <w:tab w:pos="961" w:val="left" w:leader="none"/>
        </w:tabs>
        <w:spacing w:before="134"/>
      </w:pPr>
      <w:r>
        <w:rPr/>
        <w:pict>
          <v:group style="position:absolute;margin-left:40.560001pt;margin-top:34.800049pt;width:503.1pt;height:1pt;mso-position-horizontal-relative:page;mso-position-vertical-relative:paragraph;z-index:1168;mso-wrap-distance-left:0;mso-wrap-distance-right:0" coordorigin="811,696" coordsize="10062,20">
            <v:line style="position:absolute" from="811,706" to="3559,706" stroked="true" strokeweight=".96002pt" strokecolor="#000000">
              <v:stroke dashstyle="solid"/>
            </v:line>
            <v:line style="position:absolute" from="3559,706" to="10873,706" stroked="true" strokeweight=".96pt" strokecolor="#000000">
              <v:stroke dashstyle="solid"/>
            </v:line>
            <w10:wrap type="topAndBottom"/>
          </v:group>
        </w:pict>
      </w:r>
      <w:r>
        <w:rPr>
          <w:rFonts w:ascii="Arial" w:hAnsi="Arial" w:eastAsia="Arial"/>
          <w:position w:val="-3"/>
          <w:sz w:val="40"/>
        </w:rPr>
        <w:t></w:t>
        <w:tab/>
      </w:r>
      <w:r>
        <w:rPr>
          <w:w w:val="95"/>
        </w:rPr>
        <w:t>如何恢复合同效力</w:t>
      </w:r>
    </w:p>
    <w:p>
      <w:pPr>
        <w:pStyle w:val="BodyText"/>
        <w:spacing w:before="11"/>
        <w:rPr>
          <w:b/>
          <w:sz w:val="17"/>
        </w:rPr>
      </w:pPr>
    </w:p>
    <w:p>
      <w:pPr>
        <w:pStyle w:val="BodyText"/>
        <w:tabs>
          <w:tab w:pos="961" w:val="left" w:leader="none"/>
          <w:tab w:pos="2947" w:val="left" w:leader="none"/>
        </w:tabs>
        <w:spacing w:line="273" w:lineRule="auto" w:before="35"/>
        <w:ind w:left="2948" w:right="217" w:hanging="2729"/>
      </w:pPr>
      <w:r>
        <w:rPr>
          <w:b/>
        </w:rPr>
        <w:t>5.1</w:t>
        <w:tab/>
        <w:t>效力恢复</w:t>
        <w:tab/>
      </w:r>
      <w:r>
        <w:rPr/>
        <w:t>本附加合同效力中止后</w:t>
      </w:r>
      <w:r>
        <w:rPr>
          <w:spacing w:val="-53"/>
        </w:rPr>
        <w:t> </w:t>
      </w:r>
      <w:r>
        <w:rPr/>
        <w:t>2</w:t>
      </w:r>
      <w:r>
        <w:rPr>
          <w:spacing w:val="-52"/>
        </w:rPr>
        <w:t> </w:t>
      </w:r>
      <w:r>
        <w:rPr/>
        <w:t>年内</w:t>
      </w:r>
      <w:r>
        <w:rPr>
          <w:spacing w:val="-12"/>
        </w:rPr>
        <w:t>，</w:t>
      </w:r>
      <w:r>
        <w:rPr/>
        <w:t>您可以申请恢复合同效力</w:t>
      </w:r>
      <w:r>
        <w:rPr>
          <w:spacing w:val="-12"/>
        </w:rPr>
        <w:t>。</w:t>
      </w:r>
      <w:r>
        <w:rPr/>
        <w:t>经我们与您协商并达成协议，在您补交保险费及其他未还款项之日起，合同效力恢复。</w:t>
      </w:r>
    </w:p>
    <w:p>
      <w:pPr>
        <w:pStyle w:val="BodyText"/>
        <w:spacing w:before="5"/>
        <w:rPr>
          <w:sz w:val="24"/>
        </w:rPr>
      </w:pPr>
    </w:p>
    <w:p>
      <w:pPr>
        <w:pStyle w:val="BodyText"/>
        <w:spacing w:line="273" w:lineRule="auto" w:before="0"/>
        <w:ind w:left="2948" w:right="217"/>
      </w:pPr>
      <w:r>
        <w:rPr>
          <w:spacing w:val="-4"/>
        </w:rPr>
        <w:t>自本附加合同效力中止之日起满 </w:t>
      </w:r>
      <w:r>
        <w:rPr/>
        <w:t>2</w:t>
      </w:r>
      <w:r>
        <w:rPr>
          <w:spacing w:val="-10"/>
        </w:rPr>
        <w:t> 年您和我们未达成协议的，我们有权解除合同。</w:t>
      </w:r>
    </w:p>
    <w:p>
      <w:pPr>
        <w:pStyle w:val="BodyText"/>
        <w:spacing w:before="5"/>
        <w:rPr>
          <w:sz w:val="24"/>
        </w:rPr>
      </w:pPr>
    </w:p>
    <w:p>
      <w:pPr>
        <w:pStyle w:val="BodyText"/>
        <w:spacing w:before="0"/>
        <w:ind w:left="2948"/>
      </w:pPr>
      <w:r>
        <w:rPr/>
        <w:t>主合同效力中止期间，本附加合同不得单独申请复效。</w:t>
      </w:r>
    </w:p>
    <w:p>
      <w:pPr>
        <w:pStyle w:val="BodyText"/>
        <w:spacing w:before="0"/>
        <w:rPr>
          <w:sz w:val="20"/>
        </w:rPr>
      </w:pPr>
    </w:p>
    <w:p>
      <w:pPr>
        <w:pStyle w:val="Heading2"/>
        <w:tabs>
          <w:tab w:pos="961" w:val="left" w:leader="none"/>
        </w:tabs>
        <w:spacing w:before="164"/>
      </w:pPr>
      <w:r>
        <w:rPr/>
        <w:pict>
          <v:group style="position:absolute;margin-left:40.560001pt;margin-top:36.300072pt;width:503.1pt;height:1pt;mso-position-horizontal-relative:page;mso-position-vertical-relative:paragraph;z-index:1192;mso-wrap-distance-left:0;mso-wrap-distance-right:0" coordorigin="811,726" coordsize="10062,20">
            <v:line style="position:absolute" from="811,736" to="3559,736" stroked="true" strokeweight=".95999pt" strokecolor="#000000">
              <v:stroke dashstyle="solid"/>
            </v:line>
            <v:line style="position:absolute" from="3559,736" to="10873,736" stroked="true" strokeweight=".96pt" strokecolor="#000000">
              <v:stroke dashstyle="solid"/>
            </v:line>
            <w10:wrap type="topAndBottom"/>
          </v:group>
        </w:pict>
      </w:r>
      <w:r>
        <w:rPr>
          <w:rFonts w:ascii="Arial" w:hAnsi="Arial" w:eastAsia="Arial"/>
          <w:position w:val="-3"/>
          <w:sz w:val="40"/>
        </w:rPr>
        <w:t></w:t>
        <w:tab/>
      </w:r>
      <w:r>
        <w:rPr>
          <w:w w:val="95"/>
        </w:rPr>
        <w:t>如何解除保险合同</w:t>
      </w:r>
    </w:p>
    <w:p>
      <w:pPr>
        <w:pStyle w:val="BodyText"/>
        <w:spacing w:before="10"/>
        <w:rPr>
          <w:b/>
          <w:sz w:val="17"/>
        </w:rPr>
      </w:pPr>
    </w:p>
    <w:p>
      <w:pPr>
        <w:spacing w:after="0"/>
        <w:rPr>
          <w:sz w:val="17"/>
        </w:rPr>
        <w:sectPr>
          <w:type w:val="continuous"/>
          <w:pgSz w:w="11910" w:h="16840"/>
          <w:pgMar w:top="520" w:bottom="280" w:left="700" w:right="920"/>
        </w:sectPr>
      </w:pPr>
    </w:p>
    <w:p>
      <w:pPr>
        <w:pStyle w:val="Heading6"/>
        <w:tabs>
          <w:tab w:pos="962" w:val="left" w:leader="none"/>
        </w:tabs>
        <w:spacing w:before="35"/>
        <w:ind w:left="219"/>
      </w:pPr>
      <w:r>
        <w:rPr/>
        <w:t>6.1</w:t>
        <w:tab/>
      </w:r>
      <w:r>
        <w:rPr>
          <w:w w:val="95"/>
        </w:rPr>
        <w:t>您解除合同的手续</w:t>
      </w:r>
    </w:p>
    <w:p>
      <w:pPr>
        <w:spacing w:before="37"/>
        <w:ind w:left="959" w:right="1049" w:firstLine="0"/>
        <w:jc w:val="center"/>
        <w:rPr>
          <w:b/>
          <w:sz w:val="21"/>
        </w:rPr>
      </w:pPr>
      <w:r>
        <w:rPr>
          <w:b/>
          <w:w w:val="95"/>
          <w:sz w:val="21"/>
        </w:rPr>
        <w:t>及风险</w:t>
      </w:r>
    </w:p>
    <w:p>
      <w:pPr>
        <w:pStyle w:val="BodyText"/>
        <w:spacing w:line="273" w:lineRule="auto" w:before="35"/>
        <w:ind w:left="219" w:right="169"/>
      </w:pPr>
      <w:r>
        <w:rPr/>
        <w:br w:type="column"/>
      </w:r>
      <w:r>
        <w:rPr/>
        <w:t>如您在犹豫期后申请解除本附加合同，请填写解除合同申请书并向我们提供下列资料：</w:t>
      </w:r>
    </w:p>
    <w:p>
      <w:pPr>
        <w:pStyle w:val="BodyText"/>
        <w:spacing w:before="7"/>
        <w:ind w:left="219"/>
      </w:pPr>
      <w:r>
        <w:rPr/>
        <w:t>（1）保险合同；</w:t>
      </w:r>
    </w:p>
    <w:p>
      <w:pPr>
        <w:pStyle w:val="BodyText"/>
        <w:spacing w:before="36"/>
        <w:ind w:left="219"/>
      </w:pPr>
      <w:r>
        <w:rPr/>
        <w:t>（2）您的有效身份证件。</w:t>
      </w:r>
    </w:p>
    <w:p>
      <w:pPr>
        <w:pStyle w:val="BodyText"/>
        <w:spacing w:before="8"/>
        <w:rPr>
          <w:sz w:val="26"/>
        </w:rPr>
      </w:pPr>
    </w:p>
    <w:p>
      <w:pPr>
        <w:pStyle w:val="BodyText"/>
        <w:spacing w:before="0"/>
        <w:ind w:left="219"/>
      </w:pPr>
      <w:r>
        <w:rPr/>
        <w:t>自我们收到解除合同申请书时起，本附加合同终止。</w:t>
      </w:r>
    </w:p>
    <w:p>
      <w:pPr>
        <w:spacing w:after="0"/>
        <w:sectPr>
          <w:type w:val="continuous"/>
          <w:pgSz w:w="11910" w:h="16840"/>
          <w:pgMar w:top="520" w:bottom="280" w:left="700" w:right="920"/>
          <w:cols w:num="2" w:equalWidth="0">
            <w:col w:w="2649" w:space="79"/>
            <w:col w:w="7562"/>
          </w:cols>
        </w:sectPr>
      </w:pPr>
    </w:p>
    <w:p>
      <w:pPr>
        <w:pStyle w:val="BodyText"/>
        <w:spacing w:before="11"/>
        <w:ind w:left="2948"/>
      </w:pPr>
      <w:r>
        <w:rPr/>
        <w:t>您犹豫期后解除合同会遭受一定损失。</w:t>
      </w:r>
    </w:p>
    <w:p>
      <w:pPr>
        <w:pStyle w:val="BodyText"/>
        <w:spacing w:before="0"/>
        <w:rPr>
          <w:sz w:val="20"/>
        </w:rPr>
      </w:pPr>
    </w:p>
    <w:p>
      <w:pPr>
        <w:pStyle w:val="Heading2"/>
        <w:tabs>
          <w:tab w:pos="961" w:val="left" w:leader="none"/>
        </w:tabs>
        <w:spacing w:before="164"/>
      </w:pPr>
      <w:r>
        <w:rPr/>
        <w:pict>
          <v:group style="position:absolute;margin-left:40.560001pt;margin-top:36.300087pt;width:503.1pt;height:1pt;mso-position-horizontal-relative:page;mso-position-vertical-relative:paragraph;z-index:1216;mso-wrap-distance-left:0;mso-wrap-distance-right:0" coordorigin="811,726" coordsize="10062,20">
            <v:line style="position:absolute" from="811,736" to="3559,736" stroked="true" strokeweight=".95996pt" strokecolor="#000000">
              <v:stroke dashstyle="solid"/>
            </v:line>
            <v:line style="position:absolute" from="3559,736" to="10873,736" stroked="true" strokeweight=".96pt" strokecolor="#000000">
              <v:stroke dashstyle="solid"/>
            </v:line>
            <w10:wrap type="topAndBottom"/>
          </v:group>
        </w:pict>
      </w:r>
      <w:r>
        <w:rPr>
          <w:rFonts w:ascii="Arial" w:hAnsi="Arial" w:eastAsia="Arial"/>
          <w:position w:val="-3"/>
          <w:sz w:val="40"/>
        </w:rPr>
        <w:t></w:t>
        <w:tab/>
      </w:r>
      <w:r>
        <w:rPr>
          <w:w w:val="95"/>
        </w:rPr>
        <w:t>其他需要关注的事项</w:t>
      </w:r>
    </w:p>
    <w:p>
      <w:pPr>
        <w:pStyle w:val="BodyText"/>
        <w:spacing w:before="11"/>
        <w:rPr>
          <w:b/>
          <w:sz w:val="17"/>
        </w:rPr>
      </w:pPr>
    </w:p>
    <w:p>
      <w:pPr>
        <w:pStyle w:val="BodyText"/>
        <w:tabs>
          <w:tab w:pos="962" w:val="left" w:leader="none"/>
          <w:tab w:pos="2947" w:val="left" w:leader="none"/>
        </w:tabs>
        <w:spacing w:line="273" w:lineRule="auto" w:before="35"/>
        <w:ind w:left="2948" w:right="217" w:hanging="2729"/>
      </w:pPr>
      <w:r>
        <w:rPr>
          <w:b/>
        </w:rPr>
        <w:t>7.1</w:t>
        <w:tab/>
        <w:t>年龄错误</w:t>
        <w:tab/>
      </w:r>
      <w:r>
        <w:rPr/>
        <w:t>您在申请投保时</w:t>
      </w:r>
      <w:r>
        <w:rPr>
          <w:spacing w:val="-23"/>
        </w:rPr>
        <w:t>，</w:t>
      </w:r>
      <w:r>
        <w:rPr/>
        <w:t>应将与有效身份证件相符的被保险人的出生日期在投保单上填明，如果发生错误按照下列方式办理：</w:t>
      </w:r>
    </w:p>
    <w:p>
      <w:pPr>
        <w:pStyle w:val="BodyText"/>
        <w:spacing w:line="273" w:lineRule="auto" w:before="7"/>
        <w:ind w:left="3468" w:right="216" w:hanging="521"/>
        <w:jc w:val="both"/>
      </w:pPr>
      <w:r>
        <w:rPr/>
        <w:t>（1）您申报的被保险人年龄不真实，并且真实年龄不符合本附加合同约定的投保年龄限制的，在保险事故发生之前我们有权解除合同。我们行使合同解除权适用“我们合同解除权的限制”的规定。</w:t>
      </w:r>
    </w:p>
    <w:p>
      <w:pPr>
        <w:pStyle w:val="BodyText"/>
        <w:spacing w:line="273" w:lineRule="auto" w:before="7"/>
        <w:ind w:left="3468" w:right="216" w:hanging="521"/>
        <w:jc w:val="both"/>
      </w:pPr>
      <w:r>
        <w:rPr/>
        <w:t>（2）您申报的被保险人年龄不真实，致使我们已收取的风险保险费少于应收取的风险保险费的，我们有权更正并从主合同保单账户价值里扣除您欠交的风险保险费；若已发生保险事故，我们按照累计已收取的风险保险费与累计应收取的保险费的比例调整基本保险金额并按调整后的基本保险金额给付保险金。</w:t>
      </w:r>
    </w:p>
    <w:p>
      <w:pPr>
        <w:pStyle w:val="BodyText"/>
        <w:spacing w:line="273" w:lineRule="auto" w:before="7"/>
        <w:ind w:left="3468" w:right="216" w:hanging="521"/>
        <w:jc w:val="both"/>
      </w:pPr>
      <w:r>
        <w:rPr/>
        <w:t>（3）您申报的被保险人年龄不真实，致使我们已收取的风险保险费多于应收取的风险保险费的，我们将多收的风险保险费无息计入主合同的保单账户价值。</w:t>
      </w:r>
    </w:p>
    <w:p>
      <w:pPr>
        <w:pStyle w:val="BodyText"/>
        <w:spacing w:before="4"/>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
        <w:gridCol w:w="1924"/>
        <w:gridCol w:w="7481"/>
      </w:tblGrid>
      <w:tr>
        <w:trPr>
          <w:trHeight w:val="1040" w:hRule="atLeast"/>
        </w:trPr>
        <w:tc>
          <w:tcPr>
            <w:tcW w:w="657" w:type="dxa"/>
          </w:tcPr>
          <w:p>
            <w:pPr>
              <w:pStyle w:val="TableParagraph"/>
              <w:spacing w:line="210" w:lineRule="exact"/>
              <w:ind w:left="108"/>
              <w:jc w:val="left"/>
              <w:rPr>
                <w:rFonts w:ascii="宋体"/>
                <w:b/>
                <w:sz w:val="21"/>
              </w:rPr>
            </w:pPr>
            <w:r>
              <w:rPr>
                <w:rFonts w:ascii="宋体"/>
                <w:b/>
                <w:sz w:val="21"/>
              </w:rPr>
              <w:t>7.2</w:t>
            </w:r>
          </w:p>
        </w:tc>
        <w:tc>
          <w:tcPr>
            <w:tcW w:w="1924" w:type="dxa"/>
          </w:tcPr>
          <w:p>
            <w:pPr>
              <w:pStyle w:val="TableParagraph"/>
              <w:spacing w:line="210" w:lineRule="exact"/>
              <w:ind w:left="192"/>
              <w:jc w:val="left"/>
              <w:rPr>
                <w:rFonts w:ascii="宋体" w:eastAsia="宋体" w:hint="eastAsia"/>
                <w:b/>
                <w:sz w:val="21"/>
              </w:rPr>
            </w:pPr>
            <w:r>
              <w:rPr>
                <w:rFonts w:ascii="宋体" w:eastAsia="宋体" w:hint="eastAsia"/>
                <w:b/>
                <w:w w:val="95"/>
                <w:sz w:val="21"/>
              </w:rPr>
              <w:t>效力终止</w:t>
            </w:r>
          </w:p>
        </w:tc>
        <w:tc>
          <w:tcPr>
            <w:tcW w:w="7481" w:type="dxa"/>
          </w:tcPr>
          <w:p>
            <w:pPr>
              <w:pStyle w:val="TableParagraph"/>
              <w:spacing w:line="210" w:lineRule="exact"/>
              <w:ind w:left="255"/>
              <w:jc w:val="left"/>
              <w:rPr>
                <w:rFonts w:ascii="宋体" w:eastAsia="宋体" w:hint="eastAsia"/>
                <w:sz w:val="21"/>
              </w:rPr>
            </w:pPr>
            <w:r>
              <w:rPr>
                <w:rFonts w:ascii="宋体" w:eastAsia="宋体" w:hint="eastAsia"/>
                <w:sz w:val="21"/>
              </w:rPr>
              <w:t>当发生下列情形之一时，本附加合同效力终止：</w:t>
            </w:r>
          </w:p>
          <w:p>
            <w:pPr>
              <w:pStyle w:val="TableParagraph"/>
              <w:spacing w:line="240" w:lineRule="auto" w:before="37"/>
              <w:ind w:left="255"/>
              <w:jc w:val="left"/>
              <w:rPr>
                <w:rFonts w:ascii="宋体" w:eastAsia="宋体" w:hint="eastAsia"/>
                <w:sz w:val="21"/>
              </w:rPr>
            </w:pPr>
            <w:r>
              <w:rPr>
                <w:rFonts w:ascii="宋体" w:eastAsia="宋体" w:hint="eastAsia"/>
                <w:sz w:val="21"/>
              </w:rPr>
              <w:t>（1）主合同效力终止；</w:t>
            </w:r>
          </w:p>
          <w:p>
            <w:pPr>
              <w:pStyle w:val="TableParagraph"/>
              <w:spacing w:line="240" w:lineRule="auto" w:before="37"/>
              <w:ind w:left="255"/>
              <w:jc w:val="left"/>
              <w:rPr>
                <w:rFonts w:ascii="宋体" w:eastAsia="宋体" w:hint="eastAsia"/>
                <w:sz w:val="21"/>
              </w:rPr>
            </w:pPr>
            <w:r>
              <w:rPr>
                <w:rFonts w:ascii="宋体" w:eastAsia="宋体" w:hint="eastAsia"/>
                <w:sz w:val="21"/>
              </w:rPr>
              <w:t>（2）您申请解除本附加合同。</w:t>
            </w:r>
          </w:p>
        </w:tc>
      </w:tr>
      <w:tr>
        <w:trPr>
          <w:trHeight w:val="3457" w:hRule="atLeast"/>
        </w:trPr>
        <w:tc>
          <w:tcPr>
            <w:tcW w:w="657" w:type="dxa"/>
          </w:tcPr>
          <w:p>
            <w:pPr>
              <w:pStyle w:val="TableParagraph"/>
              <w:spacing w:line="240" w:lineRule="auto" w:before="142"/>
              <w:ind w:left="108"/>
              <w:jc w:val="left"/>
              <w:rPr>
                <w:rFonts w:ascii="宋体"/>
                <w:b/>
                <w:sz w:val="21"/>
              </w:rPr>
            </w:pPr>
            <w:r>
              <w:rPr>
                <w:rFonts w:ascii="宋体"/>
                <w:b/>
                <w:sz w:val="21"/>
              </w:rPr>
              <w:t>7.3</w:t>
            </w:r>
          </w:p>
        </w:tc>
        <w:tc>
          <w:tcPr>
            <w:tcW w:w="1924" w:type="dxa"/>
          </w:tcPr>
          <w:p>
            <w:pPr>
              <w:pStyle w:val="TableParagraph"/>
              <w:spacing w:line="240" w:lineRule="auto" w:before="142"/>
              <w:ind w:left="193"/>
              <w:jc w:val="left"/>
              <w:rPr>
                <w:rFonts w:ascii="宋体" w:eastAsia="宋体" w:hint="eastAsia"/>
                <w:b/>
                <w:sz w:val="21"/>
              </w:rPr>
            </w:pPr>
            <w:r>
              <w:rPr>
                <w:rFonts w:ascii="宋体" w:eastAsia="宋体" w:hint="eastAsia"/>
                <w:b/>
                <w:w w:val="95"/>
                <w:sz w:val="21"/>
              </w:rPr>
              <w:t>适用主合同条款</w:t>
            </w:r>
          </w:p>
        </w:tc>
        <w:tc>
          <w:tcPr>
            <w:tcW w:w="7481" w:type="dxa"/>
          </w:tcPr>
          <w:p>
            <w:pPr>
              <w:pStyle w:val="TableParagraph"/>
              <w:spacing w:line="240" w:lineRule="auto" w:before="142"/>
              <w:ind w:left="255"/>
              <w:jc w:val="left"/>
              <w:rPr>
                <w:rFonts w:ascii="宋体" w:eastAsia="宋体" w:hint="eastAsia"/>
                <w:sz w:val="21"/>
              </w:rPr>
            </w:pPr>
            <w:r>
              <w:rPr>
                <w:rFonts w:ascii="宋体" w:eastAsia="宋体" w:hint="eastAsia"/>
                <w:sz w:val="21"/>
              </w:rPr>
              <w:t>下列各项条款，适用主合同条款：</w:t>
            </w:r>
          </w:p>
          <w:p>
            <w:pPr>
              <w:pStyle w:val="TableParagraph"/>
              <w:spacing w:line="240" w:lineRule="auto" w:before="37"/>
              <w:ind w:left="255"/>
              <w:jc w:val="left"/>
              <w:rPr>
                <w:rFonts w:ascii="宋体" w:eastAsia="宋体" w:hint="eastAsia"/>
                <w:sz w:val="21"/>
              </w:rPr>
            </w:pPr>
            <w:r>
              <w:rPr>
                <w:rFonts w:ascii="宋体" w:eastAsia="宋体" w:hint="eastAsia"/>
                <w:sz w:val="21"/>
              </w:rPr>
              <w:t>（1）保险期间；</w:t>
            </w:r>
          </w:p>
          <w:p>
            <w:pPr>
              <w:pStyle w:val="TableParagraph"/>
              <w:spacing w:line="240" w:lineRule="auto" w:before="37"/>
              <w:ind w:left="255"/>
              <w:jc w:val="left"/>
              <w:rPr>
                <w:rFonts w:ascii="宋体" w:eastAsia="宋体" w:hint="eastAsia"/>
                <w:sz w:val="21"/>
              </w:rPr>
            </w:pPr>
            <w:r>
              <w:rPr>
                <w:rFonts w:ascii="宋体" w:eastAsia="宋体" w:hint="eastAsia"/>
                <w:sz w:val="21"/>
              </w:rPr>
              <w:t>（2）宽限期；</w:t>
            </w:r>
          </w:p>
          <w:p>
            <w:pPr>
              <w:pStyle w:val="TableParagraph"/>
              <w:spacing w:line="240" w:lineRule="auto" w:before="37"/>
              <w:ind w:left="255"/>
              <w:jc w:val="left"/>
              <w:rPr>
                <w:rFonts w:ascii="宋体" w:eastAsia="宋体" w:hint="eastAsia"/>
                <w:sz w:val="21"/>
              </w:rPr>
            </w:pPr>
            <w:r>
              <w:rPr>
                <w:rFonts w:ascii="宋体" w:eastAsia="宋体" w:hint="eastAsia"/>
                <w:sz w:val="21"/>
              </w:rPr>
              <w:t>（3）保险事故通知；</w:t>
            </w:r>
          </w:p>
          <w:p>
            <w:pPr>
              <w:pStyle w:val="TableParagraph"/>
              <w:spacing w:line="240" w:lineRule="auto" w:before="37"/>
              <w:ind w:left="255"/>
              <w:jc w:val="left"/>
              <w:rPr>
                <w:rFonts w:ascii="宋体" w:eastAsia="宋体" w:hint="eastAsia"/>
                <w:sz w:val="21"/>
              </w:rPr>
            </w:pPr>
            <w:r>
              <w:rPr>
                <w:rFonts w:ascii="宋体" w:eastAsia="宋体" w:hint="eastAsia"/>
                <w:sz w:val="21"/>
              </w:rPr>
              <w:t>（4）未还款项；</w:t>
            </w:r>
          </w:p>
          <w:p>
            <w:pPr>
              <w:pStyle w:val="TableParagraph"/>
              <w:spacing w:line="240" w:lineRule="auto" w:before="37"/>
              <w:ind w:left="255"/>
              <w:jc w:val="left"/>
              <w:rPr>
                <w:rFonts w:ascii="宋体" w:eastAsia="宋体" w:hint="eastAsia"/>
                <w:sz w:val="21"/>
              </w:rPr>
            </w:pPr>
            <w:r>
              <w:rPr>
                <w:rFonts w:ascii="宋体" w:eastAsia="宋体" w:hint="eastAsia"/>
                <w:sz w:val="21"/>
              </w:rPr>
              <w:t>（5）明确说明与如实告知；</w:t>
            </w:r>
          </w:p>
          <w:p>
            <w:pPr>
              <w:pStyle w:val="TableParagraph"/>
              <w:spacing w:line="240" w:lineRule="auto" w:before="37"/>
              <w:ind w:left="255"/>
              <w:jc w:val="left"/>
              <w:rPr>
                <w:rFonts w:ascii="宋体" w:eastAsia="宋体" w:hint="eastAsia"/>
                <w:sz w:val="21"/>
              </w:rPr>
            </w:pPr>
            <w:r>
              <w:rPr>
                <w:rFonts w:ascii="宋体" w:eastAsia="宋体" w:hint="eastAsia"/>
                <w:sz w:val="21"/>
              </w:rPr>
              <w:t>（6）我们合同解除权的限制；</w:t>
            </w:r>
          </w:p>
          <w:p>
            <w:pPr>
              <w:pStyle w:val="TableParagraph"/>
              <w:spacing w:line="240" w:lineRule="auto" w:before="37"/>
              <w:ind w:left="255"/>
              <w:jc w:val="left"/>
              <w:rPr>
                <w:rFonts w:ascii="宋体" w:eastAsia="宋体" w:hint="eastAsia"/>
                <w:sz w:val="21"/>
              </w:rPr>
            </w:pPr>
            <w:r>
              <w:rPr>
                <w:rFonts w:ascii="宋体" w:eastAsia="宋体" w:hint="eastAsia"/>
                <w:sz w:val="21"/>
              </w:rPr>
              <w:t>（7）合同内容变更；</w:t>
            </w:r>
          </w:p>
          <w:p>
            <w:pPr>
              <w:pStyle w:val="TableParagraph"/>
              <w:spacing w:line="240" w:lineRule="auto" w:before="37"/>
              <w:ind w:left="255"/>
              <w:jc w:val="left"/>
              <w:rPr>
                <w:rFonts w:ascii="宋体" w:eastAsia="宋体" w:hint="eastAsia"/>
                <w:sz w:val="21"/>
              </w:rPr>
            </w:pPr>
            <w:r>
              <w:rPr>
                <w:rFonts w:ascii="宋体" w:eastAsia="宋体" w:hint="eastAsia"/>
                <w:sz w:val="21"/>
              </w:rPr>
              <w:t>（8）联系方式变更；</w:t>
            </w:r>
          </w:p>
          <w:p>
            <w:pPr>
              <w:pStyle w:val="TableParagraph"/>
              <w:spacing w:line="240" w:lineRule="auto" w:before="37"/>
              <w:ind w:left="255"/>
              <w:jc w:val="left"/>
              <w:rPr>
                <w:rFonts w:ascii="宋体" w:eastAsia="宋体" w:hint="eastAsia"/>
                <w:sz w:val="21"/>
              </w:rPr>
            </w:pPr>
            <w:r>
              <w:rPr>
                <w:rFonts w:ascii="宋体" w:eastAsia="宋体" w:hint="eastAsia"/>
                <w:sz w:val="21"/>
              </w:rPr>
              <w:t>（9）争议处理。</w:t>
            </w:r>
          </w:p>
        </w:tc>
      </w:tr>
      <w:tr>
        <w:trPr>
          <w:trHeight w:val="755" w:hRule="atLeast"/>
        </w:trPr>
        <w:tc>
          <w:tcPr>
            <w:tcW w:w="657" w:type="dxa"/>
            <w:tcBorders>
              <w:bottom w:val="single" w:sz="8" w:space="0" w:color="000000"/>
            </w:tcBorders>
          </w:tcPr>
          <w:p>
            <w:pPr>
              <w:pStyle w:val="TableParagraph"/>
              <w:spacing w:line="240" w:lineRule="auto" w:before="194"/>
              <w:ind w:left="107"/>
              <w:jc w:val="left"/>
              <w:rPr>
                <w:rFonts w:ascii="Arial" w:hAnsi="Arial"/>
                <w:b/>
                <w:sz w:val="40"/>
              </w:rPr>
            </w:pPr>
            <w:r>
              <w:rPr>
                <w:rFonts w:ascii="Arial" w:hAnsi="Arial"/>
                <w:b/>
                <w:w w:val="118"/>
                <w:sz w:val="40"/>
              </w:rPr>
              <w:t></w:t>
            </w:r>
          </w:p>
        </w:tc>
        <w:tc>
          <w:tcPr>
            <w:tcW w:w="1924" w:type="dxa"/>
            <w:tcBorders>
              <w:bottom w:val="single" w:sz="8" w:space="0" w:color="000000"/>
            </w:tcBorders>
          </w:tcPr>
          <w:p>
            <w:pPr>
              <w:pStyle w:val="TableParagraph"/>
              <w:spacing w:line="240" w:lineRule="auto" w:before="12"/>
              <w:jc w:val="left"/>
              <w:rPr>
                <w:rFonts w:ascii="宋体"/>
                <w:sz w:val="18"/>
              </w:rPr>
            </w:pPr>
          </w:p>
          <w:p>
            <w:pPr>
              <w:pStyle w:val="TableParagraph"/>
              <w:spacing w:line="240" w:lineRule="auto" w:before="1"/>
              <w:ind w:left="193"/>
              <w:jc w:val="left"/>
              <w:rPr>
                <w:rFonts w:ascii="宋体" w:eastAsia="宋体" w:hint="eastAsia"/>
                <w:b/>
                <w:sz w:val="24"/>
              </w:rPr>
            </w:pPr>
            <w:r>
              <w:rPr>
                <w:rFonts w:ascii="宋体" w:eastAsia="宋体" w:hint="eastAsia"/>
                <w:b/>
                <w:w w:val="95"/>
                <w:sz w:val="24"/>
              </w:rPr>
              <w:t>释义</w:t>
            </w:r>
          </w:p>
        </w:tc>
        <w:tc>
          <w:tcPr>
            <w:tcW w:w="7481" w:type="dxa"/>
            <w:tcBorders>
              <w:bottom w:val="single" w:sz="8" w:space="0" w:color="000000"/>
            </w:tcBorders>
          </w:tcPr>
          <w:p>
            <w:pPr>
              <w:pStyle w:val="TableParagraph"/>
              <w:spacing w:line="240" w:lineRule="auto"/>
              <w:jc w:val="left"/>
              <w:rPr>
                <w:rFonts w:ascii="Times New Roman"/>
                <w:sz w:val="20"/>
              </w:rPr>
            </w:pPr>
          </w:p>
        </w:tc>
      </w:tr>
      <w:tr>
        <w:trPr>
          <w:trHeight w:val="1090" w:hRule="atLeast"/>
        </w:trPr>
        <w:tc>
          <w:tcPr>
            <w:tcW w:w="657" w:type="dxa"/>
            <w:tcBorders>
              <w:top w:val="single" w:sz="8" w:space="0" w:color="000000"/>
            </w:tcBorders>
          </w:tcPr>
          <w:p>
            <w:pPr>
              <w:pStyle w:val="TableParagraph"/>
              <w:spacing w:line="240" w:lineRule="auto" w:before="8"/>
              <w:jc w:val="left"/>
              <w:rPr>
                <w:rFonts w:ascii="宋体"/>
                <w:sz w:val="22"/>
              </w:rPr>
            </w:pPr>
          </w:p>
          <w:p>
            <w:pPr>
              <w:pStyle w:val="TableParagraph"/>
              <w:spacing w:line="240" w:lineRule="auto" w:before="1"/>
              <w:ind w:left="107"/>
              <w:jc w:val="left"/>
              <w:rPr>
                <w:rFonts w:ascii="宋体"/>
                <w:b/>
                <w:sz w:val="21"/>
              </w:rPr>
            </w:pPr>
            <w:r>
              <w:rPr>
                <w:rFonts w:ascii="宋体"/>
                <w:b/>
                <w:sz w:val="21"/>
              </w:rPr>
              <w:t>8.1</w:t>
            </w:r>
          </w:p>
        </w:tc>
        <w:tc>
          <w:tcPr>
            <w:tcW w:w="1924" w:type="dxa"/>
            <w:tcBorders>
              <w:top w:val="single" w:sz="8" w:space="0" w:color="000000"/>
            </w:tcBorders>
          </w:tcPr>
          <w:p>
            <w:pPr>
              <w:pStyle w:val="TableParagraph"/>
              <w:spacing w:line="240" w:lineRule="auto" w:before="8"/>
              <w:jc w:val="left"/>
              <w:rPr>
                <w:rFonts w:ascii="宋体"/>
                <w:sz w:val="22"/>
              </w:rPr>
            </w:pPr>
          </w:p>
          <w:p>
            <w:pPr>
              <w:pStyle w:val="TableParagraph"/>
              <w:spacing w:line="240" w:lineRule="auto" w:before="1"/>
              <w:ind w:left="193"/>
              <w:jc w:val="left"/>
              <w:rPr>
                <w:rFonts w:ascii="宋体" w:eastAsia="宋体" w:hint="eastAsia"/>
                <w:b/>
                <w:sz w:val="21"/>
              </w:rPr>
            </w:pPr>
            <w:r>
              <w:rPr>
                <w:rFonts w:ascii="宋体" w:eastAsia="宋体" w:hint="eastAsia"/>
                <w:b/>
                <w:sz w:val="21"/>
              </w:rPr>
              <w:t>保单年度</w:t>
            </w:r>
          </w:p>
        </w:tc>
        <w:tc>
          <w:tcPr>
            <w:tcW w:w="7481" w:type="dxa"/>
            <w:tcBorders>
              <w:top w:val="single" w:sz="8" w:space="0" w:color="000000"/>
            </w:tcBorders>
          </w:tcPr>
          <w:p>
            <w:pPr>
              <w:pStyle w:val="TableParagraph"/>
              <w:spacing w:line="240" w:lineRule="auto" w:before="8"/>
              <w:jc w:val="left"/>
              <w:rPr>
                <w:rFonts w:ascii="宋体"/>
                <w:sz w:val="22"/>
              </w:rPr>
            </w:pPr>
          </w:p>
          <w:p>
            <w:pPr>
              <w:pStyle w:val="TableParagraph"/>
              <w:spacing w:line="273" w:lineRule="auto" w:before="1"/>
              <w:ind w:left="255" w:right="293"/>
              <w:jc w:val="left"/>
              <w:rPr>
                <w:rFonts w:ascii="宋体" w:eastAsia="宋体" w:hint="eastAsia"/>
                <w:sz w:val="21"/>
              </w:rPr>
            </w:pPr>
            <w:r>
              <w:rPr>
                <w:rFonts w:ascii="宋体" w:eastAsia="宋体" w:hint="eastAsia"/>
                <w:sz w:val="21"/>
              </w:rPr>
              <w:t>指从保险合同生效日或生效对应日零时起至下一年度保险合同生效对应日零时止的期间为一个保单年度。</w:t>
            </w:r>
          </w:p>
        </w:tc>
      </w:tr>
      <w:tr>
        <w:trPr>
          <w:trHeight w:val="935" w:hRule="atLeast"/>
        </w:trPr>
        <w:tc>
          <w:tcPr>
            <w:tcW w:w="657" w:type="dxa"/>
          </w:tcPr>
          <w:p>
            <w:pPr>
              <w:pStyle w:val="TableParagraph"/>
              <w:spacing w:line="240" w:lineRule="auto" w:before="142"/>
              <w:ind w:left="107"/>
              <w:jc w:val="left"/>
              <w:rPr>
                <w:rFonts w:ascii="宋体"/>
                <w:b/>
                <w:sz w:val="21"/>
              </w:rPr>
            </w:pPr>
            <w:r>
              <w:rPr>
                <w:rFonts w:ascii="宋体"/>
                <w:b/>
                <w:sz w:val="21"/>
              </w:rPr>
              <w:t>8.2</w:t>
            </w:r>
          </w:p>
        </w:tc>
        <w:tc>
          <w:tcPr>
            <w:tcW w:w="1924" w:type="dxa"/>
          </w:tcPr>
          <w:p>
            <w:pPr>
              <w:pStyle w:val="TableParagraph"/>
              <w:spacing w:line="240" w:lineRule="auto" w:before="142"/>
              <w:ind w:left="194"/>
              <w:jc w:val="left"/>
              <w:rPr>
                <w:rFonts w:ascii="宋体" w:eastAsia="宋体" w:hint="eastAsia"/>
                <w:b/>
                <w:sz w:val="21"/>
              </w:rPr>
            </w:pPr>
            <w:r>
              <w:rPr>
                <w:rFonts w:ascii="宋体" w:eastAsia="宋体" w:hint="eastAsia"/>
                <w:b/>
                <w:w w:val="95"/>
                <w:sz w:val="21"/>
              </w:rPr>
              <w:t>有效身份证件</w:t>
            </w:r>
          </w:p>
        </w:tc>
        <w:tc>
          <w:tcPr>
            <w:tcW w:w="7481" w:type="dxa"/>
          </w:tcPr>
          <w:p>
            <w:pPr>
              <w:pStyle w:val="TableParagraph"/>
              <w:spacing w:line="273" w:lineRule="auto" w:before="142"/>
              <w:ind w:left="255" w:right="54"/>
              <w:jc w:val="left"/>
              <w:rPr>
                <w:rFonts w:ascii="宋体" w:eastAsia="宋体" w:hint="eastAsia"/>
                <w:sz w:val="21"/>
              </w:rPr>
            </w:pPr>
            <w:r>
              <w:rPr>
                <w:rFonts w:ascii="宋体" w:eastAsia="宋体" w:hint="eastAsia"/>
                <w:sz w:val="21"/>
              </w:rPr>
              <w:t>指由政府主管部门规定的证明其身份的证件，如：居民身份证、按规定可使用的有效护照、军官证、武警警官证、士兵证等证件。</w:t>
            </w:r>
          </w:p>
        </w:tc>
      </w:tr>
      <w:tr>
        <w:trPr>
          <w:trHeight w:val="467" w:hRule="atLeast"/>
        </w:trPr>
        <w:tc>
          <w:tcPr>
            <w:tcW w:w="657" w:type="dxa"/>
          </w:tcPr>
          <w:p>
            <w:pPr>
              <w:pStyle w:val="TableParagraph"/>
              <w:spacing w:line="240" w:lineRule="auto" w:before="142"/>
              <w:ind w:left="107"/>
              <w:jc w:val="left"/>
              <w:rPr>
                <w:rFonts w:ascii="宋体"/>
                <w:b/>
                <w:sz w:val="21"/>
              </w:rPr>
            </w:pPr>
            <w:r>
              <w:rPr>
                <w:rFonts w:ascii="宋体"/>
                <w:b/>
                <w:sz w:val="21"/>
              </w:rPr>
              <w:t>8.3</w:t>
            </w:r>
          </w:p>
        </w:tc>
        <w:tc>
          <w:tcPr>
            <w:tcW w:w="1924" w:type="dxa"/>
          </w:tcPr>
          <w:p>
            <w:pPr>
              <w:pStyle w:val="TableParagraph"/>
              <w:spacing w:line="240" w:lineRule="auto" w:before="142"/>
              <w:ind w:left="193"/>
              <w:jc w:val="left"/>
              <w:rPr>
                <w:rFonts w:ascii="宋体" w:eastAsia="宋体" w:hint="eastAsia"/>
                <w:b/>
                <w:sz w:val="21"/>
              </w:rPr>
            </w:pPr>
            <w:r>
              <w:rPr>
                <w:rFonts w:ascii="宋体" w:eastAsia="宋体" w:hint="eastAsia"/>
                <w:b/>
                <w:sz w:val="21"/>
              </w:rPr>
              <w:t>周岁</w:t>
            </w:r>
          </w:p>
        </w:tc>
        <w:tc>
          <w:tcPr>
            <w:tcW w:w="7481" w:type="dxa"/>
          </w:tcPr>
          <w:p>
            <w:pPr>
              <w:pStyle w:val="TableParagraph"/>
              <w:spacing w:line="240" w:lineRule="auto" w:before="142"/>
              <w:ind w:left="255"/>
              <w:jc w:val="left"/>
              <w:rPr>
                <w:rFonts w:ascii="宋体" w:eastAsia="宋体" w:hint="eastAsia"/>
                <w:sz w:val="21"/>
              </w:rPr>
            </w:pPr>
            <w:r>
              <w:rPr>
                <w:rFonts w:ascii="宋体" w:eastAsia="宋体" w:hint="eastAsia"/>
                <w:sz w:val="21"/>
              </w:rPr>
              <w:t>指按有效身份证件中记载的出生日期计算的年龄，自出生之日起为零周岁，每</w:t>
            </w:r>
          </w:p>
        </w:tc>
      </w:tr>
      <w:tr>
        <w:trPr>
          <w:trHeight w:val="260" w:hRule="atLeast"/>
        </w:trPr>
        <w:tc>
          <w:tcPr>
            <w:tcW w:w="657" w:type="dxa"/>
          </w:tcPr>
          <w:p>
            <w:pPr>
              <w:pStyle w:val="TableParagraph"/>
              <w:spacing w:line="240" w:lineRule="auto"/>
              <w:jc w:val="left"/>
              <w:rPr>
                <w:rFonts w:ascii="Times New Roman"/>
                <w:sz w:val="18"/>
              </w:rPr>
            </w:pPr>
          </w:p>
        </w:tc>
        <w:tc>
          <w:tcPr>
            <w:tcW w:w="1924" w:type="dxa"/>
          </w:tcPr>
          <w:p>
            <w:pPr>
              <w:pStyle w:val="TableParagraph"/>
              <w:spacing w:line="240" w:lineRule="auto"/>
              <w:jc w:val="left"/>
              <w:rPr>
                <w:rFonts w:ascii="Times New Roman"/>
                <w:sz w:val="18"/>
              </w:rPr>
            </w:pPr>
          </w:p>
        </w:tc>
        <w:tc>
          <w:tcPr>
            <w:tcW w:w="7481" w:type="dxa"/>
          </w:tcPr>
          <w:p>
            <w:pPr>
              <w:pStyle w:val="TableParagraph"/>
              <w:spacing w:line="241" w:lineRule="exact"/>
              <w:ind w:left="255"/>
              <w:jc w:val="left"/>
              <w:rPr>
                <w:rFonts w:ascii="宋体" w:eastAsia="宋体" w:hint="eastAsia"/>
                <w:sz w:val="21"/>
              </w:rPr>
            </w:pPr>
            <w:r>
              <w:rPr>
                <w:rFonts w:ascii="宋体" w:eastAsia="宋体" w:hint="eastAsia"/>
                <w:sz w:val="21"/>
              </w:rPr>
              <w:t>经过一年增加一岁，不足一年的不计。</w:t>
            </w:r>
          </w:p>
        </w:tc>
      </w:tr>
    </w:tbl>
    <w:p>
      <w:pPr>
        <w:spacing w:after="0" w:line="241" w:lineRule="exact"/>
        <w:jc w:val="left"/>
        <w:rPr>
          <w:rFonts w:ascii="宋体" w:eastAsia="宋体" w:hint="eastAsia"/>
          <w:sz w:val="21"/>
        </w:rPr>
        <w:sectPr>
          <w:pgSz w:w="11910" w:h="16840"/>
          <w:pgMar w:top="1420" w:bottom="280" w:left="700" w:right="920"/>
        </w:sectPr>
      </w:pPr>
    </w:p>
    <w:p>
      <w:pPr>
        <w:pStyle w:val="ListParagraph"/>
        <w:numPr>
          <w:ilvl w:val="1"/>
          <w:numId w:val="6"/>
        </w:numPr>
        <w:tabs>
          <w:tab w:pos="862" w:val="left" w:leader="none"/>
          <w:tab w:pos="863" w:val="left" w:leader="none"/>
          <w:tab w:pos="2847" w:val="left" w:leader="none"/>
        </w:tabs>
        <w:spacing w:line="240" w:lineRule="auto" w:before="11" w:after="0"/>
        <w:ind w:left="2848" w:right="0" w:hanging="2729"/>
        <w:jc w:val="left"/>
        <w:rPr>
          <w:sz w:val="21"/>
        </w:rPr>
      </w:pPr>
      <w:r>
        <w:rPr>
          <w:b/>
          <w:sz w:val="21"/>
        </w:rPr>
        <w:t>意外伤害事故</w:t>
        <w:tab/>
      </w:r>
      <w:r>
        <w:rPr>
          <w:sz w:val="21"/>
        </w:rPr>
        <w:t>指外来的</w:t>
      </w:r>
      <w:r>
        <w:rPr>
          <w:spacing w:val="-44"/>
          <w:sz w:val="21"/>
        </w:rPr>
        <w:t>、</w:t>
      </w:r>
      <w:r>
        <w:rPr>
          <w:sz w:val="21"/>
        </w:rPr>
        <w:t>非本意的</w:t>
      </w:r>
      <w:r>
        <w:rPr>
          <w:spacing w:val="-44"/>
          <w:sz w:val="21"/>
        </w:rPr>
        <w:t>、</w:t>
      </w:r>
      <w:r>
        <w:rPr>
          <w:sz w:val="21"/>
        </w:rPr>
        <w:t>突然的</w:t>
      </w:r>
      <w:r>
        <w:rPr>
          <w:spacing w:val="-44"/>
          <w:sz w:val="21"/>
        </w:rPr>
        <w:t>、</w:t>
      </w:r>
      <w:r>
        <w:rPr>
          <w:sz w:val="21"/>
        </w:rPr>
        <w:t>非疾病的使被保险人身体受到伤害的客观事件。</w:t>
      </w:r>
    </w:p>
    <w:p>
      <w:pPr>
        <w:pStyle w:val="BodyText"/>
        <w:spacing w:before="8"/>
        <w:rPr>
          <w:sz w:val="26"/>
        </w:rPr>
      </w:pPr>
    </w:p>
    <w:p>
      <w:pPr>
        <w:pStyle w:val="Heading6"/>
        <w:numPr>
          <w:ilvl w:val="1"/>
          <w:numId w:val="6"/>
        </w:numPr>
        <w:tabs>
          <w:tab w:pos="862" w:val="left" w:leader="none"/>
          <w:tab w:pos="863" w:val="left" w:leader="none"/>
          <w:tab w:pos="2847" w:val="left" w:leader="none"/>
        </w:tabs>
        <w:spacing w:line="240" w:lineRule="auto" w:before="1" w:after="0"/>
        <w:ind w:left="862" w:right="0" w:hanging="743"/>
        <w:jc w:val="left"/>
      </w:pPr>
      <w:r>
        <w:rPr/>
        <w:t>少儿重大疾病</w:t>
        <w:tab/>
      </w:r>
      <w:r>
        <w:rPr>
          <w:w w:val="95"/>
        </w:rPr>
        <w:t>（一）严重川崎病</w:t>
      </w:r>
    </w:p>
    <w:p>
      <w:pPr>
        <w:pStyle w:val="BodyText"/>
        <w:ind w:left="3268"/>
      </w:pPr>
      <w:r>
        <w:rPr/>
        <w:t>川崎病为一种病因不明的系统性血管炎。</w:t>
      </w:r>
    </w:p>
    <w:p>
      <w:pPr>
        <w:pStyle w:val="BodyText"/>
        <w:spacing w:line="273" w:lineRule="auto"/>
        <w:ind w:left="2848" w:right="169" w:firstLine="420"/>
      </w:pPr>
      <w:r>
        <w:rPr/>
        <w:t>本保单仅对诊断性检查证实川崎病并发动脉瘤或其他心血管异常，并且实际接受了手术治疗的情况予以理赔。</w:t>
      </w:r>
    </w:p>
    <w:p>
      <w:pPr>
        <w:pStyle w:val="BodyText"/>
        <w:spacing w:before="5"/>
        <w:rPr>
          <w:sz w:val="24"/>
        </w:rPr>
      </w:pPr>
    </w:p>
    <w:p>
      <w:pPr>
        <w:pStyle w:val="Heading6"/>
        <w:spacing w:before="1"/>
        <w:ind w:left="2848"/>
      </w:pPr>
      <w:r>
        <w:rPr/>
        <w:t>（二）1 型糖尿病</w:t>
      </w:r>
    </w:p>
    <w:p>
      <w:pPr>
        <w:pStyle w:val="BodyText"/>
        <w:spacing w:line="273" w:lineRule="auto"/>
        <w:ind w:left="2848" w:right="112" w:firstLine="420"/>
        <w:jc w:val="both"/>
      </w:pPr>
      <w:r>
        <w:rPr/>
        <w:t>1</w:t>
      </w:r>
      <w:r>
        <w:rPr>
          <w:spacing w:val="-5"/>
        </w:rPr>
        <w:t> 型糖尿病的特征为由于胰岛素分泌绝对不足引起严重胰岛素缺乏导致慢</w:t>
      </w:r>
      <w:r>
        <w:rPr>
          <w:spacing w:val="-7"/>
        </w:rPr>
        <w:t>性血糖升高，需要依赖外源性胰岛素进行机体的葡萄糖代谢和维持生命。被保</w:t>
      </w:r>
      <w:r>
        <w:rPr>
          <w:spacing w:val="-19"/>
        </w:rPr>
        <w:t>险人的 </w:t>
      </w:r>
      <w:r>
        <w:rPr/>
        <w:t>1</w:t>
      </w:r>
      <w:r>
        <w:rPr>
          <w:spacing w:val="-12"/>
        </w:rPr>
        <w:t> 型糖尿病必须诊断明确，而且有血胰岛素测定及血 </w:t>
      </w:r>
      <w:r>
        <w:rPr/>
        <w:t>C</w:t>
      </w:r>
      <w:r>
        <w:rPr>
          <w:spacing w:val="-1"/>
        </w:rPr>
        <w:t> 肽或尿</w:t>
      </w:r>
      <w:r>
        <w:rPr/>
        <w:t>C</w:t>
      </w:r>
      <w:r>
        <w:rPr>
          <w:spacing w:val="-14"/>
        </w:rPr>
        <w:t> 肽测定</w:t>
      </w:r>
      <w:r>
        <w:rPr>
          <w:spacing w:val="-17"/>
        </w:rPr>
        <w:t>结果支持诊断，并且已经持续性地接受外源性胰岛素注射治疗连续 </w:t>
      </w:r>
      <w:r>
        <w:rPr/>
        <w:t>180</w:t>
      </w:r>
      <w:r>
        <w:rPr>
          <w:spacing w:val="-14"/>
        </w:rPr>
        <w:t> 日以上。</w:t>
      </w:r>
    </w:p>
    <w:p>
      <w:pPr>
        <w:pStyle w:val="BodyText"/>
        <w:spacing w:before="5"/>
        <w:rPr>
          <w:sz w:val="24"/>
        </w:rPr>
      </w:pPr>
    </w:p>
    <w:p>
      <w:pPr>
        <w:pStyle w:val="Heading6"/>
        <w:ind w:left="2848"/>
      </w:pPr>
      <w:r>
        <w:rPr>
          <w:w w:val="95"/>
        </w:rPr>
        <w:t>（三）多个肢体缺失</w:t>
      </w:r>
    </w:p>
    <w:p>
      <w:pPr>
        <w:pStyle w:val="BodyText"/>
        <w:spacing w:line="273" w:lineRule="auto" w:before="36"/>
        <w:ind w:left="2848" w:right="163" w:firstLine="431"/>
      </w:pPr>
      <w:r>
        <w:rPr/>
        <w:t>指因疾病或意外伤害导致两个或两个以上肢体自腕关节或踝关节近端（靠近躯干端）以上完全性断离。</w:t>
      </w:r>
    </w:p>
    <w:p>
      <w:pPr>
        <w:pStyle w:val="BodyText"/>
        <w:spacing w:before="4"/>
        <w:rPr>
          <w:sz w:val="24"/>
        </w:rPr>
      </w:pPr>
    </w:p>
    <w:p>
      <w:pPr>
        <w:pStyle w:val="Heading6"/>
        <w:spacing w:before="1"/>
        <w:ind w:left="2848"/>
      </w:pPr>
      <w:r>
        <w:rPr>
          <w:w w:val="95"/>
        </w:rPr>
        <w:t>（四）急性或亚急性重症肝炎</w:t>
      </w:r>
    </w:p>
    <w:p>
      <w:pPr>
        <w:pStyle w:val="BodyText"/>
        <w:spacing w:line="273" w:lineRule="auto"/>
        <w:ind w:left="2848" w:right="164" w:firstLine="431"/>
      </w:pPr>
      <w:r>
        <w:rPr/>
        <w:t>指因肝炎病毒感染引起肝组织弥漫性坏死，导致急性肝功能衰竭，且经血清学或病毒学检查证实，须满足下列全部条件：</w:t>
      </w:r>
    </w:p>
    <w:p>
      <w:pPr>
        <w:pStyle w:val="BodyText"/>
        <w:spacing w:before="7"/>
        <w:ind w:left="2848"/>
      </w:pPr>
      <w:r>
        <w:rPr/>
        <w:t>（1）重度黄疸或黄疸迅速加重；</w:t>
      </w:r>
    </w:p>
    <w:p>
      <w:pPr>
        <w:pStyle w:val="BodyText"/>
        <w:spacing w:before="36"/>
        <w:ind w:left="2848"/>
      </w:pPr>
      <w:r>
        <w:rPr/>
        <w:t>（2）肝性脑病；</w:t>
      </w:r>
    </w:p>
    <w:p>
      <w:pPr>
        <w:pStyle w:val="BodyText"/>
        <w:spacing w:before="36"/>
        <w:ind w:left="2848"/>
      </w:pPr>
      <w:r>
        <w:rPr/>
        <w:t>（3）B 超或其他影像学检查显示肝脏体积急速萎缩；</w:t>
      </w:r>
    </w:p>
    <w:p>
      <w:pPr>
        <w:pStyle w:val="BodyText"/>
        <w:spacing w:before="36"/>
        <w:ind w:left="2848"/>
      </w:pPr>
      <w:r>
        <w:rPr/>
        <w:t>（4）肝功能指标进行性恶化。</w:t>
      </w:r>
    </w:p>
    <w:p>
      <w:pPr>
        <w:pStyle w:val="BodyText"/>
        <w:spacing w:before="8"/>
        <w:rPr>
          <w:sz w:val="26"/>
        </w:rPr>
      </w:pPr>
    </w:p>
    <w:p>
      <w:pPr>
        <w:pStyle w:val="Heading6"/>
        <w:ind w:left="2848"/>
      </w:pPr>
      <w:r>
        <w:rPr>
          <w:w w:val="95"/>
        </w:rPr>
        <w:t>（五）良性脑肿瘤</w:t>
      </w:r>
    </w:p>
    <w:p>
      <w:pPr>
        <w:pStyle w:val="BodyText"/>
        <w:spacing w:line="273" w:lineRule="auto"/>
        <w:ind w:left="2848" w:right="213" w:firstLine="431"/>
        <w:jc w:val="both"/>
      </w:pPr>
      <w:r>
        <w:rPr>
          <w:spacing w:val="-4"/>
        </w:rPr>
        <w:t>指脑的良性肿瘤，已经引起颅内压增高，临床表现为视神经乳头水肿、精</w:t>
      </w:r>
      <w:r>
        <w:rPr>
          <w:spacing w:val="1"/>
        </w:rPr>
        <w:t>神症状、癫痫及运动感觉障碍等，并危及生命。须由头颅断层扫描（</w:t>
      </w:r>
      <w:r>
        <w:rPr/>
        <w:t>C</w:t>
      </w:r>
      <w:r>
        <w:rPr>
          <w:spacing w:val="1"/>
        </w:rPr>
        <w:t>T</w:t>
      </w:r>
      <w:r>
        <w:rPr>
          <w:spacing w:val="-103"/>
        </w:rPr>
        <w:t>）</w:t>
      </w:r>
      <w:r>
        <w:rPr>
          <w:spacing w:val="0"/>
        </w:rPr>
        <w:t>、核</w:t>
      </w:r>
      <w:r>
        <w:rPr>
          <w:spacing w:val="-2"/>
        </w:rPr>
        <w:t>磁共振检查</w:t>
      </w:r>
      <w:r>
        <w:rPr/>
        <w:t>（MRI）</w:t>
      </w:r>
      <w:r>
        <w:rPr>
          <w:spacing w:val="-1"/>
        </w:rPr>
        <w:t>或正电子发射断层扫描</w:t>
      </w:r>
      <w:r>
        <w:rPr/>
        <w:t>（PET）</w:t>
      </w:r>
      <w:r>
        <w:rPr>
          <w:spacing w:val="-1"/>
        </w:rPr>
        <w:t>等影像学检查证实，并须满足下列至少一项条件：</w:t>
      </w:r>
    </w:p>
    <w:p>
      <w:pPr>
        <w:pStyle w:val="BodyText"/>
        <w:spacing w:before="8"/>
        <w:ind w:left="2848"/>
      </w:pPr>
      <w:r>
        <w:rPr/>
        <w:t>（1）实际实施了开颅进行的脑肿瘤完全切除或部分切除的手术；</w:t>
      </w:r>
    </w:p>
    <w:p>
      <w:pPr>
        <w:pStyle w:val="BodyText"/>
        <w:ind w:left="2848"/>
      </w:pPr>
      <w:r>
        <w:rPr/>
        <w:t>（2）实际实施了对脑肿瘤进行的放射治疗。</w:t>
      </w:r>
    </w:p>
    <w:p>
      <w:pPr>
        <w:pStyle w:val="BodyText"/>
        <w:ind w:left="3279"/>
      </w:pPr>
      <w:r>
        <w:rPr/>
        <w:t>脑垂体瘤、脑囊肿、脑血管性疾病不在保障范围内。</w:t>
      </w:r>
    </w:p>
    <w:p>
      <w:pPr>
        <w:pStyle w:val="BodyText"/>
        <w:spacing w:before="9"/>
        <w:rPr>
          <w:sz w:val="26"/>
        </w:rPr>
      </w:pPr>
    </w:p>
    <w:p>
      <w:pPr>
        <w:pStyle w:val="Heading6"/>
        <w:ind w:left="2848"/>
      </w:pPr>
      <w:r>
        <w:rPr>
          <w:w w:val="95"/>
        </w:rPr>
        <w:t>（六）深度昏迷</w:t>
      </w:r>
    </w:p>
    <w:p>
      <w:pPr>
        <w:pStyle w:val="BodyText"/>
        <w:spacing w:line="273" w:lineRule="auto"/>
        <w:ind w:left="2848" w:right="112" w:firstLine="431"/>
      </w:pPr>
      <w:r>
        <w:rPr/>
        <w:t>指因疾病或意外伤害导致意识丧失,对外界刺激和体内需求均无反应，昏</w:t>
      </w:r>
      <w:r>
        <w:rPr>
          <w:spacing w:val="-1"/>
        </w:rPr>
        <w:t>迷程度按照格拉斯哥昏迷分级</w:t>
      </w:r>
      <w:r>
        <w:rPr/>
        <w:t>（Glasgow</w:t>
      </w:r>
      <w:r>
        <w:rPr>
          <w:spacing w:val="-56"/>
        </w:rPr>
        <w:t> </w:t>
      </w:r>
      <w:r>
        <w:rPr/>
        <w:t>coma</w:t>
      </w:r>
      <w:r>
        <w:rPr>
          <w:spacing w:val="-55"/>
        </w:rPr>
        <w:t> </w:t>
      </w:r>
      <w:r>
        <w:rPr>
          <w:spacing w:val="-3"/>
        </w:rPr>
        <w:t>scale）</w:t>
      </w:r>
      <w:r>
        <w:rPr>
          <w:spacing w:val="-14"/>
        </w:rPr>
        <w:t>结果为 </w:t>
      </w:r>
      <w:r>
        <w:rPr/>
        <w:t>5</w:t>
      </w:r>
      <w:r>
        <w:rPr>
          <w:spacing w:val="-28"/>
        </w:rPr>
        <w:t> 分或 </w:t>
      </w:r>
      <w:r>
        <w:rPr/>
        <w:t>5</w:t>
      </w:r>
      <w:r>
        <w:rPr>
          <w:spacing w:val="-12"/>
        </w:rPr>
        <w:t> 分以下， </w:t>
      </w:r>
      <w:r>
        <w:rPr>
          <w:spacing w:val="-15"/>
        </w:rPr>
        <w:t>且已经持续使用呼吸机及其它生命维持系统 </w:t>
      </w:r>
      <w:r>
        <w:rPr/>
        <w:t>96</w:t>
      </w:r>
      <w:r>
        <w:rPr>
          <w:spacing w:val="-12"/>
        </w:rPr>
        <w:t> 小时以上。</w:t>
      </w:r>
    </w:p>
    <w:p>
      <w:pPr>
        <w:pStyle w:val="BodyText"/>
        <w:spacing w:before="7"/>
        <w:ind w:left="3279"/>
      </w:pPr>
      <w:r>
        <w:rPr/>
        <w:t>由于酗酒或药物滥用导致的深度昏迷不在保障范围内。</w:t>
      </w:r>
    </w:p>
    <w:p>
      <w:pPr>
        <w:pStyle w:val="BodyText"/>
        <w:spacing w:before="8"/>
        <w:rPr>
          <w:sz w:val="26"/>
        </w:rPr>
      </w:pPr>
    </w:p>
    <w:p>
      <w:pPr>
        <w:pStyle w:val="Heading6"/>
        <w:ind w:left="2848"/>
      </w:pPr>
      <w:r>
        <w:rPr>
          <w:w w:val="95"/>
        </w:rPr>
        <w:t>（七）双耳失聪</w:t>
      </w:r>
    </w:p>
    <w:p>
      <w:pPr>
        <w:pStyle w:val="BodyText"/>
        <w:ind w:left="3279"/>
      </w:pPr>
      <w:r>
        <w:rPr/>
        <w:t>指因疾病或意外伤害导致双耳听力永久不可逆性丧失，在 500 赫兹、1000</w:t>
      </w:r>
    </w:p>
    <w:p>
      <w:pPr>
        <w:pStyle w:val="BodyText"/>
        <w:spacing w:line="273" w:lineRule="auto"/>
        <w:ind w:left="2848" w:right="217"/>
      </w:pPr>
      <w:r>
        <w:rPr>
          <w:spacing w:val="-15"/>
        </w:rPr>
        <w:t>赫兹和 </w:t>
      </w:r>
      <w:r>
        <w:rPr/>
        <w:t>2000</w:t>
      </w:r>
      <w:r>
        <w:rPr>
          <w:spacing w:val="-12"/>
        </w:rPr>
        <w:t> 赫兹语音频率下，平均听阈大于 </w:t>
      </w:r>
      <w:r>
        <w:rPr/>
        <w:t>90</w:t>
      </w:r>
      <w:r>
        <w:rPr>
          <w:spacing w:val="-9"/>
        </w:rPr>
        <w:t> 分贝，且经纯音听力测试、声导抗检测或听觉诱发电位检测等证实。</w:t>
      </w:r>
    </w:p>
    <w:p>
      <w:pPr>
        <w:pStyle w:val="BodyText"/>
        <w:spacing w:before="7"/>
        <w:ind w:left="3279"/>
      </w:pPr>
      <w:r>
        <w:rPr/>
        <w:t>被保险人申请理赔时年龄必须在三周岁以上，并且提供理赔当时的听力丧</w:t>
      </w:r>
    </w:p>
    <w:p>
      <w:pPr>
        <w:spacing w:after="0"/>
        <w:sectPr>
          <w:pgSz w:w="11910" w:h="16840"/>
          <w:pgMar w:top="1420" w:bottom="280" w:left="800" w:right="920"/>
        </w:sectPr>
      </w:pPr>
    </w:p>
    <w:p>
      <w:pPr>
        <w:pStyle w:val="BodyText"/>
        <w:spacing w:before="19"/>
        <w:ind w:left="1968"/>
      </w:pPr>
      <w:r>
        <w:rPr/>
        <w:t>失诊断及检查证据。</w:t>
      </w:r>
    </w:p>
    <w:p>
      <w:pPr>
        <w:pStyle w:val="BodyText"/>
        <w:spacing w:before="8"/>
        <w:rPr>
          <w:sz w:val="26"/>
        </w:rPr>
      </w:pPr>
    </w:p>
    <w:p>
      <w:pPr>
        <w:pStyle w:val="Heading6"/>
        <w:spacing w:before="1"/>
      </w:pPr>
      <w:r>
        <w:rPr>
          <w:w w:val="95"/>
        </w:rPr>
        <w:t>（八）双目失明</w:t>
      </w:r>
    </w:p>
    <w:p>
      <w:pPr>
        <w:pStyle w:val="BodyText"/>
        <w:spacing w:line="273" w:lineRule="auto"/>
        <w:ind w:left="1968" w:right="117" w:firstLine="420"/>
        <w:jc w:val="both"/>
      </w:pPr>
      <w:r>
        <w:rPr>
          <w:spacing w:val="-1"/>
        </w:rPr>
        <w:t>指因疾病或意外伤害导致双目视力永久不可逆性丧失，双眼中较好眼须满足下列至少一项条件：</w:t>
      </w:r>
    </w:p>
    <w:p>
      <w:pPr>
        <w:pStyle w:val="BodyText"/>
        <w:spacing w:before="7"/>
        <w:ind w:left="1968"/>
      </w:pPr>
      <w:r>
        <w:rPr/>
        <w:t>（1）眼球缺失或摘除；</w:t>
      </w:r>
    </w:p>
    <w:p>
      <w:pPr>
        <w:pStyle w:val="BodyText"/>
        <w:spacing w:line="273" w:lineRule="auto" w:before="36"/>
        <w:ind w:left="1968" w:right="118"/>
      </w:pPr>
      <w:r>
        <w:rPr/>
        <w:t>（2）</w:t>
      </w:r>
      <w:r>
        <w:rPr>
          <w:spacing w:val="-4"/>
        </w:rPr>
        <w:t>矫正视力低于 </w:t>
      </w:r>
      <w:r>
        <w:rPr/>
        <w:t>0.02（采用国际标准视力表，如果使用其他视力表应进行换算</w:t>
      </w:r>
      <w:r>
        <w:rPr>
          <w:spacing w:val="-105"/>
        </w:rPr>
        <w:t>）</w:t>
      </w:r>
      <w:r>
        <w:rPr/>
        <w:t>；</w:t>
      </w:r>
    </w:p>
    <w:p>
      <w:pPr>
        <w:pStyle w:val="BodyText"/>
        <w:spacing w:before="7"/>
        <w:ind w:left="1968"/>
      </w:pPr>
      <w:r>
        <w:rPr/>
        <w:t>（3）视野半径小于 5 度。</w:t>
      </w:r>
    </w:p>
    <w:p>
      <w:pPr>
        <w:pStyle w:val="BodyText"/>
        <w:spacing w:line="273" w:lineRule="auto"/>
        <w:ind w:left="1968" w:right="117" w:firstLine="431"/>
        <w:jc w:val="both"/>
      </w:pPr>
      <w:r>
        <w:rPr>
          <w:spacing w:val="-2"/>
        </w:rPr>
        <w:t>被保险人申请理赔时年龄必须在三周岁以上，并且提供理赔当时的视力丧失诊断及检查证据。</w:t>
      </w:r>
    </w:p>
    <w:p>
      <w:pPr>
        <w:pStyle w:val="BodyText"/>
        <w:spacing w:before="5"/>
        <w:rPr>
          <w:sz w:val="24"/>
        </w:rPr>
      </w:pPr>
    </w:p>
    <w:p>
      <w:pPr>
        <w:pStyle w:val="Heading6"/>
      </w:pPr>
      <w:r>
        <w:rPr>
          <w:w w:val="95"/>
        </w:rPr>
        <w:t>（九）瘫痪</w:t>
      </w:r>
    </w:p>
    <w:p>
      <w:pPr>
        <w:pStyle w:val="BodyText"/>
        <w:spacing w:line="273" w:lineRule="auto" w:before="36"/>
        <w:ind w:left="1968" w:right="117" w:firstLine="431"/>
        <w:jc w:val="both"/>
      </w:pPr>
      <w:r>
        <w:rPr>
          <w:spacing w:val="-2"/>
        </w:rPr>
        <w:t>指因疾病或意外伤害导致两肢或两肢以上肢体机能永久完全丧失。肢体机</w:t>
      </w:r>
      <w:r>
        <w:rPr>
          <w:spacing w:val="-8"/>
        </w:rPr>
        <w:t>能永久完全丧失，指疾病确诊 </w:t>
      </w:r>
      <w:r>
        <w:rPr/>
        <w:t>180</w:t>
      </w:r>
      <w:r>
        <w:rPr>
          <w:spacing w:val="-13"/>
        </w:rPr>
        <w:t> 日后或意外伤害发生 </w:t>
      </w:r>
      <w:r>
        <w:rPr/>
        <w:t>180</w:t>
      </w:r>
      <w:r>
        <w:rPr>
          <w:spacing w:val="-9"/>
        </w:rPr>
        <w:t> 日后，每肢三大关节中的两大关节仍然完全僵硬，或不能随意识活动。</w:t>
      </w:r>
    </w:p>
    <w:p>
      <w:pPr>
        <w:pStyle w:val="BodyText"/>
        <w:spacing w:before="5"/>
        <w:rPr>
          <w:sz w:val="24"/>
        </w:rPr>
      </w:pPr>
    </w:p>
    <w:p>
      <w:pPr>
        <w:pStyle w:val="Heading6"/>
      </w:pPr>
      <w:r>
        <w:rPr>
          <w:w w:val="95"/>
        </w:rPr>
        <w:t>（十）严重脑损伤</w:t>
      </w:r>
    </w:p>
    <w:p>
      <w:pPr>
        <w:pStyle w:val="BodyText"/>
        <w:spacing w:line="273" w:lineRule="auto"/>
        <w:ind w:left="1968" w:right="116" w:firstLine="431"/>
        <w:jc w:val="both"/>
      </w:pPr>
      <w:r>
        <w:rPr>
          <w:spacing w:val="-3"/>
        </w:rPr>
        <w:t>指因头部遭受机械性外力，引起脑重要部位损伤，导致神经系统永久性的</w:t>
      </w:r>
      <w:r>
        <w:rPr>
          <w:spacing w:val="-5"/>
        </w:rPr>
        <w:t>功能障碍。须由头颅断层扫描</w:t>
      </w:r>
      <w:r>
        <w:rPr/>
        <w:t>（CT</w:t>
      </w:r>
      <w:r>
        <w:rPr>
          <w:spacing w:val="-106"/>
        </w:rPr>
        <w:t>）</w:t>
      </w:r>
      <w:r>
        <w:rPr>
          <w:spacing w:val="-3"/>
        </w:rPr>
        <w:t>、核磁共振检查</w:t>
      </w:r>
      <w:r>
        <w:rPr/>
        <w:t>（MRI</w:t>
      </w:r>
      <w:r>
        <w:rPr>
          <w:spacing w:val="-7"/>
        </w:rPr>
        <w:t>）</w:t>
      </w:r>
      <w:r>
        <w:rPr/>
        <w:t>或正电子发射断层扫描（PET）</w:t>
      </w:r>
      <w:r>
        <w:rPr>
          <w:spacing w:val="1"/>
        </w:rPr>
        <w:t>等影像学检查证实。神经系统永久性的功能障碍，指脑损伤 </w:t>
      </w:r>
      <w:r>
        <w:rPr/>
        <w:t>180 日后，仍遗留下列一种或一种以上障碍：</w:t>
      </w:r>
    </w:p>
    <w:p>
      <w:pPr>
        <w:pStyle w:val="BodyText"/>
        <w:spacing w:before="7"/>
        <w:ind w:left="1968"/>
      </w:pPr>
      <w:r>
        <w:rPr/>
        <w:t>（1）一肢或一肢以上肢体机能完全丧失；</w:t>
      </w:r>
    </w:p>
    <w:p>
      <w:pPr>
        <w:pStyle w:val="BodyText"/>
        <w:spacing w:before="36"/>
        <w:ind w:left="1968"/>
      </w:pPr>
      <w:r>
        <w:rPr/>
        <w:t>（2）语言能力或咀嚼吞咽能力完全丧失；</w:t>
      </w:r>
    </w:p>
    <w:p>
      <w:pPr>
        <w:pStyle w:val="BodyText"/>
        <w:spacing w:line="273" w:lineRule="auto" w:before="36"/>
        <w:ind w:left="1968" w:right="118"/>
      </w:pPr>
      <w:r>
        <w:rPr/>
        <w:t>（3）自主生活能力完全丧失，无法独立完成六项基本日常生活活动中的三项或三项以上。</w:t>
      </w:r>
    </w:p>
    <w:p>
      <w:pPr>
        <w:pStyle w:val="BodyText"/>
        <w:spacing w:before="5"/>
        <w:rPr>
          <w:sz w:val="24"/>
        </w:rPr>
      </w:pPr>
    </w:p>
    <w:p>
      <w:pPr>
        <w:pStyle w:val="Heading6"/>
      </w:pPr>
      <w:r>
        <w:rPr>
          <w:w w:val="95"/>
        </w:rPr>
        <w:t>（十一）严重原发性肺动脉高压</w:t>
      </w:r>
    </w:p>
    <w:p>
      <w:pPr>
        <w:pStyle w:val="BodyText"/>
        <w:spacing w:line="273" w:lineRule="auto"/>
        <w:ind w:left="1968" w:right="117" w:firstLine="431"/>
        <w:jc w:val="both"/>
      </w:pPr>
      <w:r>
        <w:rPr>
          <w:spacing w:val="-3"/>
        </w:rPr>
        <w:t>指不明原因的肺动脉压力持续性增高，进行性发展而导致的慢性疾病，已</w:t>
      </w:r>
      <w:r>
        <w:rPr>
          <w:spacing w:val="-5"/>
        </w:rPr>
        <w:t>经造成永久不可逆性的体力活动能力受限，达到美国纽约心脏病学会心功能状</w:t>
      </w:r>
      <w:r>
        <w:rPr>
          <w:spacing w:val="-20"/>
        </w:rPr>
        <w:t>态分级 </w:t>
      </w:r>
      <w:r>
        <w:rPr/>
        <w:t>IV</w:t>
      </w:r>
      <w:r>
        <w:rPr>
          <w:spacing w:val="-12"/>
        </w:rPr>
        <w:t> 级，静息状态下肺动脉平均压超过 </w:t>
      </w:r>
      <w:r>
        <w:rPr/>
        <w:t>30mmHg。</w:t>
      </w:r>
    </w:p>
    <w:p>
      <w:pPr>
        <w:pStyle w:val="BodyText"/>
        <w:spacing w:before="5"/>
        <w:rPr>
          <w:sz w:val="24"/>
        </w:rPr>
      </w:pPr>
    </w:p>
    <w:p>
      <w:pPr>
        <w:pStyle w:val="Heading6"/>
        <w:ind w:left="1967"/>
      </w:pPr>
      <w:r>
        <w:rPr>
          <w:w w:val="95"/>
        </w:rPr>
        <w:t>（十二）严重运动神经元病</w:t>
      </w:r>
    </w:p>
    <w:p>
      <w:pPr>
        <w:pStyle w:val="BodyText"/>
        <w:spacing w:line="273" w:lineRule="auto" w:before="36"/>
        <w:ind w:left="1967" w:right="117" w:firstLine="431"/>
        <w:jc w:val="both"/>
      </w:pPr>
      <w:r>
        <w:rPr>
          <w:spacing w:val="-2"/>
        </w:rPr>
        <w:t>是一组中枢神经系统运动神经元的进行性变性疾病，包括进行性脊肌萎缩</w:t>
      </w:r>
      <w:r>
        <w:rPr>
          <w:spacing w:val="-6"/>
        </w:rPr>
        <w:t>症、进行性延髓麻痹症、原发性侧索硬化症、肌萎缩性侧索硬化症。须满足自</w:t>
      </w:r>
      <w:r>
        <w:rPr>
          <w:spacing w:val="-8"/>
        </w:rPr>
        <w:t>主生活能力完全丧失，无法独立完成六项基本日常生活活动中的三项或三项以上。</w:t>
      </w:r>
    </w:p>
    <w:p>
      <w:pPr>
        <w:pStyle w:val="BodyText"/>
        <w:spacing w:before="5"/>
        <w:rPr>
          <w:sz w:val="24"/>
        </w:rPr>
      </w:pPr>
    </w:p>
    <w:p>
      <w:pPr>
        <w:pStyle w:val="Heading6"/>
        <w:ind w:left="1967"/>
      </w:pPr>
      <w:r>
        <w:rPr>
          <w:w w:val="95"/>
        </w:rPr>
        <w:t>（十三）语言能力丧失</w:t>
      </w:r>
    </w:p>
    <w:p>
      <w:pPr>
        <w:pStyle w:val="BodyText"/>
        <w:ind w:left="2399"/>
      </w:pPr>
      <w:r>
        <w:rPr/>
        <w:t>指因疾病或意外伤害导致完全丧失语言能力，经过积极治疗至少 12 个月</w:t>
      </w:r>
    </w:p>
    <w:p>
      <w:pPr>
        <w:pStyle w:val="BodyText"/>
        <w:spacing w:line="273" w:lineRule="auto"/>
        <w:ind w:left="2399" w:right="1040" w:hanging="433"/>
      </w:pPr>
      <w:r>
        <w:rPr/>
        <w:t>（声带完全切除不受此时间限制</w:t>
      </w:r>
      <w:r>
        <w:rPr>
          <w:spacing w:val="-105"/>
        </w:rPr>
        <w:t>）</w:t>
      </w:r>
      <w:r>
        <w:rPr>
          <w:spacing w:val="-1"/>
        </w:rPr>
        <w:t>，仍无法通过现有医疗手段恢复。精神心理因素所致的语言能力丧失不在保障范围内。</w:t>
      </w:r>
    </w:p>
    <w:p>
      <w:pPr>
        <w:pStyle w:val="BodyText"/>
        <w:spacing w:line="297" w:lineRule="auto" w:before="0"/>
        <w:ind w:left="1967" w:right="117" w:firstLine="431"/>
        <w:jc w:val="both"/>
      </w:pPr>
      <w:r>
        <w:rPr>
          <w:spacing w:val="-2"/>
        </w:rPr>
        <w:t>被保险人申请理赔时年龄必须在三周岁以上，并且提供理赔当时的语言能力丧失诊断及检查证据。</w:t>
      </w:r>
    </w:p>
    <w:p>
      <w:pPr>
        <w:pStyle w:val="BodyText"/>
        <w:spacing w:before="8"/>
        <w:rPr>
          <w:sz w:val="29"/>
        </w:rPr>
      </w:pPr>
    </w:p>
    <w:p>
      <w:pPr>
        <w:pStyle w:val="Heading6"/>
        <w:ind w:left="1967"/>
      </w:pPr>
      <w:r>
        <w:rPr>
          <w:w w:val="95"/>
        </w:rPr>
        <w:t>（十四）重型再生障碍性贫血</w:t>
      </w:r>
    </w:p>
    <w:p>
      <w:pPr>
        <w:spacing w:after="0"/>
        <w:sectPr>
          <w:pgSz w:w="11910" w:h="16840"/>
          <w:pgMar w:top="1100" w:bottom="280" w:left="1680" w:right="1020"/>
        </w:sectPr>
      </w:pPr>
    </w:p>
    <w:p>
      <w:pPr>
        <w:pStyle w:val="BodyText"/>
        <w:spacing w:line="273" w:lineRule="auto" w:before="19"/>
        <w:ind w:left="2848" w:right="217" w:firstLine="431"/>
        <w:jc w:val="both"/>
      </w:pPr>
      <w:r>
        <w:rPr>
          <w:spacing w:val="-2"/>
        </w:rPr>
        <w:t>指因骨髓造血功能慢性持续性衰竭导致的贫血、中性粒细胞减少及血小板减少，须满足下列全部条件：</w:t>
      </w:r>
    </w:p>
    <w:p>
      <w:pPr>
        <w:pStyle w:val="BodyText"/>
        <w:spacing w:before="7"/>
        <w:ind w:left="2848"/>
      </w:pPr>
      <w:r>
        <w:rPr/>
        <w:t>（1）骨髓穿刺检查或骨髓活检结果支持诊断；</w:t>
      </w:r>
    </w:p>
    <w:p>
      <w:pPr>
        <w:pStyle w:val="BodyText"/>
        <w:spacing w:before="36"/>
        <w:ind w:left="2848"/>
      </w:pPr>
      <w:r>
        <w:rPr/>
        <w:t>（2）外周血象必须具备以下三项条件：</w:t>
      </w:r>
    </w:p>
    <w:p>
      <w:pPr>
        <w:pStyle w:val="BodyText"/>
        <w:spacing w:before="36"/>
        <w:ind w:left="3491" w:right="3244"/>
        <w:jc w:val="center"/>
      </w:pPr>
      <w:r>
        <w:rPr/>
        <w:t>① 中性粒细胞绝对值≤0.5×10</w:t>
      </w:r>
      <w:r>
        <w:rPr>
          <w:position w:val="11"/>
          <w:sz w:val="11"/>
        </w:rPr>
        <w:t>9</w:t>
      </w:r>
      <w:r>
        <w:rPr/>
        <w:t>/L；</w:t>
      </w:r>
    </w:p>
    <w:p>
      <w:pPr>
        <w:pStyle w:val="BodyText"/>
        <w:spacing w:before="36"/>
        <w:ind w:left="2074" w:right="3244"/>
        <w:jc w:val="center"/>
      </w:pPr>
      <w:r>
        <w:rPr/>
        <w:t>② 网织红细胞＜1%；</w:t>
      </w:r>
    </w:p>
    <w:p>
      <w:pPr>
        <w:pStyle w:val="BodyText"/>
        <w:spacing w:before="36"/>
        <w:ind w:left="2967" w:right="3244"/>
        <w:jc w:val="center"/>
      </w:pPr>
      <w:r>
        <w:rPr/>
        <w:t>③ 血小板绝对值≤20×10</w:t>
      </w:r>
      <w:r>
        <w:rPr>
          <w:position w:val="11"/>
          <w:sz w:val="11"/>
        </w:rPr>
        <w:t>9</w:t>
      </w:r>
      <w:r>
        <w:rPr/>
        <w:t>/L。</w:t>
      </w:r>
    </w:p>
    <w:p>
      <w:pPr>
        <w:pStyle w:val="BodyText"/>
        <w:spacing w:before="0"/>
        <w:rPr>
          <w:sz w:val="26"/>
        </w:rPr>
      </w:pPr>
    </w:p>
    <w:p>
      <w:pPr>
        <w:spacing w:before="0"/>
        <w:ind w:left="2847" w:right="0" w:firstLine="0"/>
        <w:jc w:val="left"/>
        <w:rPr>
          <w:b/>
          <w:sz w:val="22"/>
        </w:rPr>
      </w:pPr>
      <w:r>
        <w:rPr>
          <w:b/>
          <w:w w:val="95"/>
          <w:sz w:val="21"/>
        </w:rPr>
        <w:t>（十五）</w:t>
      </w:r>
      <w:r>
        <w:rPr>
          <w:b/>
          <w:w w:val="95"/>
          <w:sz w:val="22"/>
        </w:rPr>
        <w:t>经输血导致的人类免疫缺陷病毒感染</w:t>
      </w:r>
    </w:p>
    <w:p>
      <w:pPr>
        <w:pStyle w:val="BodyText"/>
        <w:spacing w:before="32"/>
        <w:ind w:left="3280"/>
      </w:pPr>
      <w:r>
        <w:rPr/>
        <w:t>被保险人感染上人类免疫缺陷病毒（HIV）并且满足下列全部条件：</w:t>
      </w:r>
    </w:p>
    <w:p>
      <w:pPr>
        <w:pStyle w:val="BodyText"/>
        <w:ind w:left="3273"/>
      </w:pPr>
      <w:r>
        <w:rPr/>
        <w:t>（1）在保障起始日或复效日之后，被保险人因输血而感染 HIV；</w:t>
      </w:r>
    </w:p>
    <w:p>
      <w:pPr>
        <w:pStyle w:val="BodyText"/>
        <w:spacing w:line="273" w:lineRule="auto"/>
        <w:ind w:left="2847" w:right="216" w:firstLine="426"/>
        <w:jc w:val="both"/>
      </w:pPr>
      <w:r>
        <w:rPr/>
        <w:t>（2）提供输血治疗的输血中心或医院出具该项输血感染属医疗责任事故的报告，或者法院终审裁定为医疗责任并且不准上诉；</w:t>
      </w:r>
    </w:p>
    <w:p>
      <w:pPr>
        <w:pStyle w:val="BodyText"/>
        <w:spacing w:before="8"/>
        <w:ind w:left="3273"/>
      </w:pPr>
      <w:r>
        <w:rPr/>
        <w:t>（3）受感染的被保险人不是血友病患者。</w:t>
      </w:r>
    </w:p>
    <w:p>
      <w:pPr>
        <w:pStyle w:val="BodyText"/>
        <w:spacing w:line="273" w:lineRule="auto"/>
        <w:ind w:left="2847" w:right="219" w:firstLine="426"/>
        <w:jc w:val="both"/>
      </w:pPr>
      <w:r>
        <w:rPr>
          <w:spacing w:val="-2"/>
        </w:rPr>
        <w:t>在任何治愈艾滋病</w:t>
      </w:r>
      <w:r>
        <w:rPr>
          <w:spacing w:val="-3"/>
        </w:rPr>
        <w:t>（AIDS）</w:t>
      </w:r>
      <w:r>
        <w:rPr>
          <w:spacing w:val="-16"/>
        </w:rPr>
        <w:t>或阻止 </w:t>
      </w:r>
      <w:r>
        <w:rPr/>
        <w:t>HIV</w:t>
      </w:r>
      <w:r>
        <w:rPr>
          <w:spacing w:val="-9"/>
        </w:rPr>
        <w:t> 病毒作用的疗法被发现以后，或能</w:t>
      </w:r>
      <w:r>
        <w:rPr>
          <w:spacing w:val="-29"/>
        </w:rPr>
        <w:t>防止 </w:t>
      </w:r>
      <w:r>
        <w:rPr/>
        <w:t>AIDS</w:t>
      </w:r>
      <w:r>
        <w:rPr>
          <w:spacing w:val="-9"/>
        </w:rPr>
        <w:t> 发生的医疗方法被研究出来以后，本保障将不再予以赔付。</w:t>
      </w:r>
    </w:p>
    <w:p>
      <w:pPr>
        <w:pStyle w:val="BodyText"/>
        <w:spacing w:line="273" w:lineRule="auto" w:before="7"/>
        <w:ind w:left="2847" w:right="217" w:firstLine="426"/>
        <w:jc w:val="both"/>
      </w:pPr>
      <w:r>
        <w:rPr>
          <w:spacing w:val="-2"/>
        </w:rPr>
        <w:t>任何因其他传播方式</w:t>
      </w:r>
      <w:r>
        <w:rPr/>
        <w:t>（</w:t>
      </w:r>
      <w:r>
        <w:rPr>
          <w:spacing w:val="-3"/>
        </w:rPr>
        <w:t>包括：性传播或静脉注射毒品</w:t>
      </w:r>
      <w:r>
        <w:rPr>
          <w:spacing w:val="-10"/>
        </w:rPr>
        <w:t>）</w:t>
      </w:r>
      <w:r>
        <w:rPr>
          <w:spacing w:val="-14"/>
        </w:rPr>
        <w:t>导致的 </w:t>
      </w:r>
      <w:r>
        <w:rPr/>
        <w:t>HIV</w:t>
      </w:r>
      <w:r>
        <w:rPr>
          <w:spacing w:val="-14"/>
        </w:rPr>
        <w:t> 感染不</w:t>
      </w:r>
      <w:r>
        <w:rPr>
          <w:spacing w:val="-12"/>
        </w:rPr>
        <w:t>在本保单保障范围内。本公司必须拥有获得使用被保险人的所有血液样本的权利和能够对这些样本进行独立检验的权利。</w:t>
      </w:r>
    </w:p>
    <w:p>
      <w:pPr>
        <w:pStyle w:val="BodyText"/>
        <w:spacing w:before="5"/>
        <w:rPr>
          <w:sz w:val="24"/>
        </w:rPr>
      </w:pPr>
    </w:p>
    <w:p>
      <w:pPr>
        <w:pStyle w:val="Heading6"/>
        <w:ind w:left="2847"/>
      </w:pPr>
      <w:r>
        <w:rPr>
          <w:w w:val="95"/>
        </w:rPr>
        <w:t>（十六）严重心肌病</w:t>
      </w:r>
    </w:p>
    <w:p>
      <w:pPr>
        <w:pStyle w:val="BodyText"/>
        <w:spacing w:line="266" w:lineRule="auto"/>
        <w:ind w:left="2847" w:right="182" w:firstLine="431"/>
        <w:jc w:val="both"/>
      </w:pPr>
      <w:r>
        <w:rPr/>
        <w:t>指被保人因心肌病导致慢性心功能损害造成永久不可逆性的心功能衰竭， </w:t>
      </w:r>
      <w:r>
        <w:rPr>
          <w:spacing w:val="-3"/>
        </w:rPr>
        <w:t>心功能衰竭程度达到纽约心脏病学会的心功能分级标准之心功能 </w:t>
      </w:r>
      <w:r>
        <w:rPr>
          <w:rFonts w:ascii="Arial" w:eastAsia="Arial"/>
        </w:rPr>
        <w:t>IV </w:t>
      </w:r>
      <w:r>
        <w:rPr>
          <w:spacing w:val="-17"/>
        </w:rPr>
        <w:t>级。被保险人永久不可逆性的体力活动能力受限，不能从事任何体力活动。</w:t>
      </w:r>
    </w:p>
    <w:p>
      <w:pPr>
        <w:pStyle w:val="BodyText"/>
        <w:spacing w:before="12"/>
        <w:rPr>
          <w:sz w:val="24"/>
        </w:rPr>
      </w:pPr>
    </w:p>
    <w:p>
      <w:pPr>
        <w:pStyle w:val="Heading6"/>
        <w:ind w:left="2848"/>
      </w:pPr>
      <w:r>
        <w:rPr>
          <w:w w:val="95"/>
        </w:rPr>
        <w:t>（十七）脊髓灰质炎</w:t>
      </w:r>
    </w:p>
    <w:p>
      <w:pPr>
        <w:pStyle w:val="BodyText"/>
        <w:spacing w:line="273" w:lineRule="auto"/>
        <w:ind w:left="2848" w:right="216" w:firstLine="431"/>
        <w:jc w:val="both"/>
      </w:pPr>
      <w:r>
        <w:rPr>
          <w:spacing w:val="-2"/>
        </w:rPr>
        <w:t>脊髓灰质炎是由于脊髓灰质炎病毒感染所致的瘫痪性疾病，临床表现为运</w:t>
      </w:r>
      <w:r>
        <w:rPr>
          <w:spacing w:val="-4"/>
        </w:rPr>
        <w:t>动功能损害或呼吸无力。脊髓灰质炎必须明确诊断。本保单仅对脊髓灰质炎造</w:t>
      </w:r>
      <w:r>
        <w:rPr>
          <w:spacing w:val="1"/>
        </w:rPr>
        <w:t>成的神经系统功能损害导致被保险人一肢或一肢以上肢体机能永久完全丧失</w:t>
      </w:r>
      <w:r>
        <w:rPr>
          <w:spacing w:val="-4"/>
        </w:rPr>
        <w:t>的情况予以理赔。肢体机能永久完全丧失，指疾病确诊 </w:t>
      </w:r>
      <w:r>
        <w:rPr/>
        <w:t>180</w:t>
      </w:r>
      <w:r>
        <w:rPr>
          <w:spacing w:val="-8"/>
        </w:rPr>
        <w:t> 日后，每肢三大关节中的两大关节仍然完全僵硬，或不能随意识活动。</w:t>
      </w:r>
    </w:p>
    <w:p>
      <w:pPr>
        <w:pStyle w:val="BodyText"/>
        <w:spacing w:before="5"/>
        <w:rPr>
          <w:sz w:val="24"/>
        </w:rPr>
      </w:pPr>
    </w:p>
    <w:p>
      <w:pPr>
        <w:pStyle w:val="Heading6"/>
        <w:numPr>
          <w:ilvl w:val="1"/>
          <w:numId w:val="6"/>
        </w:numPr>
        <w:tabs>
          <w:tab w:pos="862" w:val="left" w:leader="none"/>
          <w:tab w:pos="863" w:val="left" w:leader="none"/>
          <w:tab w:pos="2847" w:val="left" w:leader="none"/>
        </w:tabs>
        <w:spacing w:line="240" w:lineRule="auto" w:before="0" w:after="0"/>
        <w:ind w:left="862" w:right="0" w:hanging="743"/>
        <w:jc w:val="left"/>
      </w:pPr>
      <w:r>
        <w:rPr/>
        <w:t>少儿特别重大疾病</w:t>
        <w:tab/>
      </w:r>
      <w:r>
        <w:rPr>
          <w:w w:val="95"/>
        </w:rPr>
        <w:t>（一）恶性肿瘤</w:t>
      </w:r>
    </w:p>
    <w:p>
      <w:pPr>
        <w:pStyle w:val="BodyText"/>
        <w:spacing w:line="273" w:lineRule="auto" w:before="36"/>
        <w:ind w:left="2848" w:right="111" w:firstLine="420"/>
        <w:jc w:val="both"/>
      </w:pPr>
      <w:r>
        <w:rPr>
          <w:spacing w:val="-2"/>
        </w:rPr>
        <w:t>指恶性细胞不受控制的进行性增长和扩散，浸润和破坏周围正常组织，可</w:t>
      </w:r>
      <w:r>
        <w:rPr>
          <w:spacing w:val="-5"/>
        </w:rPr>
        <w:t>以经血管、淋巴管和体腔扩散转移到身体其它部位的疾病。经病理学检查结果</w:t>
      </w:r>
      <w:r>
        <w:rPr>
          <w:spacing w:val="-14"/>
        </w:rPr>
        <w:t>明确诊断，临床诊断属于世界卫生组织《疾病和有关健康问题的国际统计分类》</w:t>
      </w:r>
    </w:p>
    <w:p>
      <w:pPr>
        <w:pStyle w:val="BodyText"/>
        <w:spacing w:before="7"/>
        <w:ind w:left="2847"/>
      </w:pPr>
      <w:r>
        <w:rPr/>
        <w:t>（ICD-10）的恶性肿瘤范畴。</w:t>
      </w:r>
    </w:p>
    <w:p>
      <w:pPr>
        <w:pStyle w:val="BodyText"/>
        <w:ind w:left="3373"/>
      </w:pPr>
      <w:r>
        <w:rPr/>
        <w:t>下列疾病不在保障范围内：</w:t>
      </w:r>
    </w:p>
    <w:p>
      <w:pPr>
        <w:pStyle w:val="BodyText"/>
        <w:ind w:left="2847"/>
      </w:pPr>
      <w:r>
        <w:rPr/>
        <w:t>（1）原位癌；</w:t>
      </w:r>
    </w:p>
    <w:p>
      <w:pPr>
        <w:pStyle w:val="BodyText"/>
        <w:ind w:left="2847"/>
      </w:pPr>
      <w:r>
        <w:rPr/>
        <w:t>（2）相当于Binet 分期方案 A 期程度的慢性淋巴细胞白血病；</w:t>
      </w:r>
    </w:p>
    <w:p>
      <w:pPr>
        <w:pStyle w:val="BodyText"/>
        <w:ind w:left="2847"/>
      </w:pPr>
      <w:r>
        <w:rPr/>
        <w:t>（3）相当于Ann Arbor 分期方案 I 期程度的何杰金氏病；</w:t>
      </w:r>
    </w:p>
    <w:p>
      <w:pPr>
        <w:pStyle w:val="BodyText"/>
        <w:ind w:left="2847"/>
      </w:pPr>
      <w:r>
        <w:rPr/>
        <w:t>（4）</w:t>
      </w:r>
      <w:r>
        <w:rPr>
          <w:spacing w:val="-1"/>
        </w:rPr>
        <w:t>皮肤癌</w:t>
      </w:r>
      <w:r>
        <w:rPr/>
        <w:t>（不包括恶性黑色素瘤及已发生转移的皮肤癌</w:t>
      </w:r>
      <w:r>
        <w:rPr>
          <w:spacing w:val="-106"/>
        </w:rPr>
        <w:t>）</w:t>
      </w:r>
      <w:r>
        <w:rPr/>
        <w:t>；</w:t>
      </w:r>
    </w:p>
    <w:p>
      <w:pPr>
        <w:pStyle w:val="BodyText"/>
        <w:ind w:left="2847"/>
      </w:pPr>
      <w:r>
        <w:rPr/>
        <w:t>（5）TNM 分期为 T1N0M0 期或更轻分期的前列腺癌；</w:t>
      </w:r>
    </w:p>
    <w:p>
      <w:pPr>
        <w:pStyle w:val="BodyText"/>
        <w:ind w:left="2847"/>
      </w:pPr>
      <w:r>
        <w:rPr/>
        <w:t>（6）感染艾滋病病毒或患艾滋病期间所患恶性肿瘤。</w:t>
      </w:r>
    </w:p>
    <w:p>
      <w:pPr>
        <w:pStyle w:val="BodyText"/>
        <w:spacing w:before="9"/>
        <w:rPr>
          <w:sz w:val="26"/>
        </w:rPr>
      </w:pPr>
    </w:p>
    <w:p>
      <w:pPr>
        <w:pStyle w:val="Heading6"/>
        <w:ind w:left="2847"/>
      </w:pPr>
      <w:r>
        <w:rPr>
          <w:w w:val="95"/>
        </w:rPr>
        <w:t>（二）脑炎后遗症或脑膜炎后遗症</w:t>
      </w:r>
    </w:p>
    <w:p>
      <w:pPr>
        <w:spacing w:after="0"/>
        <w:sectPr>
          <w:pgSz w:w="11910" w:h="16840"/>
          <w:pgMar w:top="1100" w:bottom="280" w:left="800" w:right="920"/>
        </w:sectPr>
      </w:pPr>
    </w:p>
    <w:p>
      <w:pPr>
        <w:pStyle w:val="BodyText"/>
        <w:spacing w:line="273" w:lineRule="auto" w:before="19"/>
        <w:ind w:left="2848" w:right="217" w:firstLine="431"/>
        <w:jc w:val="both"/>
      </w:pPr>
      <w:r>
        <w:rPr>
          <w:spacing w:val="-2"/>
        </w:rPr>
        <w:t>指因患脑炎或脑膜炎导致的神经系统永久性的功能障碍。神经系统永久性</w:t>
      </w:r>
      <w:r>
        <w:rPr>
          <w:spacing w:val="-6"/>
        </w:rPr>
        <w:t>的功能障碍，指疾病首次确诊 </w:t>
      </w:r>
      <w:r>
        <w:rPr/>
        <w:t>180</w:t>
      </w:r>
      <w:r>
        <w:rPr>
          <w:spacing w:val="-8"/>
        </w:rPr>
        <w:t> 日后，仍残留下列一种或一种以上障碍：</w:t>
      </w:r>
    </w:p>
    <w:p>
      <w:pPr>
        <w:pStyle w:val="BodyText"/>
        <w:spacing w:before="7"/>
        <w:ind w:left="2848"/>
      </w:pPr>
      <w:r>
        <w:rPr/>
        <w:t>（1）一肢或一肢以上肢体机能完全丧失；</w:t>
      </w:r>
    </w:p>
    <w:p>
      <w:pPr>
        <w:pStyle w:val="BodyText"/>
        <w:spacing w:before="36"/>
        <w:ind w:left="2848"/>
      </w:pPr>
      <w:r>
        <w:rPr/>
        <w:t>（2）语言能力或咀嚼吞咽能力完全丧失；</w:t>
      </w:r>
    </w:p>
    <w:p>
      <w:pPr>
        <w:pStyle w:val="BodyText"/>
        <w:spacing w:line="273" w:lineRule="auto" w:before="36"/>
        <w:ind w:left="2848" w:right="218"/>
      </w:pPr>
      <w:r>
        <w:rPr/>
        <w:t>（3）自主生活能力完全丧失，无法独立完成六项基本日常生活活动中的三项或三项以上。</w:t>
      </w:r>
    </w:p>
    <w:p>
      <w:pPr>
        <w:pStyle w:val="BodyText"/>
        <w:spacing w:before="5"/>
        <w:rPr>
          <w:sz w:val="24"/>
        </w:rPr>
      </w:pPr>
    </w:p>
    <w:p>
      <w:pPr>
        <w:pStyle w:val="Heading6"/>
        <w:ind w:left="2848"/>
      </w:pPr>
      <w:r>
        <w:rPr>
          <w:w w:val="95"/>
        </w:rPr>
        <w:t>（三）终末期肾病</w:t>
      </w:r>
    </w:p>
    <w:p>
      <w:pPr>
        <w:pStyle w:val="BodyText"/>
        <w:spacing w:line="273" w:lineRule="auto"/>
        <w:ind w:left="2848" w:right="218" w:firstLine="431"/>
        <w:jc w:val="both"/>
      </w:pPr>
      <w:r>
        <w:rPr>
          <w:spacing w:val="-3"/>
        </w:rPr>
        <w:t>指双肾功能慢性不可逆性衰竭，达到尿毒症期，经诊断后已经进行了至少90</w:t>
      </w:r>
      <w:r>
        <w:rPr>
          <w:spacing w:val="-8"/>
        </w:rPr>
        <w:t> 日的规律性透析治疗或实施了肾脏移植手术。</w:t>
      </w:r>
    </w:p>
    <w:p>
      <w:pPr>
        <w:pStyle w:val="BodyText"/>
        <w:spacing w:before="5"/>
        <w:rPr>
          <w:sz w:val="24"/>
        </w:rPr>
      </w:pPr>
    </w:p>
    <w:p>
      <w:pPr>
        <w:pStyle w:val="Heading6"/>
        <w:ind w:left="2848"/>
      </w:pPr>
      <w:r>
        <w:rPr>
          <w:w w:val="95"/>
        </w:rPr>
        <w:t>（四）重大器官移植术或造血干细胞移植术</w:t>
      </w:r>
    </w:p>
    <w:p>
      <w:pPr>
        <w:pStyle w:val="BodyText"/>
        <w:spacing w:line="273" w:lineRule="auto" w:before="36"/>
        <w:ind w:left="2848" w:right="217" w:firstLine="431"/>
        <w:jc w:val="both"/>
      </w:pPr>
      <w:r>
        <w:rPr>
          <w:spacing w:val="-5"/>
        </w:rPr>
        <w:t>重大器官移植术，指因相应器官功能衰竭，已经实施了肾脏、肝脏、心脏或肺脏的异体移植手术。</w:t>
      </w:r>
    </w:p>
    <w:p>
      <w:pPr>
        <w:pStyle w:val="BodyText"/>
        <w:spacing w:line="273" w:lineRule="auto" w:before="7"/>
        <w:ind w:left="2848" w:right="217" w:firstLine="431"/>
        <w:jc w:val="both"/>
      </w:pPr>
      <w:r>
        <w:rPr>
          <w:spacing w:val="-3"/>
        </w:rPr>
        <w:t>造血干细胞移植术，指因造血功能损害或造血系统恶性肿瘤，已经实施了</w:t>
      </w:r>
      <w:r>
        <w:rPr>
          <w:spacing w:val="-4"/>
        </w:rPr>
        <w:t>造血干细胞</w:t>
      </w:r>
      <w:r>
        <w:rPr/>
        <w:t>（</w:t>
      </w:r>
      <w:r>
        <w:rPr>
          <w:spacing w:val="-1"/>
        </w:rPr>
        <w:t>包括骨髓造血干细胞、外周造血干细胞和脐血造血干细胞</w:t>
      </w:r>
      <w:r>
        <w:rPr>
          <w:spacing w:val="-8"/>
        </w:rPr>
        <w:t>）</w:t>
      </w:r>
      <w:r>
        <w:rPr/>
        <w:t>的异体移植手术。</w:t>
      </w:r>
    </w:p>
    <w:p>
      <w:pPr>
        <w:pStyle w:val="BodyText"/>
        <w:spacing w:before="5"/>
        <w:rPr>
          <w:sz w:val="24"/>
        </w:rPr>
      </w:pPr>
    </w:p>
    <w:p>
      <w:pPr>
        <w:pStyle w:val="Heading6"/>
        <w:ind w:left="2848"/>
      </w:pPr>
      <w:r>
        <w:rPr/>
        <w:t>（五）严重 III 度烧伤</w:t>
      </w:r>
    </w:p>
    <w:p>
      <w:pPr>
        <w:pStyle w:val="BodyText"/>
        <w:spacing w:line="273" w:lineRule="auto" w:before="36"/>
        <w:ind w:left="2848" w:right="112" w:firstLine="210"/>
      </w:pPr>
      <w:r>
        <w:rPr>
          <w:spacing w:val="-5"/>
        </w:rPr>
        <w:t>指烧伤程度为Ⅲ度，且Ⅲ度烧伤面积达到全身体表面积的 </w:t>
      </w:r>
      <w:r>
        <w:rPr/>
        <w:t>20％</w:t>
      </w:r>
      <w:r>
        <w:rPr>
          <w:spacing w:val="-27"/>
        </w:rPr>
        <w:t>或 </w:t>
      </w:r>
      <w:r>
        <w:rPr/>
        <w:t>20％以上。</w:t>
      </w:r>
      <w:r>
        <w:rPr>
          <w:spacing w:val="-1"/>
        </w:rPr>
        <w:t>体表面积根据 《中国新九分法》计算。</w:t>
      </w:r>
    </w:p>
    <w:p>
      <w:pPr>
        <w:pStyle w:val="BodyText"/>
        <w:spacing w:before="5"/>
        <w:rPr>
          <w:sz w:val="24"/>
        </w:rPr>
      </w:pPr>
    </w:p>
    <w:p>
      <w:pPr>
        <w:pStyle w:val="ListParagraph"/>
        <w:numPr>
          <w:ilvl w:val="1"/>
          <w:numId w:val="6"/>
        </w:numPr>
        <w:tabs>
          <w:tab w:pos="862" w:val="left" w:leader="none"/>
          <w:tab w:pos="863" w:val="left" w:leader="none"/>
          <w:tab w:pos="2847" w:val="left" w:leader="none"/>
        </w:tabs>
        <w:spacing w:line="273" w:lineRule="auto" w:before="0" w:after="0"/>
        <w:ind w:left="2848" w:right="404" w:hanging="2729"/>
        <w:jc w:val="left"/>
        <w:rPr>
          <w:sz w:val="21"/>
        </w:rPr>
      </w:pPr>
      <w:r>
        <w:rPr>
          <w:b/>
          <w:sz w:val="21"/>
        </w:rPr>
        <w:t>成人重大疾病</w:t>
        <w:tab/>
      </w:r>
      <w:r>
        <w:rPr>
          <w:sz w:val="21"/>
        </w:rPr>
        <w:t>以下重大疾病定义是由中国保险行业协会与中国医师协会共同制定的重大疾病保险的疾病定义。</w:t>
      </w:r>
    </w:p>
    <w:p>
      <w:pPr>
        <w:pStyle w:val="BodyText"/>
        <w:spacing w:before="5"/>
        <w:rPr>
          <w:sz w:val="24"/>
        </w:rPr>
      </w:pPr>
    </w:p>
    <w:p>
      <w:pPr>
        <w:pStyle w:val="Heading6"/>
        <w:ind w:left="2848"/>
      </w:pPr>
      <w:r>
        <w:rPr>
          <w:w w:val="95"/>
        </w:rPr>
        <w:t>（一）恶性肿瘤</w:t>
      </w:r>
    </w:p>
    <w:p>
      <w:pPr>
        <w:pStyle w:val="BodyText"/>
        <w:spacing w:line="273" w:lineRule="auto" w:before="36"/>
        <w:ind w:left="2848" w:right="111" w:firstLine="420"/>
        <w:jc w:val="both"/>
      </w:pPr>
      <w:r>
        <w:rPr>
          <w:spacing w:val="-2"/>
        </w:rPr>
        <w:t>指恶性细胞不受控制的进行性增长和扩散，浸润和破坏周围正常组织，可</w:t>
      </w:r>
      <w:r>
        <w:rPr>
          <w:spacing w:val="-5"/>
        </w:rPr>
        <w:t>以经血管、淋巴管和体腔扩散转移到身体其它部位的疾病。经病理学检查结果</w:t>
      </w:r>
      <w:r>
        <w:rPr>
          <w:spacing w:val="-14"/>
        </w:rPr>
        <w:t>明确诊断，临床诊断属于世界卫生组织《疾病和有关健康问题的国际统计分类》</w:t>
      </w:r>
    </w:p>
    <w:p>
      <w:pPr>
        <w:pStyle w:val="BodyText"/>
        <w:spacing w:before="7"/>
        <w:ind w:left="2847"/>
      </w:pPr>
      <w:r>
        <w:rPr/>
        <w:t>（ICD-10）的恶性肿瘤范畴。</w:t>
      </w:r>
    </w:p>
    <w:p>
      <w:pPr>
        <w:pStyle w:val="BodyText"/>
        <w:ind w:left="3373"/>
      </w:pPr>
      <w:r>
        <w:rPr/>
        <w:t>下列疾病不在保障范围内：</w:t>
      </w:r>
    </w:p>
    <w:p>
      <w:pPr>
        <w:pStyle w:val="BodyText"/>
        <w:ind w:left="2847"/>
      </w:pPr>
      <w:r>
        <w:rPr/>
        <w:t>（1）原位癌；</w:t>
      </w:r>
    </w:p>
    <w:p>
      <w:pPr>
        <w:pStyle w:val="BodyText"/>
        <w:ind w:left="2847"/>
      </w:pPr>
      <w:r>
        <w:rPr/>
        <w:t>（2）相当于Binet 分期方案 A 期程度的慢性淋巴细胞白血病；</w:t>
      </w:r>
    </w:p>
    <w:p>
      <w:pPr>
        <w:pStyle w:val="BodyText"/>
        <w:ind w:left="2847"/>
      </w:pPr>
      <w:r>
        <w:rPr/>
        <w:t>（3）相当于Ann Arbor 分期方案 I 期程度的何杰金氏病；</w:t>
      </w:r>
    </w:p>
    <w:p>
      <w:pPr>
        <w:pStyle w:val="BodyText"/>
        <w:ind w:left="2847"/>
      </w:pPr>
      <w:r>
        <w:rPr/>
        <w:t>（4）</w:t>
      </w:r>
      <w:r>
        <w:rPr>
          <w:spacing w:val="-1"/>
        </w:rPr>
        <w:t>皮肤癌</w:t>
      </w:r>
      <w:r>
        <w:rPr/>
        <w:t>（不包括恶性黑色素瘤及已发生转移的皮肤癌</w:t>
      </w:r>
      <w:r>
        <w:rPr>
          <w:spacing w:val="-106"/>
        </w:rPr>
        <w:t>）</w:t>
      </w:r>
      <w:r>
        <w:rPr/>
        <w:t>；</w:t>
      </w:r>
    </w:p>
    <w:p>
      <w:pPr>
        <w:pStyle w:val="BodyText"/>
        <w:ind w:left="2847"/>
      </w:pPr>
      <w:r>
        <w:rPr/>
        <w:t>（5）TNM 分期为 T1N0M0 期或更轻分期的前列腺癌；</w:t>
      </w:r>
    </w:p>
    <w:p>
      <w:pPr>
        <w:pStyle w:val="BodyText"/>
        <w:ind w:left="2847"/>
      </w:pPr>
      <w:r>
        <w:rPr/>
        <w:t>（6）感染艾滋病病毒或患艾滋病期间所患恶性肿瘤。</w:t>
      </w:r>
    </w:p>
    <w:p>
      <w:pPr>
        <w:pStyle w:val="BodyText"/>
        <w:spacing w:before="9"/>
        <w:rPr>
          <w:sz w:val="26"/>
        </w:rPr>
      </w:pPr>
    </w:p>
    <w:p>
      <w:pPr>
        <w:pStyle w:val="Heading6"/>
        <w:ind w:left="2847"/>
      </w:pPr>
      <w:r>
        <w:rPr>
          <w:w w:val="95"/>
        </w:rPr>
        <w:t>（二）急性心肌梗塞</w:t>
      </w:r>
    </w:p>
    <w:p>
      <w:pPr>
        <w:pStyle w:val="BodyText"/>
        <w:spacing w:line="273" w:lineRule="auto"/>
        <w:ind w:left="2847" w:right="217" w:firstLine="431"/>
        <w:jc w:val="both"/>
      </w:pPr>
      <w:r>
        <w:rPr>
          <w:spacing w:val="-2"/>
        </w:rPr>
        <w:t>指因冠状动脉阻塞导致的相应区域供血不足造成部分心肌坏死。须满足下列至少三项条件：</w:t>
      </w:r>
    </w:p>
    <w:p>
      <w:pPr>
        <w:pStyle w:val="BodyText"/>
        <w:spacing w:before="7"/>
        <w:ind w:left="2847"/>
      </w:pPr>
      <w:r>
        <w:rPr/>
        <w:t>（1）典型临床表现，例如急性胸痛等；</w:t>
      </w:r>
    </w:p>
    <w:p>
      <w:pPr>
        <w:pStyle w:val="BodyText"/>
        <w:spacing w:before="36"/>
        <w:ind w:left="2847"/>
      </w:pPr>
      <w:r>
        <w:rPr/>
        <w:t>（2）新近的心电图改变提示急性心肌梗塞；</w:t>
      </w:r>
    </w:p>
    <w:p>
      <w:pPr>
        <w:pStyle w:val="BodyText"/>
        <w:spacing w:line="273" w:lineRule="auto" w:before="36"/>
        <w:ind w:left="2847" w:right="218"/>
      </w:pPr>
      <w:r>
        <w:rPr/>
        <w:t>（3）心肌酶或肌钙蛋白有诊断意义的升高，或呈符合急性心肌梗塞的动态性变化；</w:t>
      </w:r>
    </w:p>
    <w:p>
      <w:pPr>
        <w:pStyle w:val="BodyText"/>
        <w:spacing w:before="7"/>
        <w:ind w:left="2847"/>
      </w:pPr>
      <w:r>
        <w:rPr>
          <w:spacing w:val="-9"/>
        </w:rPr>
        <w:t>（4）</w:t>
      </w:r>
      <w:r>
        <w:rPr>
          <w:spacing w:val="-18"/>
        </w:rPr>
        <w:t>发病 </w:t>
      </w:r>
      <w:r>
        <w:rPr/>
        <w:t>90</w:t>
      </w:r>
      <w:r>
        <w:rPr>
          <w:spacing w:val="-12"/>
        </w:rPr>
        <w:t> 日后，经检查证实左室功能降低的，如左心室射血分数低于 </w:t>
      </w:r>
      <w:r>
        <w:rPr/>
        <w:t>50%。</w:t>
      </w:r>
    </w:p>
    <w:p>
      <w:pPr>
        <w:spacing w:after="0"/>
        <w:sectPr>
          <w:pgSz w:w="11910" w:h="16840"/>
          <w:pgMar w:top="1100" w:bottom="280" w:left="800" w:right="920"/>
        </w:sectPr>
      </w:pPr>
    </w:p>
    <w:p>
      <w:pPr>
        <w:pStyle w:val="Heading6"/>
        <w:spacing w:before="11"/>
      </w:pPr>
      <w:r>
        <w:rPr>
          <w:w w:val="95"/>
        </w:rPr>
        <w:t>（三）脑中风后遗症</w:t>
      </w:r>
    </w:p>
    <w:p>
      <w:pPr>
        <w:pStyle w:val="BodyText"/>
        <w:spacing w:line="273" w:lineRule="auto"/>
        <w:ind w:left="1968" w:right="117" w:firstLine="431"/>
        <w:jc w:val="both"/>
      </w:pPr>
      <w:r>
        <w:rPr>
          <w:spacing w:val="-2"/>
        </w:rPr>
        <w:t>指因脑血管的突发病变引起脑血管出血、栓塞或梗塞，并导致神经系统永</w:t>
      </w:r>
      <w:r>
        <w:rPr>
          <w:spacing w:val="-6"/>
        </w:rPr>
        <w:t>久性功能障碍。神经系统永久性的功能障碍，指疾病确诊 </w:t>
      </w:r>
      <w:r>
        <w:rPr/>
        <w:t>180</w:t>
      </w:r>
      <w:r>
        <w:rPr>
          <w:spacing w:val="-9"/>
        </w:rPr>
        <w:t> 日后，仍遗留下列一种或一种以上障碍：</w:t>
      </w:r>
    </w:p>
    <w:p>
      <w:pPr>
        <w:pStyle w:val="BodyText"/>
        <w:spacing w:before="7"/>
        <w:ind w:left="1968"/>
      </w:pPr>
      <w:r>
        <w:rPr/>
        <w:t>（1）一肢或一肢以上肢体机能完全丧失；</w:t>
      </w:r>
    </w:p>
    <w:p>
      <w:pPr>
        <w:pStyle w:val="BodyText"/>
        <w:spacing w:before="36"/>
        <w:ind w:left="1968"/>
      </w:pPr>
      <w:r>
        <w:rPr/>
        <w:t>（2）语言能力或咀嚼吞咽能力完全丧失；</w:t>
      </w:r>
    </w:p>
    <w:p>
      <w:pPr>
        <w:pStyle w:val="BodyText"/>
        <w:spacing w:line="273" w:lineRule="auto" w:before="36"/>
        <w:ind w:left="1968" w:right="118"/>
      </w:pPr>
      <w:r>
        <w:rPr/>
        <w:t>（3）自主生活能力完全丧失，无法独立完成六项基本日常生活活动中的三项或三项以上。</w:t>
      </w:r>
    </w:p>
    <w:p>
      <w:pPr>
        <w:pStyle w:val="BodyText"/>
        <w:spacing w:before="5"/>
        <w:rPr>
          <w:sz w:val="24"/>
        </w:rPr>
      </w:pPr>
    </w:p>
    <w:p>
      <w:pPr>
        <w:pStyle w:val="Heading6"/>
      </w:pPr>
      <w:r>
        <w:rPr>
          <w:w w:val="95"/>
        </w:rPr>
        <w:t>（四）重大器官移植术或造血干细胞移植术</w:t>
      </w:r>
    </w:p>
    <w:p>
      <w:pPr>
        <w:pStyle w:val="BodyText"/>
        <w:spacing w:line="273" w:lineRule="auto"/>
        <w:ind w:left="1968" w:right="117" w:firstLine="431"/>
        <w:jc w:val="both"/>
      </w:pPr>
      <w:r>
        <w:rPr>
          <w:spacing w:val="-5"/>
        </w:rPr>
        <w:t>重大器官移植术，指因相应器官功能衰竭，已经实施了肾脏、肝脏、心脏或肺脏的异体移植手术。</w:t>
      </w:r>
    </w:p>
    <w:p>
      <w:pPr>
        <w:pStyle w:val="BodyText"/>
        <w:spacing w:line="273" w:lineRule="auto" w:before="7"/>
        <w:ind w:left="1968" w:right="116" w:firstLine="431"/>
        <w:jc w:val="both"/>
      </w:pPr>
      <w:r>
        <w:rPr>
          <w:spacing w:val="-3"/>
        </w:rPr>
        <w:t>造血干细胞移植术，指因造血功能损害或造血系统恶性肿瘤，已经实施了</w:t>
      </w:r>
      <w:r>
        <w:rPr>
          <w:spacing w:val="-4"/>
        </w:rPr>
        <w:t>造血干细胞</w:t>
      </w:r>
      <w:r>
        <w:rPr/>
        <w:t>（</w:t>
      </w:r>
      <w:r>
        <w:rPr>
          <w:spacing w:val="-1"/>
        </w:rPr>
        <w:t>包括骨髓造血干细胞、外周造血干细胞和脐血造血干细胞</w:t>
      </w:r>
      <w:r>
        <w:rPr>
          <w:spacing w:val="-8"/>
        </w:rPr>
        <w:t>）</w:t>
      </w:r>
      <w:r>
        <w:rPr/>
        <w:t>的异体移植手术。</w:t>
      </w:r>
    </w:p>
    <w:p>
      <w:pPr>
        <w:pStyle w:val="BodyText"/>
        <w:spacing w:before="5"/>
        <w:rPr>
          <w:sz w:val="24"/>
        </w:rPr>
      </w:pPr>
    </w:p>
    <w:p>
      <w:pPr>
        <w:pStyle w:val="Heading6"/>
      </w:pPr>
      <w:r>
        <w:rPr>
          <w:w w:val="95"/>
        </w:rPr>
        <w:t>（五）冠状动脉搭桥术</w:t>
      </w:r>
    </w:p>
    <w:p>
      <w:pPr>
        <w:pStyle w:val="BodyText"/>
        <w:spacing w:line="273" w:lineRule="auto"/>
        <w:ind w:left="1968" w:right="117" w:firstLine="431"/>
        <w:jc w:val="both"/>
      </w:pPr>
      <w:r>
        <w:rPr>
          <w:spacing w:val="-4"/>
        </w:rPr>
        <w:t>指为治疗严重的冠心病，实际实施了开胸进行的冠状动脉血管旁路移植的</w:t>
      </w:r>
      <w:r>
        <w:rPr>
          <w:spacing w:val="-1"/>
        </w:rPr>
        <w:t>手术。</w:t>
      </w:r>
    </w:p>
    <w:p>
      <w:pPr>
        <w:pStyle w:val="BodyText"/>
        <w:spacing w:line="273" w:lineRule="auto" w:before="7"/>
        <w:ind w:left="1968" w:right="118" w:firstLine="431"/>
        <w:jc w:val="both"/>
      </w:pPr>
      <w:r>
        <w:rPr>
          <w:spacing w:val="-3"/>
        </w:rPr>
        <w:t>冠状动脉支架植入手术、心导管球囊扩张术、激光射频技术及其他非开胸的介入手术、腔镜手术不在保障范围内。</w:t>
      </w:r>
    </w:p>
    <w:p>
      <w:pPr>
        <w:pStyle w:val="BodyText"/>
        <w:spacing w:before="5"/>
        <w:rPr>
          <w:sz w:val="24"/>
        </w:rPr>
      </w:pPr>
    </w:p>
    <w:p>
      <w:pPr>
        <w:pStyle w:val="Heading6"/>
      </w:pPr>
      <w:r>
        <w:rPr>
          <w:w w:val="95"/>
        </w:rPr>
        <w:t>（六）终末期肾病</w:t>
      </w:r>
    </w:p>
    <w:p>
      <w:pPr>
        <w:pStyle w:val="BodyText"/>
        <w:ind w:left="2399"/>
      </w:pPr>
      <w:r>
        <w:rPr/>
        <w:t>指双肾功能慢性不可逆性衰竭，达到尿毒症期，经诊断后已经进行了至少</w:t>
      </w:r>
    </w:p>
    <w:p>
      <w:pPr>
        <w:pStyle w:val="BodyText"/>
        <w:ind w:left="1968"/>
      </w:pPr>
      <w:r>
        <w:rPr/>
        <w:t>90 日的规律性透析治疗或实施了肾脏移植手术。</w:t>
      </w:r>
    </w:p>
    <w:p>
      <w:pPr>
        <w:pStyle w:val="BodyText"/>
        <w:spacing w:before="8"/>
        <w:rPr>
          <w:sz w:val="26"/>
        </w:rPr>
      </w:pPr>
    </w:p>
    <w:p>
      <w:pPr>
        <w:pStyle w:val="Heading6"/>
        <w:spacing w:before="1"/>
      </w:pPr>
      <w:r>
        <w:rPr>
          <w:w w:val="95"/>
        </w:rPr>
        <w:t>（七）多个肢体缺失</w:t>
      </w:r>
    </w:p>
    <w:p>
      <w:pPr>
        <w:pStyle w:val="BodyText"/>
        <w:spacing w:line="273" w:lineRule="auto"/>
        <w:ind w:left="1968" w:right="117" w:firstLine="431"/>
        <w:jc w:val="both"/>
      </w:pPr>
      <w:r>
        <w:rPr>
          <w:spacing w:val="-2"/>
        </w:rPr>
        <w:t>指因疾病或意外伤害导致两个或两个以上肢体自腕关节或踝关节近端</w:t>
      </w:r>
      <w:r>
        <w:rPr/>
        <w:t>（靠</w:t>
      </w:r>
      <w:r>
        <w:rPr>
          <w:spacing w:val="-1"/>
        </w:rPr>
        <w:t>近躯干端）以上完全性断离。</w:t>
      </w:r>
    </w:p>
    <w:p>
      <w:pPr>
        <w:pStyle w:val="BodyText"/>
        <w:spacing w:before="5"/>
        <w:rPr>
          <w:sz w:val="24"/>
        </w:rPr>
      </w:pPr>
    </w:p>
    <w:p>
      <w:pPr>
        <w:pStyle w:val="Heading6"/>
      </w:pPr>
      <w:r>
        <w:rPr>
          <w:w w:val="95"/>
        </w:rPr>
        <w:t>（八）急性或亚急性重症肝炎</w:t>
      </w:r>
    </w:p>
    <w:p>
      <w:pPr>
        <w:pStyle w:val="BodyText"/>
        <w:spacing w:line="273" w:lineRule="auto" w:before="36"/>
        <w:ind w:left="1968" w:right="118" w:firstLine="431"/>
        <w:jc w:val="both"/>
      </w:pPr>
      <w:r>
        <w:rPr>
          <w:spacing w:val="-2"/>
        </w:rPr>
        <w:t>指因肝炎病毒感染引起肝组织弥漫性坏死，导致急性肝功能衰竭，且经血清学或病毒学检查证实，须满足下列全部条件：</w:t>
      </w:r>
    </w:p>
    <w:p>
      <w:pPr>
        <w:pStyle w:val="BodyText"/>
        <w:spacing w:before="7"/>
        <w:ind w:left="1968"/>
      </w:pPr>
      <w:r>
        <w:rPr/>
        <w:t>（1）重度黄疸或黄疸迅速加重；</w:t>
      </w:r>
    </w:p>
    <w:p>
      <w:pPr>
        <w:pStyle w:val="BodyText"/>
        <w:ind w:left="1968"/>
      </w:pPr>
      <w:r>
        <w:rPr/>
        <w:t>（2）肝性脑病；</w:t>
      </w:r>
    </w:p>
    <w:p>
      <w:pPr>
        <w:pStyle w:val="BodyText"/>
        <w:ind w:left="1968"/>
      </w:pPr>
      <w:r>
        <w:rPr/>
        <w:t>（3）B 超或其他影像学检查显示肝脏体积急速萎缩；</w:t>
      </w:r>
    </w:p>
    <w:p>
      <w:pPr>
        <w:pStyle w:val="BodyText"/>
        <w:ind w:left="1968"/>
      </w:pPr>
      <w:r>
        <w:rPr/>
        <w:t>（4）肝功能指标进行性恶化。</w:t>
      </w:r>
    </w:p>
    <w:p>
      <w:pPr>
        <w:pStyle w:val="BodyText"/>
        <w:spacing w:before="8"/>
        <w:rPr>
          <w:sz w:val="26"/>
        </w:rPr>
      </w:pPr>
    </w:p>
    <w:p>
      <w:pPr>
        <w:pStyle w:val="Heading6"/>
        <w:spacing w:before="1"/>
      </w:pPr>
      <w:r>
        <w:rPr>
          <w:w w:val="95"/>
        </w:rPr>
        <w:t>（九）良性脑肿瘤</w:t>
      </w:r>
    </w:p>
    <w:p>
      <w:pPr>
        <w:pStyle w:val="BodyText"/>
        <w:spacing w:line="273" w:lineRule="auto"/>
        <w:ind w:left="1967" w:right="113" w:firstLine="431"/>
        <w:jc w:val="both"/>
      </w:pPr>
      <w:r>
        <w:rPr>
          <w:spacing w:val="-4"/>
        </w:rPr>
        <w:t>指脑的良性肿瘤，已经引起颅内压增高，临床表现为视神经乳头水肿、精</w:t>
      </w:r>
      <w:r>
        <w:rPr>
          <w:spacing w:val="1"/>
        </w:rPr>
        <w:t>神症状、癫痫及运动感觉障碍等，并危及生命。须由头颅断层扫描（</w:t>
      </w:r>
      <w:r>
        <w:rPr/>
        <w:t>C</w:t>
      </w:r>
      <w:r>
        <w:rPr>
          <w:spacing w:val="1"/>
        </w:rPr>
        <w:t>T</w:t>
      </w:r>
      <w:r>
        <w:rPr>
          <w:spacing w:val="-103"/>
        </w:rPr>
        <w:t>）</w:t>
      </w:r>
      <w:r>
        <w:rPr>
          <w:spacing w:val="0"/>
        </w:rPr>
        <w:t>、核</w:t>
      </w:r>
      <w:r>
        <w:rPr>
          <w:spacing w:val="-2"/>
        </w:rPr>
        <w:t>磁共振检查</w:t>
      </w:r>
      <w:r>
        <w:rPr/>
        <w:t>（MRI）</w:t>
      </w:r>
      <w:r>
        <w:rPr>
          <w:spacing w:val="-1"/>
        </w:rPr>
        <w:t>或正电子发射断层扫描</w:t>
      </w:r>
      <w:r>
        <w:rPr/>
        <w:t>（PET）</w:t>
      </w:r>
      <w:r>
        <w:rPr>
          <w:spacing w:val="-1"/>
        </w:rPr>
        <w:t>等影像学检查证实，并须满足下列至少一项条件：</w:t>
      </w:r>
    </w:p>
    <w:p>
      <w:pPr>
        <w:pStyle w:val="BodyText"/>
        <w:spacing w:before="7"/>
        <w:ind w:left="1967"/>
      </w:pPr>
      <w:r>
        <w:rPr/>
        <w:t>（1）实际实施了开颅进行的脑肿瘤完全切除或部分切除的手术；</w:t>
      </w:r>
    </w:p>
    <w:p>
      <w:pPr>
        <w:pStyle w:val="BodyText"/>
        <w:spacing w:before="36"/>
        <w:ind w:left="1967"/>
      </w:pPr>
      <w:r>
        <w:rPr/>
        <w:t>（2）实际实施了对脑肿瘤进行的放射治疗。</w:t>
      </w:r>
    </w:p>
    <w:p>
      <w:pPr>
        <w:spacing w:after="0"/>
        <w:sectPr>
          <w:pgSz w:w="11910" w:h="16840"/>
          <w:pgMar w:top="1420" w:bottom="280" w:left="1680" w:right="1020"/>
        </w:sectPr>
      </w:pPr>
    </w:p>
    <w:p>
      <w:pPr>
        <w:pStyle w:val="BodyText"/>
        <w:spacing w:before="19"/>
        <w:ind w:left="2400"/>
      </w:pPr>
      <w:r>
        <w:rPr/>
        <w:t>脑垂体瘤、脑囊肿、脑血管性疾病不在保障范围内。</w:t>
      </w:r>
    </w:p>
    <w:p>
      <w:pPr>
        <w:pStyle w:val="BodyText"/>
        <w:spacing w:before="8"/>
        <w:rPr>
          <w:sz w:val="26"/>
        </w:rPr>
      </w:pPr>
    </w:p>
    <w:p>
      <w:pPr>
        <w:pStyle w:val="Heading6"/>
        <w:spacing w:before="1"/>
      </w:pPr>
      <w:r>
        <w:rPr>
          <w:w w:val="95"/>
        </w:rPr>
        <w:t>（十）慢性肝功能衰竭失代偿期</w:t>
      </w:r>
    </w:p>
    <w:p>
      <w:pPr>
        <w:pStyle w:val="BodyText"/>
        <w:ind w:left="2400"/>
      </w:pPr>
      <w:r>
        <w:rPr/>
        <w:t>指因慢性肝脏疾病导致肝功能衰竭，须满足下列全部条件：</w:t>
      </w:r>
    </w:p>
    <w:p>
      <w:pPr>
        <w:pStyle w:val="BodyText"/>
        <w:ind w:left="1968"/>
      </w:pPr>
      <w:r>
        <w:rPr/>
        <w:t>（1）持续性黄疸；</w:t>
      </w:r>
    </w:p>
    <w:p>
      <w:pPr>
        <w:pStyle w:val="BodyText"/>
        <w:ind w:left="1968"/>
      </w:pPr>
      <w:r>
        <w:rPr/>
        <w:t>（2）腹水；</w:t>
      </w:r>
    </w:p>
    <w:p>
      <w:pPr>
        <w:pStyle w:val="BodyText"/>
        <w:ind w:left="1968"/>
      </w:pPr>
      <w:r>
        <w:rPr/>
        <w:t>（3）肝性脑病；</w:t>
      </w:r>
    </w:p>
    <w:p>
      <w:pPr>
        <w:pStyle w:val="BodyText"/>
        <w:ind w:left="1968"/>
      </w:pPr>
      <w:r>
        <w:rPr/>
        <w:t>（4）充血性脾肿大伴脾功能亢进或食管胃底静脉曲张。</w:t>
      </w:r>
    </w:p>
    <w:p>
      <w:pPr>
        <w:pStyle w:val="BodyText"/>
        <w:ind w:left="2400"/>
      </w:pPr>
      <w:r>
        <w:rPr/>
        <w:t>因酗酒或药物滥用导致的肝功能衰竭不在保障范围内。</w:t>
      </w:r>
    </w:p>
    <w:p>
      <w:pPr>
        <w:pStyle w:val="BodyText"/>
        <w:spacing w:before="9"/>
        <w:rPr>
          <w:sz w:val="26"/>
        </w:rPr>
      </w:pPr>
    </w:p>
    <w:p>
      <w:pPr>
        <w:pStyle w:val="Heading6"/>
      </w:pPr>
      <w:r>
        <w:rPr>
          <w:w w:val="95"/>
        </w:rPr>
        <w:t>（十一）脑炎后遗症或脑膜炎后遗症</w:t>
      </w:r>
    </w:p>
    <w:p>
      <w:pPr>
        <w:pStyle w:val="BodyText"/>
        <w:spacing w:line="273" w:lineRule="auto"/>
        <w:ind w:left="1968" w:right="163" w:firstLine="431"/>
      </w:pPr>
      <w:r>
        <w:rPr/>
        <w:t>指因患脑炎或脑膜炎导致的神经系统永久性的功能障碍。神经系统永久性的功能障碍，指疾病首次确诊 180 日后，仍残留下列一种或一种以上障碍：</w:t>
      </w:r>
    </w:p>
    <w:p>
      <w:pPr>
        <w:pStyle w:val="BodyText"/>
        <w:spacing w:before="7"/>
        <w:ind w:left="1968"/>
      </w:pPr>
      <w:r>
        <w:rPr/>
        <w:t>（1）一肢或一肢以上肢体机能完全丧失；</w:t>
      </w:r>
    </w:p>
    <w:p>
      <w:pPr>
        <w:pStyle w:val="BodyText"/>
        <w:spacing w:before="36"/>
        <w:ind w:left="1968"/>
      </w:pPr>
      <w:r>
        <w:rPr/>
        <w:t>（2）语言能力或咀嚼吞咽能力完全丧失；</w:t>
      </w:r>
    </w:p>
    <w:p>
      <w:pPr>
        <w:pStyle w:val="BodyText"/>
        <w:spacing w:line="273" w:lineRule="auto" w:before="36"/>
        <w:ind w:left="1968" w:right="218"/>
      </w:pPr>
      <w:r>
        <w:rPr/>
        <w:t>（3）自主生活能力完全丧失，无法独立完成六项基本日常生活活动中的三项或三项以上。</w:t>
      </w:r>
    </w:p>
    <w:p>
      <w:pPr>
        <w:pStyle w:val="BodyText"/>
        <w:spacing w:before="5"/>
        <w:rPr>
          <w:sz w:val="24"/>
        </w:rPr>
      </w:pPr>
    </w:p>
    <w:p>
      <w:pPr>
        <w:pStyle w:val="Heading6"/>
      </w:pPr>
      <w:r>
        <w:rPr>
          <w:w w:val="95"/>
        </w:rPr>
        <w:t>（十二）深度昏迷</w:t>
      </w:r>
    </w:p>
    <w:p>
      <w:pPr>
        <w:pStyle w:val="BodyText"/>
        <w:spacing w:line="273" w:lineRule="auto"/>
        <w:ind w:left="1968" w:right="112" w:firstLine="431"/>
      </w:pPr>
      <w:r>
        <w:rPr/>
        <w:t>指因疾病或意外伤害导致意识丧失,对外界刺激和体内需求均无反应，昏</w:t>
      </w:r>
      <w:r>
        <w:rPr>
          <w:spacing w:val="-1"/>
        </w:rPr>
        <w:t>迷程度按照格拉斯哥昏迷分级</w:t>
      </w:r>
      <w:r>
        <w:rPr/>
        <w:t>（Glasgow</w:t>
      </w:r>
      <w:r>
        <w:rPr>
          <w:spacing w:val="-56"/>
        </w:rPr>
        <w:t> </w:t>
      </w:r>
      <w:r>
        <w:rPr/>
        <w:t>coma</w:t>
      </w:r>
      <w:r>
        <w:rPr>
          <w:spacing w:val="-55"/>
        </w:rPr>
        <w:t> </w:t>
      </w:r>
      <w:r>
        <w:rPr>
          <w:spacing w:val="-3"/>
        </w:rPr>
        <w:t>scale）</w:t>
      </w:r>
      <w:r>
        <w:rPr>
          <w:spacing w:val="-14"/>
        </w:rPr>
        <w:t>结果为 </w:t>
      </w:r>
      <w:r>
        <w:rPr/>
        <w:t>5</w:t>
      </w:r>
      <w:r>
        <w:rPr>
          <w:spacing w:val="-28"/>
        </w:rPr>
        <w:t> 分或 </w:t>
      </w:r>
      <w:r>
        <w:rPr/>
        <w:t>5</w:t>
      </w:r>
      <w:r>
        <w:rPr>
          <w:spacing w:val="-12"/>
        </w:rPr>
        <w:t> 分以下， </w:t>
      </w:r>
      <w:r>
        <w:rPr>
          <w:spacing w:val="-15"/>
        </w:rPr>
        <w:t>且已经持续使用呼吸机及其它生命维持系统 </w:t>
      </w:r>
      <w:r>
        <w:rPr/>
        <w:t>96</w:t>
      </w:r>
      <w:r>
        <w:rPr>
          <w:spacing w:val="-12"/>
        </w:rPr>
        <w:t> 小时以上。</w:t>
      </w:r>
    </w:p>
    <w:p>
      <w:pPr>
        <w:pStyle w:val="BodyText"/>
        <w:spacing w:before="7"/>
        <w:ind w:left="2400"/>
      </w:pPr>
      <w:r>
        <w:rPr/>
        <w:t>由于酗酒或药物滥用导致的深度昏迷不在保障范围内。</w:t>
      </w:r>
    </w:p>
    <w:p>
      <w:pPr>
        <w:pStyle w:val="BodyText"/>
        <w:spacing w:before="8"/>
        <w:rPr>
          <w:sz w:val="26"/>
        </w:rPr>
      </w:pPr>
    </w:p>
    <w:p>
      <w:pPr>
        <w:pStyle w:val="Heading6"/>
      </w:pPr>
      <w:r>
        <w:rPr>
          <w:w w:val="95"/>
        </w:rPr>
        <w:t>（十三）双耳失聪</w:t>
      </w:r>
    </w:p>
    <w:p>
      <w:pPr>
        <w:pStyle w:val="BodyText"/>
        <w:ind w:left="2400"/>
      </w:pPr>
      <w:r>
        <w:rPr/>
        <w:t>指因疾病或意外伤害导致双耳听力永久不可逆性丧失，在 500 赫兹、1000</w:t>
      </w:r>
    </w:p>
    <w:p>
      <w:pPr>
        <w:pStyle w:val="BodyText"/>
        <w:spacing w:line="273" w:lineRule="auto"/>
        <w:ind w:left="1968" w:right="217"/>
      </w:pPr>
      <w:r>
        <w:rPr>
          <w:spacing w:val="-15"/>
        </w:rPr>
        <w:t>赫兹和 </w:t>
      </w:r>
      <w:r>
        <w:rPr/>
        <w:t>2000</w:t>
      </w:r>
      <w:r>
        <w:rPr>
          <w:spacing w:val="-12"/>
        </w:rPr>
        <w:t> 赫兹语音频率下，平均听阈大于 </w:t>
      </w:r>
      <w:r>
        <w:rPr/>
        <w:t>90</w:t>
      </w:r>
      <w:r>
        <w:rPr>
          <w:spacing w:val="-9"/>
        </w:rPr>
        <w:t> 分贝，且经纯音听力测试、声导抗检测或听觉诱发电位检测等证实。</w:t>
      </w:r>
    </w:p>
    <w:p>
      <w:pPr>
        <w:pStyle w:val="BodyText"/>
        <w:spacing w:before="5"/>
        <w:rPr>
          <w:sz w:val="24"/>
        </w:rPr>
      </w:pPr>
    </w:p>
    <w:p>
      <w:pPr>
        <w:pStyle w:val="Heading6"/>
      </w:pPr>
      <w:r>
        <w:rPr>
          <w:w w:val="95"/>
        </w:rPr>
        <w:t>（十四）双目失明</w:t>
      </w:r>
    </w:p>
    <w:p>
      <w:pPr>
        <w:pStyle w:val="BodyText"/>
        <w:spacing w:line="273" w:lineRule="auto"/>
        <w:ind w:left="1968" w:right="169" w:firstLine="420"/>
      </w:pPr>
      <w:r>
        <w:rPr/>
        <w:t>指因疾病或意外伤害导致双目视力永久不可逆性丧失，双眼中较好眼须满足下列至少一项条件：</w:t>
      </w:r>
    </w:p>
    <w:p>
      <w:pPr>
        <w:pStyle w:val="BodyText"/>
        <w:spacing w:before="8"/>
        <w:ind w:left="1968"/>
      </w:pPr>
      <w:r>
        <w:rPr/>
        <w:t>（1）眼球缺失或摘除；</w:t>
      </w:r>
    </w:p>
    <w:p>
      <w:pPr>
        <w:pStyle w:val="BodyText"/>
        <w:spacing w:line="273" w:lineRule="auto"/>
        <w:ind w:left="1968" w:right="218"/>
      </w:pPr>
      <w:r>
        <w:rPr/>
        <w:t>（2）</w:t>
      </w:r>
      <w:r>
        <w:rPr>
          <w:spacing w:val="-4"/>
        </w:rPr>
        <w:t>矫正视力低于 </w:t>
      </w:r>
      <w:r>
        <w:rPr/>
        <w:t>0.02（采用国际标准视力表，如果使用其他视力表应进行换算</w:t>
      </w:r>
      <w:r>
        <w:rPr>
          <w:spacing w:val="-105"/>
        </w:rPr>
        <w:t>）</w:t>
      </w:r>
      <w:r>
        <w:rPr/>
        <w:t>；</w:t>
      </w:r>
    </w:p>
    <w:p>
      <w:pPr>
        <w:pStyle w:val="BodyText"/>
        <w:spacing w:before="7"/>
        <w:ind w:left="1968"/>
      </w:pPr>
      <w:r>
        <w:rPr/>
        <w:t>（3）视野半径小于 5 度。</w:t>
      </w:r>
    </w:p>
    <w:p>
      <w:pPr>
        <w:pStyle w:val="BodyText"/>
        <w:spacing w:before="8"/>
        <w:rPr>
          <w:sz w:val="26"/>
        </w:rPr>
      </w:pPr>
    </w:p>
    <w:p>
      <w:pPr>
        <w:pStyle w:val="Heading6"/>
      </w:pPr>
      <w:r>
        <w:rPr>
          <w:w w:val="95"/>
        </w:rPr>
        <w:t>（十五）瘫痪</w:t>
      </w:r>
    </w:p>
    <w:p>
      <w:pPr>
        <w:pStyle w:val="BodyText"/>
        <w:spacing w:line="273" w:lineRule="auto"/>
        <w:ind w:left="1968" w:right="217" w:firstLine="431"/>
        <w:jc w:val="both"/>
      </w:pPr>
      <w:r>
        <w:rPr>
          <w:spacing w:val="-2"/>
        </w:rPr>
        <w:t>指因疾病或意外伤害导致两肢或两肢以上肢体机能永久完全丧失。肢体机</w:t>
      </w:r>
      <w:r>
        <w:rPr>
          <w:spacing w:val="-8"/>
        </w:rPr>
        <w:t>能永久完全丧失，指疾病确诊 </w:t>
      </w:r>
      <w:r>
        <w:rPr/>
        <w:t>180</w:t>
      </w:r>
      <w:r>
        <w:rPr>
          <w:spacing w:val="-13"/>
        </w:rPr>
        <w:t> 日后或意外伤害发生 </w:t>
      </w:r>
      <w:r>
        <w:rPr/>
        <w:t>180</w:t>
      </w:r>
      <w:r>
        <w:rPr>
          <w:spacing w:val="-9"/>
        </w:rPr>
        <w:t> 日后，每肢三大关节中的两大关节仍然完全僵硬，或不能随意识活动。</w:t>
      </w:r>
    </w:p>
    <w:p>
      <w:pPr>
        <w:pStyle w:val="BodyText"/>
        <w:spacing w:before="5"/>
        <w:rPr>
          <w:sz w:val="24"/>
        </w:rPr>
      </w:pPr>
    </w:p>
    <w:p>
      <w:pPr>
        <w:pStyle w:val="Heading6"/>
        <w:spacing w:before="1"/>
      </w:pPr>
      <w:r>
        <w:rPr>
          <w:w w:val="95"/>
        </w:rPr>
        <w:t>（十六）心脏瓣膜手术</w:t>
      </w:r>
    </w:p>
    <w:p>
      <w:pPr>
        <w:pStyle w:val="BodyText"/>
        <w:ind w:left="2400"/>
      </w:pPr>
      <w:r>
        <w:rPr/>
        <w:t>指为治疗心脏瓣膜疾病，实际实施了开胸进行的心脏瓣膜置换或修复的手</w:t>
      </w:r>
    </w:p>
    <w:p>
      <w:pPr>
        <w:pStyle w:val="BodyText"/>
        <w:ind w:left="1968"/>
      </w:pPr>
      <w:r>
        <w:rPr/>
        <w:t>术。</w:t>
      </w:r>
    </w:p>
    <w:p>
      <w:pPr>
        <w:spacing w:after="0"/>
        <w:sectPr>
          <w:pgSz w:w="11910" w:h="16840"/>
          <w:pgMar w:top="1100" w:bottom="280" w:left="1680" w:right="920"/>
        </w:sectPr>
      </w:pPr>
    </w:p>
    <w:p>
      <w:pPr>
        <w:pStyle w:val="Heading6"/>
        <w:spacing w:before="19"/>
      </w:pPr>
      <w:r>
        <w:rPr>
          <w:w w:val="95"/>
        </w:rPr>
        <w:t>（十七）严重阿尔茨海默病</w:t>
      </w:r>
    </w:p>
    <w:p>
      <w:pPr>
        <w:pStyle w:val="BodyText"/>
        <w:spacing w:line="273" w:lineRule="auto"/>
        <w:ind w:left="1968" w:right="136" w:firstLine="431"/>
        <w:jc w:val="both"/>
      </w:pPr>
      <w:r>
        <w:rPr>
          <w:spacing w:val="-4"/>
        </w:rPr>
        <w:t>指因大脑进行性、不可逆性改变导致智能严重衰退或丧失，临床表现为明</w:t>
      </w:r>
      <w:r>
        <w:rPr>
          <w:spacing w:val="-6"/>
        </w:rPr>
        <w:t>显的认知能力障碍、行为异常和社交能力减退，其日常生活必须持续受到他人</w:t>
      </w:r>
      <w:r>
        <w:rPr>
          <w:spacing w:val="-5"/>
        </w:rPr>
        <w:t>监护。须由头颅断层扫描</w:t>
      </w:r>
      <w:r>
        <w:rPr/>
        <w:t>（CT</w:t>
      </w:r>
      <w:r>
        <w:rPr>
          <w:spacing w:val="-105"/>
        </w:rPr>
        <w:t>）</w:t>
      </w:r>
      <w:r>
        <w:rPr>
          <w:spacing w:val="-4"/>
        </w:rPr>
        <w:t>、核磁共振检查</w:t>
      </w:r>
      <w:r>
        <w:rPr/>
        <w:t>（MRI</w:t>
      </w:r>
      <w:r>
        <w:rPr>
          <w:spacing w:val="-5"/>
        </w:rPr>
        <w:t>）</w:t>
      </w:r>
      <w:r>
        <w:rPr>
          <w:spacing w:val="-1"/>
        </w:rPr>
        <w:t>或正电子发射断层扫描</w:t>
      </w:r>
    </w:p>
    <w:p>
      <w:pPr>
        <w:pStyle w:val="BodyText"/>
        <w:spacing w:line="273" w:lineRule="auto" w:before="7"/>
        <w:ind w:left="1968" w:right="133"/>
      </w:pPr>
      <w:r>
        <w:rPr/>
        <w:t>（PET）等影像学检查证实，自主生活能力完全丧失，无法独立完成六项基本日常生活活动中的三项或三项以上。</w:t>
      </w:r>
    </w:p>
    <w:p>
      <w:pPr>
        <w:pStyle w:val="BodyText"/>
        <w:spacing w:before="7"/>
        <w:ind w:left="2399"/>
      </w:pPr>
      <w:r>
        <w:rPr/>
        <w:t>神经官能症和精神疾病不在保障范围内。</w:t>
      </w:r>
    </w:p>
    <w:p>
      <w:pPr>
        <w:pStyle w:val="BodyText"/>
        <w:spacing w:before="8"/>
        <w:rPr>
          <w:sz w:val="26"/>
        </w:rPr>
      </w:pPr>
    </w:p>
    <w:p>
      <w:pPr>
        <w:pStyle w:val="Heading6"/>
        <w:spacing w:before="1"/>
      </w:pPr>
      <w:r>
        <w:rPr>
          <w:w w:val="95"/>
        </w:rPr>
        <w:t>（十八）严重脑损伤</w:t>
      </w:r>
    </w:p>
    <w:p>
      <w:pPr>
        <w:pStyle w:val="BodyText"/>
        <w:spacing w:line="273" w:lineRule="auto"/>
        <w:ind w:left="1968" w:right="136" w:firstLine="431"/>
        <w:jc w:val="both"/>
      </w:pPr>
      <w:r>
        <w:rPr>
          <w:spacing w:val="-3"/>
        </w:rPr>
        <w:t>指因头部遭受机械性外力，引起脑重要部位损伤，导致神经系统永久性的</w:t>
      </w:r>
      <w:r>
        <w:rPr>
          <w:spacing w:val="-5"/>
        </w:rPr>
        <w:t>功能障碍。须由头颅断层扫描</w:t>
      </w:r>
      <w:r>
        <w:rPr/>
        <w:t>（CT</w:t>
      </w:r>
      <w:r>
        <w:rPr>
          <w:spacing w:val="-106"/>
        </w:rPr>
        <w:t>）</w:t>
      </w:r>
      <w:r>
        <w:rPr>
          <w:spacing w:val="-3"/>
        </w:rPr>
        <w:t>、核磁共振检查</w:t>
      </w:r>
      <w:r>
        <w:rPr/>
        <w:t>（MRI</w:t>
      </w:r>
      <w:r>
        <w:rPr>
          <w:spacing w:val="-7"/>
        </w:rPr>
        <w:t>）</w:t>
      </w:r>
      <w:r>
        <w:rPr/>
        <w:t>或正电子发射断层扫描（PET）</w:t>
      </w:r>
      <w:r>
        <w:rPr>
          <w:spacing w:val="1"/>
        </w:rPr>
        <w:t>等影像学检查证实。神经系统永久性的功能障碍，指脑损伤 </w:t>
      </w:r>
      <w:r>
        <w:rPr/>
        <w:t>180 日后，仍遗留下列一种或一种以上障碍：</w:t>
      </w:r>
    </w:p>
    <w:p>
      <w:pPr>
        <w:pStyle w:val="BodyText"/>
        <w:spacing w:before="7"/>
        <w:ind w:left="1968"/>
      </w:pPr>
      <w:r>
        <w:rPr/>
        <w:t>（1）一肢或一肢以上肢体机能完全丧失；</w:t>
      </w:r>
    </w:p>
    <w:p>
      <w:pPr>
        <w:pStyle w:val="BodyText"/>
        <w:spacing w:before="36"/>
        <w:ind w:left="1968"/>
      </w:pPr>
      <w:r>
        <w:rPr/>
        <w:t>（2）语言能力或咀嚼吞咽能力完全丧失；</w:t>
      </w:r>
    </w:p>
    <w:p>
      <w:pPr>
        <w:pStyle w:val="BodyText"/>
        <w:spacing w:line="273" w:lineRule="auto" w:before="36"/>
        <w:ind w:left="1968" w:right="138"/>
      </w:pPr>
      <w:r>
        <w:rPr/>
        <w:t>（3）自主生活能力完全丧失，无法独立完成六项基本日常生活活动中的三项或三项以上。</w:t>
      </w:r>
    </w:p>
    <w:p>
      <w:pPr>
        <w:pStyle w:val="BodyText"/>
        <w:spacing w:before="5"/>
        <w:rPr>
          <w:sz w:val="24"/>
        </w:rPr>
      </w:pPr>
    </w:p>
    <w:p>
      <w:pPr>
        <w:pStyle w:val="Heading6"/>
      </w:pPr>
      <w:r>
        <w:rPr>
          <w:w w:val="95"/>
        </w:rPr>
        <w:t>（十九）严重帕金森病</w:t>
      </w:r>
    </w:p>
    <w:p>
      <w:pPr>
        <w:pStyle w:val="BodyText"/>
        <w:spacing w:line="273" w:lineRule="auto"/>
        <w:ind w:left="1968" w:right="102" w:firstLine="431"/>
        <w:jc w:val="both"/>
      </w:pPr>
      <w:r>
        <w:rPr/>
        <w:t>指一种中枢神经系统的退行性疾病，临床表现为震颤麻痹、共济失调等。须满足下列全部条件：</w:t>
      </w:r>
    </w:p>
    <w:p>
      <w:pPr>
        <w:pStyle w:val="BodyText"/>
        <w:spacing w:before="8"/>
        <w:ind w:left="1968"/>
      </w:pPr>
      <w:r>
        <w:rPr/>
        <w:t>（1）药物治疗无法控制病情；</w:t>
      </w:r>
    </w:p>
    <w:p>
      <w:pPr>
        <w:pStyle w:val="BodyText"/>
        <w:spacing w:line="273" w:lineRule="auto"/>
        <w:ind w:left="1968" w:right="138"/>
      </w:pPr>
      <w:r>
        <w:rPr/>
        <w:t>（2）自主生活能力完全丧失，无法独立完成六项基本日常生活活动中的三项或三项以上。</w:t>
      </w:r>
    </w:p>
    <w:p>
      <w:pPr>
        <w:pStyle w:val="BodyText"/>
        <w:spacing w:before="7"/>
        <w:ind w:left="2688"/>
      </w:pPr>
      <w:r>
        <w:rPr/>
        <w:t>继发性帕金森综合征不在保障范围内。</w:t>
      </w:r>
    </w:p>
    <w:p>
      <w:pPr>
        <w:pStyle w:val="BodyText"/>
        <w:spacing w:before="8"/>
        <w:rPr>
          <w:sz w:val="26"/>
        </w:rPr>
      </w:pPr>
    </w:p>
    <w:p>
      <w:pPr>
        <w:pStyle w:val="Heading6"/>
      </w:pPr>
      <w:r>
        <w:rPr/>
        <w:t>（二十）严重 III 度烧伤</w:t>
      </w:r>
    </w:p>
    <w:p>
      <w:pPr>
        <w:pStyle w:val="BodyText"/>
        <w:spacing w:line="273" w:lineRule="auto" w:before="36"/>
        <w:ind w:left="1968" w:right="136" w:firstLine="431"/>
        <w:jc w:val="both"/>
      </w:pPr>
      <w:r>
        <w:rPr>
          <w:spacing w:val="-1"/>
        </w:rPr>
        <w:t>指烧伤程度为Ⅲ度，且Ⅲ度烧伤面积达到全身体表面积的 </w:t>
      </w:r>
      <w:r>
        <w:rPr/>
        <w:t>20％</w:t>
      </w:r>
      <w:r>
        <w:rPr>
          <w:spacing w:val="-10"/>
        </w:rPr>
        <w:t>或 </w:t>
      </w:r>
      <w:r>
        <w:rPr/>
        <w:t>20％以</w:t>
      </w:r>
      <w:r>
        <w:rPr>
          <w:spacing w:val="-1"/>
        </w:rPr>
        <w:t>上。体表面积根据 《中国新九分法》计算。</w:t>
      </w:r>
    </w:p>
    <w:p>
      <w:pPr>
        <w:pStyle w:val="BodyText"/>
        <w:spacing w:before="5"/>
        <w:rPr>
          <w:sz w:val="24"/>
        </w:rPr>
      </w:pPr>
    </w:p>
    <w:p>
      <w:pPr>
        <w:pStyle w:val="Heading6"/>
      </w:pPr>
      <w:r>
        <w:rPr>
          <w:w w:val="95"/>
        </w:rPr>
        <w:t>（二十一）严重原发性肺动脉高压</w:t>
      </w:r>
    </w:p>
    <w:p>
      <w:pPr>
        <w:pStyle w:val="BodyText"/>
        <w:spacing w:line="273" w:lineRule="auto"/>
        <w:ind w:left="1968" w:right="137" w:firstLine="431"/>
        <w:jc w:val="both"/>
      </w:pPr>
      <w:r>
        <w:rPr>
          <w:spacing w:val="-3"/>
        </w:rPr>
        <w:t>指不明原因的肺动脉压力持续性增高，进行性发展而导致的慢性疾病，已</w:t>
      </w:r>
      <w:r>
        <w:rPr>
          <w:spacing w:val="-5"/>
        </w:rPr>
        <w:t>经造成永久不可逆性的体力活动能力受限，达到美国纽约心脏病学会心功能状</w:t>
      </w:r>
      <w:r>
        <w:rPr>
          <w:spacing w:val="-20"/>
        </w:rPr>
        <w:t>态分级 </w:t>
      </w:r>
      <w:r>
        <w:rPr/>
        <w:t>IV</w:t>
      </w:r>
      <w:r>
        <w:rPr>
          <w:spacing w:val="-12"/>
        </w:rPr>
        <w:t> 级，静息状态下肺动脉平均压超过 </w:t>
      </w:r>
      <w:r>
        <w:rPr/>
        <w:t>30mmHg。</w:t>
      </w:r>
    </w:p>
    <w:p>
      <w:pPr>
        <w:pStyle w:val="BodyText"/>
        <w:spacing w:before="5"/>
        <w:rPr>
          <w:sz w:val="24"/>
        </w:rPr>
      </w:pPr>
    </w:p>
    <w:p>
      <w:pPr>
        <w:pStyle w:val="Heading6"/>
      </w:pPr>
      <w:r>
        <w:rPr>
          <w:w w:val="95"/>
        </w:rPr>
        <w:t>（二十二）严重运动神经元病</w:t>
      </w:r>
    </w:p>
    <w:p>
      <w:pPr>
        <w:pStyle w:val="BodyText"/>
        <w:spacing w:line="273" w:lineRule="auto" w:before="36"/>
        <w:ind w:left="1968" w:right="137" w:firstLine="431"/>
        <w:jc w:val="both"/>
      </w:pPr>
      <w:r>
        <w:rPr>
          <w:spacing w:val="-2"/>
        </w:rPr>
        <w:t>是一组中枢神经系统运动神经元的进行性变性疾病，包括进行性脊肌萎缩</w:t>
      </w:r>
      <w:r>
        <w:rPr>
          <w:spacing w:val="-6"/>
        </w:rPr>
        <w:t>症、进行性延髓麻痹症、原发性侧索硬化症、肌萎缩性侧索硬化症。须满足自</w:t>
      </w:r>
      <w:r>
        <w:rPr>
          <w:spacing w:val="-8"/>
        </w:rPr>
        <w:t>主生活能力完全丧失，无法独立完成六项基本日常生活活动中的三项或三项以上。</w:t>
      </w:r>
    </w:p>
    <w:p>
      <w:pPr>
        <w:pStyle w:val="BodyText"/>
        <w:spacing w:before="5"/>
        <w:rPr>
          <w:sz w:val="24"/>
        </w:rPr>
      </w:pPr>
    </w:p>
    <w:p>
      <w:pPr>
        <w:pStyle w:val="Heading6"/>
      </w:pPr>
      <w:r>
        <w:rPr>
          <w:w w:val="95"/>
        </w:rPr>
        <w:t>（二十三）语言能力丧失</w:t>
      </w:r>
    </w:p>
    <w:p>
      <w:pPr>
        <w:pStyle w:val="BodyText"/>
        <w:ind w:left="2399"/>
      </w:pPr>
      <w:r>
        <w:rPr/>
        <w:t>指因疾病或意外伤害导致完全丧失语言能力，经过积极治疗至少 12 个月</w:t>
      </w:r>
    </w:p>
    <w:p>
      <w:pPr>
        <w:pStyle w:val="BodyText"/>
        <w:spacing w:line="273" w:lineRule="auto"/>
        <w:ind w:left="2400" w:right="1059" w:hanging="433"/>
      </w:pPr>
      <w:r>
        <w:rPr/>
        <w:t>（声带完全切除不受此时间限制</w:t>
      </w:r>
      <w:r>
        <w:rPr>
          <w:spacing w:val="-105"/>
        </w:rPr>
        <w:t>）</w:t>
      </w:r>
      <w:r>
        <w:rPr>
          <w:spacing w:val="-1"/>
        </w:rPr>
        <w:t>，仍无法通过现有医疗手段恢复。精神心理因素所致的语言能力丧失不在保障范围内。</w:t>
      </w:r>
    </w:p>
    <w:p>
      <w:pPr>
        <w:spacing w:after="0" w:line="273" w:lineRule="auto"/>
        <w:sectPr>
          <w:pgSz w:w="11910" w:h="16840"/>
          <w:pgMar w:top="1100" w:bottom="280" w:left="1680" w:right="1000"/>
        </w:sectPr>
      </w:pPr>
    </w:p>
    <w:p>
      <w:pPr>
        <w:pStyle w:val="Heading6"/>
        <w:spacing w:before="19"/>
      </w:pPr>
      <w:r>
        <w:rPr>
          <w:w w:val="95"/>
        </w:rPr>
        <w:t>（二十四）重型再生障碍性贫血</w:t>
      </w:r>
    </w:p>
    <w:p>
      <w:pPr>
        <w:pStyle w:val="BodyText"/>
        <w:spacing w:line="273" w:lineRule="auto"/>
        <w:ind w:left="1968" w:right="137" w:firstLine="431"/>
        <w:jc w:val="both"/>
      </w:pPr>
      <w:r>
        <w:rPr>
          <w:spacing w:val="-2"/>
        </w:rPr>
        <w:t>指因骨髓造血功能慢性持续性衰竭导致的贫血、中性粒细胞减少及血小板减少，须满足下列全部条件：</w:t>
      </w:r>
    </w:p>
    <w:p>
      <w:pPr>
        <w:pStyle w:val="BodyText"/>
        <w:spacing w:before="7"/>
        <w:ind w:left="1968"/>
      </w:pPr>
      <w:r>
        <w:rPr/>
        <w:t>（1）骨髓穿刺检查或骨髓活检结果支持诊断；</w:t>
      </w:r>
    </w:p>
    <w:p>
      <w:pPr>
        <w:pStyle w:val="BodyText"/>
        <w:spacing w:before="36"/>
        <w:ind w:left="1968"/>
      </w:pPr>
      <w:r>
        <w:rPr/>
        <w:t>（2）外周血象必须具备以下三项条件：</w:t>
      </w:r>
    </w:p>
    <w:p>
      <w:pPr>
        <w:pStyle w:val="BodyText"/>
        <w:spacing w:before="36"/>
        <w:ind w:left="2612" w:right="3162"/>
        <w:jc w:val="center"/>
      </w:pPr>
      <w:r>
        <w:rPr/>
        <w:t>① 中性粒细胞绝对值≤0.5×10</w:t>
      </w:r>
      <w:r>
        <w:rPr>
          <w:position w:val="11"/>
          <w:sz w:val="11"/>
        </w:rPr>
        <w:t>9</w:t>
      </w:r>
      <w:r>
        <w:rPr/>
        <w:t>/L；</w:t>
      </w:r>
    </w:p>
    <w:p>
      <w:pPr>
        <w:pStyle w:val="BodyText"/>
        <w:spacing w:before="36"/>
        <w:ind w:left="2628"/>
      </w:pPr>
      <w:r>
        <w:rPr/>
        <w:t>② 网织红细胞＜1%；</w:t>
      </w:r>
    </w:p>
    <w:p>
      <w:pPr>
        <w:pStyle w:val="BodyText"/>
        <w:spacing w:before="36"/>
        <w:ind w:left="2628"/>
      </w:pPr>
      <w:r>
        <w:rPr/>
        <w:t>③ 血小板绝对值≤20×10</w:t>
      </w:r>
      <w:r>
        <w:rPr>
          <w:position w:val="11"/>
          <w:sz w:val="11"/>
        </w:rPr>
        <w:t>9</w:t>
      </w:r>
      <w:r>
        <w:rPr/>
        <w:t>/L。</w:t>
      </w:r>
    </w:p>
    <w:p>
      <w:pPr>
        <w:pStyle w:val="BodyText"/>
        <w:spacing w:before="8"/>
        <w:rPr>
          <w:sz w:val="26"/>
        </w:rPr>
      </w:pPr>
    </w:p>
    <w:p>
      <w:pPr>
        <w:pStyle w:val="Heading6"/>
        <w:ind w:left="1967"/>
      </w:pPr>
      <w:r>
        <w:rPr>
          <w:w w:val="95"/>
        </w:rPr>
        <w:t>（二十五）主动脉手术</w:t>
      </w:r>
    </w:p>
    <w:p>
      <w:pPr>
        <w:pStyle w:val="BodyText"/>
        <w:spacing w:line="273" w:lineRule="auto"/>
        <w:ind w:left="1967" w:right="137" w:firstLine="431"/>
        <w:jc w:val="both"/>
      </w:pPr>
      <w:r>
        <w:rPr>
          <w:spacing w:val="-4"/>
        </w:rPr>
        <w:t>指为治疗主动脉疾病，实际实施了开胸或开腹进行的切除、置换、修补病</w:t>
      </w:r>
      <w:r>
        <w:rPr>
          <w:spacing w:val="-6"/>
        </w:rPr>
        <w:t>损主动脉血管的手术。主动脉指胸主动脉和腹主动脉，不包括胸主动脉和腹主</w:t>
      </w:r>
      <w:r>
        <w:rPr>
          <w:spacing w:val="-1"/>
        </w:rPr>
        <w:t>动脉的分支血管。</w:t>
      </w:r>
    </w:p>
    <w:p>
      <w:pPr>
        <w:pStyle w:val="BodyText"/>
        <w:spacing w:before="8"/>
        <w:ind w:left="2399"/>
      </w:pPr>
      <w:r>
        <w:rPr/>
        <w:t>动脉内血管成形术不在保障范围内。</w:t>
      </w:r>
    </w:p>
    <w:p>
      <w:pPr>
        <w:pStyle w:val="BodyText"/>
        <w:spacing w:before="9"/>
        <w:rPr>
          <w:sz w:val="26"/>
        </w:rPr>
      </w:pPr>
    </w:p>
    <w:p>
      <w:pPr>
        <w:pStyle w:val="BodyText"/>
        <w:spacing w:line="273" w:lineRule="auto" w:before="0"/>
        <w:ind w:left="1967" w:right="138"/>
      </w:pPr>
      <w:r>
        <w:rPr/>
        <w:t>以下重大疾病定义是本公司在中国保险行业协会与中国医师协会共同制定的重大疾病保险的疾病种类范围以外增加的重大疾病定义。</w:t>
      </w:r>
    </w:p>
    <w:p>
      <w:pPr>
        <w:pStyle w:val="BodyText"/>
        <w:spacing w:before="5"/>
        <w:rPr>
          <w:sz w:val="24"/>
        </w:rPr>
      </w:pPr>
    </w:p>
    <w:p>
      <w:pPr>
        <w:pStyle w:val="Heading6"/>
        <w:ind w:left="1967"/>
      </w:pPr>
      <w:r>
        <w:rPr>
          <w:w w:val="95"/>
        </w:rPr>
        <w:t>（二十六）慢性呼吸功能衰竭</w:t>
      </w:r>
    </w:p>
    <w:p>
      <w:pPr>
        <w:pStyle w:val="BodyText"/>
        <w:spacing w:line="273" w:lineRule="auto" w:before="36"/>
        <w:ind w:left="1967" w:right="137" w:firstLine="431"/>
        <w:jc w:val="both"/>
      </w:pPr>
      <w:r>
        <w:rPr>
          <w:spacing w:val="-2"/>
        </w:rPr>
        <w:t>慢性肺部疾病导致永久不可逆性的慢性呼吸功能衰竭，必须由呼吸专科医师确认并符合下列所有条件：</w:t>
      </w:r>
    </w:p>
    <w:p>
      <w:pPr>
        <w:pStyle w:val="BodyText"/>
        <w:spacing w:before="7"/>
        <w:ind w:left="2399"/>
      </w:pPr>
      <w:r>
        <w:rPr/>
        <w:t>（1）休息时出现呼吸困难；</w:t>
      </w:r>
    </w:p>
    <w:p>
      <w:pPr>
        <w:pStyle w:val="BodyText"/>
        <w:spacing w:before="36"/>
        <w:ind w:left="2399"/>
      </w:pPr>
      <w:r>
        <w:rPr>
          <w:position w:val="1"/>
        </w:rPr>
        <w:t>（2）</w:t>
      </w:r>
      <w:r>
        <w:rPr>
          <w:spacing w:val="-1"/>
          <w:position w:val="1"/>
        </w:rPr>
        <w:t>动脉血氧分压 </w:t>
      </w:r>
      <w:r>
        <w:rPr>
          <w:position w:val="1"/>
        </w:rPr>
        <w:t>（PaO</w:t>
      </w:r>
      <w:r>
        <w:rPr>
          <w:spacing w:val="-52"/>
          <w:position w:val="1"/>
        </w:rPr>
        <w:t> </w:t>
      </w:r>
      <w:r>
        <w:rPr>
          <w:sz w:val="11"/>
        </w:rPr>
        <w:t>2 </w:t>
      </w:r>
      <w:r>
        <w:rPr>
          <w:position w:val="1"/>
        </w:rPr>
        <w:t>）</w:t>
      </w:r>
      <w:r>
        <w:rPr>
          <w:spacing w:val="-3"/>
          <w:position w:val="1"/>
        </w:rPr>
        <w:t>&lt; </w:t>
      </w:r>
      <w:r>
        <w:rPr>
          <w:position w:val="1"/>
        </w:rPr>
        <w:t>50mmHg；</w:t>
      </w:r>
    </w:p>
    <w:p>
      <w:pPr>
        <w:pStyle w:val="BodyText"/>
        <w:spacing w:before="36"/>
        <w:ind w:left="2399"/>
      </w:pPr>
      <w:r>
        <w:rPr>
          <w:position w:val="1"/>
        </w:rPr>
        <w:t>（3）</w:t>
      </w:r>
      <w:r>
        <w:rPr>
          <w:spacing w:val="-1"/>
          <w:position w:val="1"/>
        </w:rPr>
        <w:t>动脉血氧饱和度 </w:t>
      </w:r>
      <w:r>
        <w:rPr>
          <w:position w:val="1"/>
        </w:rPr>
        <w:t>（SaO</w:t>
      </w:r>
      <w:r>
        <w:rPr>
          <w:spacing w:val="-51"/>
          <w:position w:val="1"/>
        </w:rPr>
        <w:t> </w:t>
      </w:r>
      <w:r>
        <w:rPr>
          <w:sz w:val="11"/>
        </w:rPr>
        <w:t>2 </w:t>
      </w:r>
      <w:r>
        <w:rPr>
          <w:position w:val="1"/>
        </w:rPr>
        <w:t>）</w:t>
      </w:r>
      <w:r>
        <w:rPr>
          <w:spacing w:val="-2"/>
          <w:position w:val="1"/>
        </w:rPr>
        <w:t>&lt; </w:t>
      </w:r>
      <w:r>
        <w:rPr>
          <w:position w:val="1"/>
        </w:rPr>
        <w:t>80％；</w:t>
      </w:r>
    </w:p>
    <w:p>
      <w:pPr>
        <w:pStyle w:val="BodyText"/>
        <w:ind w:left="2399"/>
      </w:pPr>
      <w:r>
        <w:rPr/>
        <w:t>（4）因缺氧必须接受持续的输氧治疗。</w:t>
      </w:r>
    </w:p>
    <w:p>
      <w:pPr>
        <w:pStyle w:val="BodyText"/>
        <w:spacing w:before="8"/>
        <w:rPr>
          <w:sz w:val="26"/>
        </w:rPr>
      </w:pPr>
    </w:p>
    <w:p>
      <w:pPr>
        <w:pStyle w:val="Heading6"/>
        <w:spacing w:before="1"/>
      </w:pPr>
      <w:r>
        <w:rPr>
          <w:w w:val="95"/>
        </w:rPr>
        <w:t>（二十七）严重多发性硬化</w:t>
      </w:r>
    </w:p>
    <w:p>
      <w:pPr>
        <w:pStyle w:val="BodyText"/>
        <w:spacing w:line="273" w:lineRule="auto"/>
        <w:ind w:left="1968" w:right="102" w:firstLine="431"/>
        <w:jc w:val="both"/>
      </w:pP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ind w:left="2399"/>
      </w:pPr>
      <w:r>
        <w:rPr/>
        <w:t>（1）移动：自己从一个房间移动到另一个房间；或者</w:t>
      </w:r>
    </w:p>
    <w:p>
      <w:pPr>
        <w:pStyle w:val="BodyText"/>
        <w:spacing w:before="36"/>
        <w:ind w:left="2399"/>
      </w:pPr>
      <w:r>
        <w:rPr/>
        <w:t>（2）进食：自己从已准备好的碗或碟中取食物放入口中。</w:t>
      </w:r>
    </w:p>
    <w:p>
      <w:pPr>
        <w:pStyle w:val="BodyText"/>
        <w:spacing w:before="8"/>
        <w:rPr>
          <w:sz w:val="26"/>
        </w:rPr>
      </w:pPr>
    </w:p>
    <w:p>
      <w:pPr>
        <w:pStyle w:val="Heading6"/>
      </w:pPr>
      <w:r>
        <w:rPr>
          <w:w w:val="95"/>
        </w:rPr>
        <w:t>（二十八）严重冠心病</w:t>
      </w:r>
    </w:p>
    <w:p>
      <w:pPr>
        <w:pStyle w:val="BodyText"/>
        <w:spacing w:line="273" w:lineRule="auto"/>
        <w:ind w:left="1968" w:right="135" w:firstLine="431"/>
        <w:jc w:val="both"/>
      </w:pPr>
      <w:r>
        <w:rPr>
          <w:spacing w:val="-2"/>
        </w:rPr>
        <w:t>指经心脏科专科医师根据冠状动脉造影检查结果确诊的三支主要血管</w:t>
      </w:r>
      <w:r>
        <w:rPr/>
        <w:t>（左</w:t>
      </w:r>
      <w:r>
        <w:rPr>
          <w:spacing w:val="-2"/>
        </w:rPr>
        <w:t>冠状动脉主干和右冠状动脉，或前降支、左旋支和右冠状动脉</w:t>
      </w:r>
      <w:r>
        <w:rPr>
          <w:spacing w:val="-8"/>
        </w:rPr>
        <w:t>）</w:t>
      </w:r>
      <w:r>
        <w:rPr/>
        <w:t>严重狭窄性病变（</w:t>
      </w:r>
      <w:r>
        <w:rPr>
          <w:spacing w:val="-1"/>
        </w:rPr>
        <w:t>至少一支血管管腔直径减少 </w:t>
      </w:r>
      <w:r>
        <w:rPr/>
        <w:t>75％</w:t>
      </w:r>
      <w:r>
        <w:rPr>
          <w:spacing w:val="-1"/>
        </w:rPr>
        <w:t>以上和其他两支血管管腔直径减少 </w:t>
      </w:r>
      <w:r>
        <w:rPr/>
        <w:t>60％ 以上</w:t>
      </w:r>
      <w:r>
        <w:rPr>
          <w:spacing w:val="-102"/>
        </w:rPr>
        <w:t>）</w:t>
      </w:r>
      <w:r>
        <w:rPr/>
        <w:t>。前降支、左旋支及右冠状动脉的分支血管的狭窄不作为本保障的衡量指标。</w:t>
      </w:r>
    </w:p>
    <w:p>
      <w:pPr>
        <w:pStyle w:val="BodyText"/>
        <w:spacing w:before="5"/>
        <w:rPr>
          <w:sz w:val="24"/>
        </w:rPr>
      </w:pPr>
    </w:p>
    <w:p>
      <w:pPr>
        <w:pStyle w:val="Heading6"/>
        <w:spacing w:before="1"/>
      </w:pPr>
      <w:r>
        <w:rPr>
          <w:w w:val="95"/>
        </w:rPr>
        <w:t>（二十九）严重心肌病</w:t>
      </w:r>
    </w:p>
    <w:p>
      <w:pPr>
        <w:pStyle w:val="BodyText"/>
        <w:spacing w:line="273" w:lineRule="auto"/>
        <w:ind w:left="1968" w:right="102" w:firstLine="431"/>
        <w:jc w:val="both"/>
      </w:pPr>
      <w:r>
        <w:rPr/>
        <w:t>指被保人因心肌病导致慢性心功能损害造成永久不可逆性的心功能衰竭， 心功能衰竭程度达到纽约心脏病学会的心功能分级标准之心功能 IV 级。被保险人永久不可逆性的体力活动能力受限，不能从事任何体力活动。</w:t>
      </w:r>
    </w:p>
    <w:p>
      <w:pPr>
        <w:pStyle w:val="BodyText"/>
        <w:spacing w:before="5"/>
        <w:rPr>
          <w:sz w:val="24"/>
        </w:rPr>
      </w:pPr>
    </w:p>
    <w:p>
      <w:pPr>
        <w:pStyle w:val="Heading6"/>
      </w:pPr>
      <w:r>
        <w:rPr/>
        <w:t>（三十）系统性红斑狼疮 － III 型或 III 型以上狼疮性肾炎</w:t>
      </w:r>
    </w:p>
    <w:p>
      <w:pPr>
        <w:spacing w:after="0"/>
        <w:sectPr>
          <w:pgSz w:w="11910" w:h="16840"/>
          <w:pgMar w:top="1100" w:bottom="280" w:left="1680" w:right="1000"/>
        </w:sectPr>
      </w:pPr>
    </w:p>
    <w:p>
      <w:pPr>
        <w:spacing w:line="259" w:lineRule="auto" w:before="11"/>
        <w:ind w:left="1968" w:right="301" w:firstLine="431"/>
        <w:jc w:val="left"/>
        <w:rPr>
          <w:sz w:val="22"/>
        </w:rPr>
      </w:pPr>
      <w:r>
        <w:rPr>
          <w:sz w:val="22"/>
        </w:rPr>
        <w:t>系统性红斑狼疮是由多种因素引起，累及多系统的自身免疫性疾病。</w:t>
      </w:r>
      <w:r>
        <w:rPr>
          <w:w w:val="95"/>
          <w:sz w:val="22"/>
        </w:rPr>
        <w:t>其特点是生成自身抗体对抗多种自身抗原。多见于育龄妇女。</w:t>
      </w:r>
    </w:p>
    <w:p>
      <w:pPr>
        <w:spacing w:line="259" w:lineRule="auto" w:before="6"/>
        <w:ind w:left="1968" w:right="292" w:firstLine="431"/>
        <w:jc w:val="both"/>
        <w:rPr>
          <w:sz w:val="22"/>
        </w:rPr>
      </w:pPr>
      <w:r>
        <w:rPr>
          <w:sz w:val="22"/>
        </w:rPr>
        <w:t>本保单所指的系统性红斑狼疮仅限于累及肾脏（经肾脏活检确认的， </w:t>
      </w:r>
      <w:r>
        <w:rPr>
          <w:spacing w:val="-19"/>
          <w:sz w:val="22"/>
        </w:rPr>
        <w:t>符合 </w:t>
      </w:r>
      <w:r>
        <w:rPr>
          <w:sz w:val="22"/>
        </w:rPr>
        <w:t>WHO</w:t>
      </w:r>
      <w:r>
        <w:rPr>
          <w:spacing w:val="-15"/>
          <w:sz w:val="22"/>
        </w:rPr>
        <w:t> 诊断标准定义 </w:t>
      </w:r>
      <w:r>
        <w:rPr>
          <w:sz w:val="22"/>
        </w:rPr>
        <w:t>III</w:t>
      </w:r>
      <w:r>
        <w:rPr>
          <w:spacing w:val="-30"/>
          <w:sz w:val="22"/>
        </w:rPr>
        <w:t> 型或 </w:t>
      </w:r>
      <w:r>
        <w:rPr>
          <w:sz w:val="22"/>
        </w:rPr>
        <w:t>III</w:t>
      </w:r>
      <w:r>
        <w:rPr>
          <w:spacing w:val="-8"/>
          <w:sz w:val="22"/>
        </w:rPr>
        <w:t> 型以上狼疮性肾炎</w:t>
      </w:r>
      <w:r>
        <w:rPr>
          <w:sz w:val="22"/>
        </w:rPr>
        <w:t>）的系统性红斑狼疮。其他类型的红斑性狼疮，如盘状狼疮、仅累及血液及关节的狼疮不在</w:t>
      </w:r>
      <w:r>
        <w:rPr>
          <w:w w:val="95"/>
          <w:sz w:val="22"/>
        </w:rPr>
        <w:t>本保单保障范围內。</w:t>
      </w:r>
    </w:p>
    <w:p>
      <w:pPr>
        <w:spacing w:before="6"/>
        <w:ind w:left="2400" w:right="0" w:firstLine="0"/>
        <w:jc w:val="left"/>
        <w:rPr>
          <w:sz w:val="22"/>
        </w:rPr>
      </w:pPr>
      <w:r>
        <w:rPr>
          <w:w w:val="95"/>
          <w:sz w:val="22"/>
        </w:rPr>
        <w:t>本病必须由免疫和风湿科专家医师确诊。</w:t>
      </w:r>
    </w:p>
    <w:p>
      <w:pPr>
        <w:pStyle w:val="BodyText"/>
        <w:spacing w:before="8"/>
        <w:rPr>
          <w:sz w:val="25"/>
        </w:rPr>
      </w:pPr>
    </w:p>
    <w:p>
      <w:pPr>
        <w:spacing w:before="1"/>
        <w:ind w:left="1968" w:right="0" w:firstLine="0"/>
        <w:jc w:val="left"/>
        <w:rPr>
          <w:sz w:val="22"/>
        </w:rPr>
      </w:pPr>
      <w:r>
        <w:rPr>
          <w:w w:val="95"/>
          <w:sz w:val="22"/>
          <w:u w:val="single"/>
        </w:rPr>
        <w:t>世界卫生组织（WHO）狼疮性肾炎分型：</w:t>
      </w:r>
    </w:p>
    <w:p>
      <w:pPr>
        <w:pStyle w:val="ListParagraph"/>
        <w:numPr>
          <w:ilvl w:val="0"/>
          <w:numId w:val="7"/>
        </w:numPr>
        <w:tabs>
          <w:tab w:pos="2260" w:val="left" w:leader="none"/>
          <w:tab w:pos="4027" w:val="left" w:leader="none"/>
        </w:tabs>
        <w:spacing w:line="240" w:lineRule="auto" w:before="24" w:after="0"/>
        <w:ind w:left="2259" w:right="0" w:hanging="165"/>
        <w:jc w:val="left"/>
        <w:rPr>
          <w:sz w:val="22"/>
        </w:rPr>
      </w:pPr>
      <w:r>
        <w:rPr>
          <w:sz w:val="22"/>
        </w:rPr>
        <w:t>型</w:t>
        <w:tab/>
      </w:r>
      <w:r>
        <w:rPr>
          <w:w w:val="95"/>
          <w:sz w:val="22"/>
        </w:rPr>
        <w:t>微小病变型</w:t>
      </w:r>
    </w:p>
    <w:p>
      <w:pPr>
        <w:pStyle w:val="ListParagraph"/>
        <w:numPr>
          <w:ilvl w:val="0"/>
          <w:numId w:val="7"/>
        </w:numPr>
        <w:tabs>
          <w:tab w:pos="2370" w:val="left" w:leader="none"/>
          <w:tab w:pos="4026" w:val="left" w:leader="none"/>
        </w:tabs>
        <w:spacing w:line="240" w:lineRule="auto" w:before="24" w:after="0"/>
        <w:ind w:left="2369" w:right="0" w:hanging="275"/>
        <w:jc w:val="left"/>
        <w:rPr>
          <w:sz w:val="22"/>
        </w:rPr>
      </w:pPr>
      <w:r>
        <w:rPr>
          <w:sz w:val="22"/>
        </w:rPr>
        <w:t>型</w:t>
        <w:tab/>
      </w:r>
      <w:r>
        <w:rPr>
          <w:w w:val="95"/>
          <w:sz w:val="22"/>
        </w:rPr>
        <w:t>系膜病变型</w:t>
      </w:r>
    </w:p>
    <w:p>
      <w:pPr>
        <w:pStyle w:val="ListParagraph"/>
        <w:numPr>
          <w:ilvl w:val="0"/>
          <w:numId w:val="7"/>
        </w:numPr>
        <w:tabs>
          <w:tab w:pos="2480" w:val="left" w:leader="none"/>
          <w:tab w:pos="4026" w:val="left" w:leader="none"/>
        </w:tabs>
        <w:spacing w:line="240" w:lineRule="auto" w:before="24" w:after="0"/>
        <w:ind w:left="2479" w:right="0" w:hanging="385"/>
        <w:jc w:val="left"/>
        <w:rPr>
          <w:sz w:val="22"/>
        </w:rPr>
      </w:pPr>
      <w:r>
        <w:rPr>
          <w:sz w:val="22"/>
        </w:rPr>
        <w:t>型</w:t>
        <w:tab/>
      </w:r>
      <w:r>
        <w:rPr>
          <w:w w:val="95"/>
          <w:sz w:val="22"/>
        </w:rPr>
        <w:t>局灶及节段增生型</w:t>
      </w:r>
    </w:p>
    <w:p>
      <w:pPr>
        <w:pStyle w:val="ListParagraph"/>
        <w:numPr>
          <w:ilvl w:val="0"/>
          <w:numId w:val="7"/>
        </w:numPr>
        <w:tabs>
          <w:tab w:pos="2370" w:val="left" w:leader="none"/>
          <w:tab w:pos="4026" w:val="left" w:leader="none"/>
        </w:tabs>
        <w:spacing w:line="240" w:lineRule="auto" w:before="24" w:after="0"/>
        <w:ind w:left="2369" w:right="0" w:hanging="275"/>
        <w:jc w:val="left"/>
        <w:rPr>
          <w:sz w:val="22"/>
        </w:rPr>
      </w:pPr>
      <w:r>
        <w:rPr>
          <w:sz w:val="22"/>
        </w:rPr>
        <w:t>型</w:t>
        <w:tab/>
      </w:r>
      <w:r>
        <w:rPr>
          <w:w w:val="95"/>
          <w:sz w:val="22"/>
        </w:rPr>
        <w:t>弥漫增生型</w:t>
      </w:r>
    </w:p>
    <w:p>
      <w:pPr>
        <w:tabs>
          <w:tab w:pos="4027" w:val="left" w:leader="none"/>
        </w:tabs>
        <w:spacing w:before="24"/>
        <w:ind w:left="2094" w:right="0" w:firstLine="0"/>
        <w:jc w:val="left"/>
        <w:rPr>
          <w:sz w:val="22"/>
        </w:rPr>
      </w:pPr>
      <w:r>
        <w:rPr>
          <w:spacing w:val="55"/>
          <w:sz w:val="22"/>
        </w:rPr>
        <w:t>V</w:t>
      </w:r>
      <w:r>
        <w:rPr>
          <w:sz w:val="22"/>
        </w:rPr>
        <w:t>型</w:t>
        <w:tab/>
      </w:r>
      <w:r>
        <w:rPr>
          <w:w w:val="95"/>
          <w:sz w:val="22"/>
        </w:rPr>
        <w:t>膜型</w:t>
      </w:r>
    </w:p>
    <w:p>
      <w:pPr>
        <w:tabs>
          <w:tab w:pos="4026" w:val="left" w:leader="none"/>
        </w:tabs>
        <w:spacing w:before="24"/>
        <w:ind w:left="2094" w:right="0" w:firstLine="0"/>
        <w:jc w:val="left"/>
        <w:rPr>
          <w:sz w:val="22"/>
        </w:rPr>
      </w:pPr>
      <w:r>
        <w:rPr>
          <w:sz w:val="22"/>
        </w:rPr>
        <w:t>VI</w:t>
      </w:r>
      <w:r>
        <w:rPr>
          <w:spacing w:val="-56"/>
          <w:sz w:val="22"/>
        </w:rPr>
        <w:t> </w:t>
      </w:r>
      <w:r>
        <w:rPr>
          <w:sz w:val="22"/>
        </w:rPr>
        <w:t>型</w:t>
        <w:tab/>
      </w:r>
      <w:r>
        <w:rPr>
          <w:w w:val="95"/>
          <w:sz w:val="22"/>
        </w:rPr>
        <w:t>肾小球硬化型</w:t>
      </w:r>
    </w:p>
    <w:p>
      <w:pPr>
        <w:pStyle w:val="BodyText"/>
        <w:spacing w:before="8"/>
        <w:rPr>
          <w:sz w:val="25"/>
        </w:rPr>
      </w:pPr>
    </w:p>
    <w:p>
      <w:pPr>
        <w:spacing w:before="1"/>
        <w:ind w:left="1968" w:right="0" w:firstLine="0"/>
        <w:jc w:val="left"/>
        <w:rPr>
          <w:b/>
          <w:sz w:val="22"/>
        </w:rPr>
      </w:pPr>
      <w:r>
        <w:rPr>
          <w:b/>
          <w:w w:val="95"/>
          <w:sz w:val="21"/>
        </w:rPr>
        <w:t>（三十一）</w:t>
      </w:r>
      <w:r>
        <w:rPr>
          <w:b/>
          <w:w w:val="95"/>
          <w:sz w:val="22"/>
        </w:rPr>
        <w:t>经输血导致的人类免疫缺陷病毒感染</w:t>
      </w:r>
    </w:p>
    <w:p>
      <w:pPr>
        <w:pStyle w:val="BodyText"/>
        <w:spacing w:before="32"/>
        <w:ind w:left="2400"/>
      </w:pPr>
      <w:r>
        <w:rPr/>
        <w:t>被保险人感染上人类免疫缺陷病毒（HIV）并且满足下列全部条件：</w:t>
      </w:r>
    </w:p>
    <w:p>
      <w:pPr>
        <w:pStyle w:val="BodyText"/>
        <w:ind w:left="2393"/>
      </w:pPr>
      <w:r>
        <w:rPr/>
        <w:t>（1）在保障起始日或复效日之后，被保险人因输血而感染 HIV；</w:t>
      </w:r>
    </w:p>
    <w:p>
      <w:pPr>
        <w:pStyle w:val="BodyText"/>
        <w:spacing w:line="273" w:lineRule="auto"/>
        <w:ind w:left="1967" w:right="216" w:firstLine="426"/>
      </w:pPr>
      <w:r>
        <w:rPr/>
        <w:t>（2）提供输血治疗的输血中心或医院出具该项输血感染属医疗责任事故的报告，或者法院终审裁定为医疗责任并且不准上诉；</w:t>
      </w:r>
    </w:p>
    <w:p>
      <w:pPr>
        <w:pStyle w:val="BodyText"/>
        <w:spacing w:before="7"/>
        <w:ind w:left="2393"/>
      </w:pPr>
      <w:r>
        <w:rPr/>
        <w:t>（3）受感染的被保险人不是血友病患者。</w:t>
      </w:r>
    </w:p>
    <w:p>
      <w:pPr>
        <w:pStyle w:val="BodyText"/>
        <w:spacing w:line="273" w:lineRule="auto" w:before="36"/>
        <w:ind w:left="1967" w:right="219" w:firstLine="426"/>
      </w:pPr>
      <w:r>
        <w:rPr>
          <w:spacing w:val="-2"/>
        </w:rPr>
        <w:t>在任何治愈艾滋病</w:t>
      </w:r>
      <w:r>
        <w:rPr>
          <w:spacing w:val="-3"/>
        </w:rPr>
        <w:t>（AIDS）</w:t>
      </w:r>
      <w:r>
        <w:rPr>
          <w:spacing w:val="-16"/>
        </w:rPr>
        <w:t>或阻止 </w:t>
      </w:r>
      <w:r>
        <w:rPr/>
        <w:t>HIV</w:t>
      </w:r>
      <w:r>
        <w:rPr>
          <w:spacing w:val="-9"/>
        </w:rPr>
        <w:t> 病毒作用的疗法被发现以后，或能</w:t>
      </w:r>
      <w:r>
        <w:rPr>
          <w:spacing w:val="-29"/>
        </w:rPr>
        <w:t>防止 </w:t>
      </w:r>
      <w:r>
        <w:rPr/>
        <w:t>AIDS</w:t>
      </w:r>
      <w:r>
        <w:rPr>
          <w:spacing w:val="-9"/>
        </w:rPr>
        <w:t> 发生的医疗方法被研究出来以后，本保障将不再予以赔付。</w:t>
      </w:r>
    </w:p>
    <w:p>
      <w:pPr>
        <w:pStyle w:val="BodyText"/>
        <w:spacing w:line="273" w:lineRule="auto" w:before="7"/>
        <w:ind w:left="1967" w:right="217" w:firstLine="426"/>
        <w:jc w:val="both"/>
      </w:pPr>
      <w:r>
        <w:rPr>
          <w:spacing w:val="-2"/>
        </w:rPr>
        <w:t>任何因其他传播方式</w:t>
      </w:r>
      <w:r>
        <w:rPr/>
        <w:t>（</w:t>
      </w:r>
      <w:r>
        <w:rPr>
          <w:spacing w:val="-3"/>
        </w:rPr>
        <w:t>包括：性传播或静脉注射毒品</w:t>
      </w:r>
      <w:r>
        <w:rPr>
          <w:spacing w:val="-10"/>
        </w:rPr>
        <w:t>）</w:t>
      </w:r>
      <w:r>
        <w:rPr>
          <w:spacing w:val="-14"/>
        </w:rPr>
        <w:t>导致的 </w:t>
      </w:r>
      <w:r>
        <w:rPr/>
        <w:t>HIV</w:t>
      </w:r>
      <w:r>
        <w:rPr>
          <w:spacing w:val="-14"/>
        </w:rPr>
        <w:t> 感染不</w:t>
      </w:r>
      <w:r>
        <w:rPr>
          <w:spacing w:val="-12"/>
        </w:rPr>
        <w:t>在本保单保障范围内。本公司必须拥有获得使用被保险人的所有血液样本的权利和能够对这些样本进行独立检验的权利。</w:t>
      </w:r>
    </w:p>
    <w:p>
      <w:pPr>
        <w:pStyle w:val="BodyText"/>
        <w:spacing w:before="10"/>
        <w:rPr>
          <w:sz w:val="23"/>
        </w:rPr>
      </w:pPr>
    </w:p>
    <w:p>
      <w:pPr>
        <w:pStyle w:val="Heading4"/>
      </w:pPr>
      <w:r>
        <w:rPr>
          <w:w w:val="95"/>
          <w:sz w:val="21"/>
        </w:rPr>
        <w:t>（三十二）</w:t>
      </w:r>
      <w:r>
        <w:rPr>
          <w:w w:val="95"/>
        </w:rPr>
        <w:t>因职业关系导致的人类免疫缺陷病毒（</w:t>
      </w:r>
      <w:r>
        <w:rPr>
          <w:rFonts w:ascii="Arial" w:eastAsia="Arial"/>
          <w:w w:val="95"/>
        </w:rPr>
        <w:t>HIV</w:t>
      </w:r>
      <w:r>
        <w:rPr>
          <w:w w:val="95"/>
        </w:rPr>
        <w:t>）感染</w:t>
      </w:r>
    </w:p>
    <w:p>
      <w:pPr>
        <w:pStyle w:val="Heading5"/>
        <w:spacing w:line="259" w:lineRule="auto" w:before="8"/>
        <w:ind w:right="301" w:firstLine="431"/>
      </w:pPr>
      <w:r>
        <w:rPr/>
        <w:t>被保险人在其常规职业工作过程中遭遇外伤，或者职业需要处理血液</w:t>
      </w:r>
      <w:r>
        <w:rPr>
          <w:w w:val="95"/>
        </w:rPr>
        <w:t>或者其他体液时感染上人类免疫缺陷病毒（HIV）。</w:t>
      </w:r>
    </w:p>
    <w:p>
      <w:pPr>
        <w:spacing w:before="6"/>
        <w:ind w:left="2400" w:right="0" w:firstLine="0"/>
        <w:jc w:val="left"/>
        <w:rPr>
          <w:sz w:val="22"/>
        </w:rPr>
      </w:pPr>
      <w:r>
        <w:rPr>
          <w:w w:val="95"/>
          <w:sz w:val="22"/>
        </w:rPr>
        <w:t>必须满足下列全部条件：</w:t>
      </w:r>
    </w:p>
    <w:p>
      <w:pPr>
        <w:spacing w:line="259" w:lineRule="auto" w:before="23"/>
        <w:ind w:left="1968" w:right="168" w:firstLine="431"/>
        <w:jc w:val="left"/>
        <w:rPr>
          <w:sz w:val="22"/>
        </w:rPr>
      </w:pPr>
      <w:r>
        <w:rPr>
          <w:sz w:val="22"/>
        </w:rPr>
        <w:t>（1）感染必须是在被保险人正在从事其职业工作中发生，该职业必须</w:t>
      </w:r>
      <w:r>
        <w:rPr>
          <w:w w:val="95"/>
          <w:sz w:val="22"/>
        </w:rPr>
        <w:t>属于以下列表内的职业；</w:t>
      </w:r>
    </w:p>
    <w:p>
      <w:pPr>
        <w:spacing w:before="6"/>
        <w:ind w:left="2400" w:right="0" w:firstLine="0"/>
        <w:jc w:val="left"/>
        <w:rPr>
          <w:sz w:val="22"/>
        </w:rPr>
      </w:pPr>
      <w:r>
        <w:rPr>
          <w:sz w:val="22"/>
        </w:rPr>
        <w:t>（2）血清转化必须出现在事故发生后的 6 个月以内；</w:t>
      </w:r>
    </w:p>
    <w:p>
      <w:pPr>
        <w:spacing w:line="259" w:lineRule="auto" w:before="24"/>
        <w:ind w:left="1968" w:right="106" w:firstLine="431"/>
        <w:jc w:val="left"/>
        <w:rPr>
          <w:sz w:val="22"/>
        </w:rPr>
      </w:pPr>
      <w:r>
        <w:rPr>
          <w:w w:val="99"/>
          <w:sz w:val="22"/>
        </w:rPr>
        <w:t>（3</w:t>
      </w:r>
      <w:r>
        <w:rPr>
          <w:spacing w:val="-111"/>
          <w:w w:val="99"/>
          <w:sz w:val="22"/>
        </w:rPr>
        <w:t>）</w:t>
      </w:r>
      <w:r>
        <w:rPr>
          <w:w w:val="99"/>
          <w:sz w:val="22"/>
        </w:rPr>
        <w:t>必须提供被保险人在所报事故发生后的</w:t>
      </w:r>
      <w:r>
        <w:rPr>
          <w:spacing w:val="-68"/>
          <w:sz w:val="22"/>
        </w:rPr>
        <w:t> </w:t>
      </w:r>
      <w:r>
        <w:rPr>
          <w:w w:val="99"/>
          <w:sz w:val="22"/>
        </w:rPr>
        <w:t>5</w:t>
      </w:r>
      <w:r>
        <w:rPr>
          <w:spacing w:val="-67"/>
          <w:sz w:val="22"/>
        </w:rPr>
        <w:t> </w:t>
      </w:r>
      <w:r>
        <w:rPr>
          <w:w w:val="99"/>
          <w:sz w:val="22"/>
        </w:rPr>
        <w:t>日以内进行的检查报告，</w:t>
      </w:r>
      <w:r>
        <w:rPr>
          <w:spacing w:val="-5"/>
          <w:sz w:val="22"/>
        </w:rPr>
        <w:t>该报告必须显示被保险人血液 </w:t>
      </w:r>
      <w:r>
        <w:rPr>
          <w:sz w:val="22"/>
        </w:rPr>
        <w:t>HIV</w:t>
      </w:r>
      <w:r>
        <w:rPr>
          <w:spacing w:val="-10"/>
          <w:sz w:val="22"/>
        </w:rPr>
        <w:t> 病毒阴性和</w:t>
      </w:r>
      <w:r>
        <w:rPr>
          <w:sz w:val="22"/>
        </w:rPr>
        <w:t>/</w:t>
      </w:r>
      <w:r>
        <w:rPr>
          <w:spacing w:val="-29"/>
          <w:sz w:val="22"/>
        </w:rPr>
        <w:t>或 </w:t>
      </w:r>
      <w:r>
        <w:rPr>
          <w:sz w:val="22"/>
        </w:rPr>
        <w:t>HIV</w:t>
      </w:r>
      <w:r>
        <w:rPr>
          <w:spacing w:val="-10"/>
          <w:sz w:val="22"/>
        </w:rPr>
        <w:t> 抗体阴性；</w:t>
      </w:r>
    </w:p>
    <w:p>
      <w:pPr>
        <w:spacing w:line="259" w:lineRule="auto" w:before="6"/>
        <w:ind w:left="1968" w:right="301" w:firstLine="431"/>
        <w:jc w:val="left"/>
        <w:rPr>
          <w:sz w:val="22"/>
        </w:rPr>
      </w:pPr>
      <w:r>
        <w:rPr>
          <w:sz w:val="22"/>
        </w:rPr>
        <w:t>（4）</w:t>
      </w:r>
      <w:r>
        <w:rPr>
          <w:spacing w:val="-6"/>
          <w:sz w:val="22"/>
        </w:rPr>
        <w:t>必须在事故发生后的 </w:t>
      </w:r>
      <w:r>
        <w:rPr>
          <w:sz w:val="22"/>
        </w:rPr>
        <w:t>12</w:t>
      </w:r>
      <w:r>
        <w:rPr>
          <w:spacing w:val="-12"/>
          <w:sz w:val="22"/>
        </w:rPr>
        <w:t> 个月内证实被保险人体内存在 </w:t>
      </w:r>
      <w:r>
        <w:rPr>
          <w:sz w:val="22"/>
        </w:rPr>
        <w:t>HIV</w:t>
      </w:r>
      <w:r>
        <w:rPr>
          <w:spacing w:val="-20"/>
          <w:sz w:val="22"/>
        </w:rPr>
        <w:t> 病毒</w:t>
      </w:r>
      <w:r>
        <w:rPr>
          <w:spacing w:val="-33"/>
          <w:sz w:val="22"/>
        </w:rPr>
        <w:t>或者 </w:t>
      </w:r>
      <w:r>
        <w:rPr>
          <w:sz w:val="22"/>
        </w:rPr>
        <w:t>HIV</w:t>
      </w:r>
      <w:r>
        <w:rPr>
          <w:spacing w:val="-15"/>
          <w:sz w:val="22"/>
        </w:rPr>
        <w:t> 抗体。</w:t>
      </w:r>
    </w:p>
    <w:p>
      <w:pPr>
        <w:spacing w:before="6"/>
        <w:ind w:left="2400" w:right="0" w:firstLine="0"/>
        <w:jc w:val="left"/>
        <w:rPr>
          <w:sz w:val="22"/>
        </w:rPr>
      </w:pPr>
      <w:r>
        <w:rPr>
          <w:w w:val="95"/>
          <w:sz w:val="22"/>
        </w:rPr>
        <w:t>职业限制如下所示:</w:t>
      </w:r>
    </w:p>
    <w:p>
      <w:pPr>
        <w:tabs>
          <w:tab w:pos="6028" w:val="left" w:leader="none"/>
        </w:tabs>
        <w:spacing w:before="24"/>
        <w:ind w:left="2469" w:right="0" w:firstLine="0"/>
        <w:jc w:val="left"/>
        <w:rPr>
          <w:sz w:val="22"/>
        </w:rPr>
      </w:pPr>
      <w:r>
        <w:rPr>
          <w:sz w:val="22"/>
        </w:rPr>
        <w:t>医生和牙科医生</w:t>
        <w:tab/>
      </w:r>
      <w:r>
        <w:rPr>
          <w:w w:val="95"/>
          <w:sz w:val="22"/>
        </w:rPr>
        <w:t>护士</w:t>
      </w:r>
    </w:p>
    <w:p>
      <w:pPr>
        <w:tabs>
          <w:tab w:pos="6028" w:val="left" w:leader="none"/>
        </w:tabs>
        <w:spacing w:before="24"/>
        <w:ind w:left="2469" w:right="0" w:firstLine="0"/>
        <w:jc w:val="left"/>
        <w:rPr>
          <w:sz w:val="22"/>
        </w:rPr>
      </w:pPr>
      <w:r>
        <w:rPr>
          <w:sz w:val="22"/>
        </w:rPr>
        <w:t>实验室工作人员</w:t>
        <w:tab/>
      </w:r>
      <w:r>
        <w:rPr>
          <w:w w:val="95"/>
          <w:sz w:val="22"/>
        </w:rPr>
        <w:t>医院护工</w:t>
      </w:r>
    </w:p>
    <w:p>
      <w:pPr>
        <w:tabs>
          <w:tab w:pos="6028" w:val="left" w:leader="none"/>
        </w:tabs>
        <w:spacing w:before="24"/>
        <w:ind w:left="2469" w:right="0" w:firstLine="0"/>
        <w:jc w:val="left"/>
        <w:rPr>
          <w:sz w:val="22"/>
        </w:rPr>
      </w:pPr>
      <w:r>
        <w:rPr>
          <w:sz w:val="22"/>
        </w:rPr>
        <w:t>医生助理和牙医助理</w:t>
        <w:tab/>
      </w:r>
      <w:r>
        <w:rPr>
          <w:w w:val="95"/>
          <w:sz w:val="22"/>
        </w:rPr>
        <w:t>救护车工作人员</w:t>
      </w:r>
    </w:p>
    <w:p>
      <w:pPr>
        <w:tabs>
          <w:tab w:pos="6028" w:val="left" w:leader="none"/>
        </w:tabs>
        <w:spacing w:before="24"/>
        <w:ind w:left="2469" w:right="0" w:firstLine="0"/>
        <w:jc w:val="left"/>
        <w:rPr>
          <w:sz w:val="22"/>
        </w:rPr>
      </w:pPr>
      <w:r>
        <w:rPr>
          <w:sz w:val="22"/>
        </w:rPr>
        <w:t>助产士</w:t>
        <w:tab/>
      </w:r>
      <w:r>
        <w:rPr>
          <w:w w:val="95"/>
          <w:sz w:val="22"/>
        </w:rPr>
        <w:t>消防队员</w:t>
      </w:r>
    </w:p>
    <w:p>
      <w:pPr>
        <w:tabs>
          <w:tab w:pos="6028" w:val="left" w:leader="none"/>
        </w:tabs>
        <w:spacing w:before="24"/>
        <w:ind w:left="2469" w:right="0" w:firstLine="0"/>
        <w:jc w:val="left"/>
        <w:rPr>
          <w:sz w:val="22"/>
        </w:rPr>
      </w:pPr>
      <w:r>
        <w:rPr>
          <w:sz w:val="22"/>
        </w:rPr>
        <w:t>警察</w:t>
        <w:tab/>
      </w:r>
      <w:r>
        <w:rPr>
          <w:w w:val="95"/>
          <w:sz w:val="22"/>
        </w:rPr>
        <w:t>狱警</w:t>
      </w:r>
    </w:p>
    <w:p>
      <w:pPr>
        <w:spacing w:after="0"/>
        <w:jc w:val="left"/>
        <w:rPr>
          <w:sz w:val="22"/>
        </w:rPr>
        <w:sectPr>
          <w:pgSz w:w="11910" w:h="16840"/>
          <w:pgMar w:top="1100" w:bottom="280" w:left="1680" w:right="920"/>
        </w:sectPr>
      </w:pPr>
    </w:p>
    <w:p>
      <w:pPr>
        <w:pStyle w:val="Heading6"/>
        <w:spacing w:before="19"/>
        <w:ind w:left="2848"/>
      </w:pPr>
      <w:r>
        <w:rPr>
          <w:w w:val="95"/>
        </w:rPr>
        <w:t>（三十三）脊髓灰质炎</w:t>
      </w:r>
    </w:p>
    <w:p>
      <w:pPr>
        <w:pStyle w:val="BodyText"/>
        <w:spacing w:line="273" w:lineRule="auto"/>
        <w:ind w:left="2848" w:right="116" w:firstLine="431"/>
        <w:jc w:val="both"/>
      </w:pPr>
      <w:r>
        <w:rPr>
          <w:spacing w:val="-2"/>
        </w:rPr>
        <w:t>脊髓灰质炎是由于脊髓灰质炎病毒感染所致的瘫痪性疾病，临床表现为运</w:t>
      </w:r>
      <w:r>
        <w:rPr>
          <w:spacing w:val="-4"/>
        </w:rPr>
        <w:t>动功能损害或呼吸无力。脊髓灰质炎必须明确诊断。本保单仅对脊髓灰质炎造</w:t>
      </w:r>
      <w:r>
        <w:rPr>
          <w:spacing w:val="1"/>
        </w:rPr>
        <w:t>成的神经系统功能损害导致被保险人一肢或一肢以上肢体机能永久完全丧失</w:t>
      </w:r>
      <w:r>
        <w:rPr>
          <w:spacing w:val="-4"/>
        </w:rPr>
        <w:t>的情况予以理赔。肢体机能永久完全丧失，指疾病确诊 </w:t>
      </w:r>
      <w:r>
        <w:rPr/>
        <w:t>180</w:t>
      </w:r>
      <w:r>
        <w:rPr>
          <w:spacing w:val="-8"/>
        </w:rPr>
        <w:t> 日后，每肢三大关节中的两大关节仍然完全僵硬，或不能随意识活动。</w:t>
      </w:r>
    </w:p>
    <w:p>
      <w:pPr>
        <w:pStyle w:val="BodyText"/>
        <w:spacing w:before="5"/>
        <w:rPr>
          <w:sz w:val="24"/>
        </w:rPr>
      </w:pPr>
    </w:p>
    <w:p>
      <w:pPr>
        <w:pStyle w:val="Heading6"/>
        <w:numPr>
          <w:ilvl w:val="1"/>
          <w:numId w:val="6"/>
        </w:numPr>
        <w:tabs>
          <w:tab w:pos="862" w:val="left" w:leader="none"/>
          <w:tab w:pos="863" w:val="left" w:leader="none"/>
          <w:tab w:pos="2848" w:val="left" w:leader="none"/>
        </w:tabs>
        <w:spacing w:line="240" w:lineRule="auto" w:before="0" w:after="0"/>
        <w:ind w:left="862" w:right="0" w:hanging="743"/>
        <w:jc w:val="left"/>
      </w:pPr>
      <w:r>
        <w:rPr/>
        <w:t>成人轻症疾病</w:t>
        <w:tab/>
      </w:r>
      <w:r>
        <w:rPr>
          <w:w w:val="95"/>
        </w:rPr>
        <w:t>（一）非危及生命的恶性病变</w:t>
      </w:r>
    </w:p>
    <w:p>
      <w:pPr>
        <w:pStyle w:val="BodyText"/>
        <w:spacing w:line="273" w:lineRule="auto" w:before="36"/>
        <w:ind w:left="2848" w:right="117" w:firstLine="420"/>
        <w:jc w:val="both"/>
      </w:pPr>
      <w:r>
        <w:rPr/>
        <w:t>指经组织病理学检查被明确诊断为下列恶性病变，并且接受了相应的治疗。</w:t>
      </w:r>
    </w:p>
    <w:p>
      <w:pPr>
        <w:pStyle w:val="BodyText"/>
        <w:spacing w:before="7"/>
        <w:ind w:left="3067"/>
      </w:pPr>
      <w:r>
        <w:rPr/>
        <w:t>（1）原位癌；</w:t>
      </w:r>
    </w:p>
    <w:p>
      <w:pPr>
        <w:pStyle w:val="BodyText"/>
        <w:ind w:left="3067"/>
      </w:pPr>
      <w:r>
        <w:rPr/>
        <w:t>（2）</w:t>
      </w:r>
      <w:r>
        <w:rPr>
          <w:spacing w:val="15"/>
        </w:rPr>
        <w:t>相当于</w:t>
      </w:r>
      <w:r>
        <w:rPr>
          <w:rFonts w:ascii="Arial" w:eastAsia="Arial"/>
        </w:rPr>
        <w:t>Binet </w:t>
      </w:r>
      <w:r>
        <w:rPr>
          <w:spacing w:val="-11"/>
        </w:rPr>
        <w:t>分期方案 </w:t>
      </w:r>
      <w:r>
        <w:rPr>
          <w:rFonts w:ascii="Arial" w:eastAsia="Arial"/>
        </w:rPr>
        <w:t>A </w:t>
      </w:r>
      <w:r>
        <w:rPr/>
        <w:t>期程度的慢性淋巴细胞白血病；</w:t>
      </w:r>
    </w:p>
    <w:p>
      <w:pPr>
        <w:pStyle w:val="BodyText"/>
        <w:spacing w:before="22"/>
        <w:ind w:left="3067"/>
      </w:pPr>
      <w:r>
        <w:rPr/>
        <w:t>（3）</w:t>
      </w:r>
      <w:r>
        <w:rPr>
          <w:spacing w:val="-14"/>
        </w:rPr>
        <w:t>相当于 </w:t>
      </w:r>
      <w:r>
        <w:rPr>
          <w:rFonts w:ascii="Arial" w:eastAsia="Arial"/>
        </w:rPr>
        <w:t>Ann Arbor </w:t>
      </w:r>
      <w:r>
        <w:rPr>
          <w:spacing w:val="-11"/>
        </w:rPr>
        <w:t>分期方案 </w:t>
      </w:r>
      <w:r>
        <w:rPr>
          <w:rFonts w:ascii="Arial" w:eastAsia="Arial"/>
        </w:rPr>
        <w:t>I </w:t>
      </w:r>
      <w:r>
        <w:rPr/>
        <w:t>期程度的何杰金氏病；</w:t>
      </w:r>
    </w:p>
    <w:p>
      <w:pPr>
        <w:pStyle w:val="BodyText"/>
        <w:spacing w:before="22"/>
        <w:ind w:left="3067"/>
      </w:pPr>
      <w:r>
        <w:rPr/>
        <w:t>（4）皮肤癌；</w:t>
      </w:r>
    </w:p>
    <w:p>
      <w:pPr>
        <w:pStyle w:val="BodyText"/>
        <w:ind w:left="3067"/>
      </w:pPr>
      <w:r>
        <w:rPr/>
        <w:t>（5）</w:t>
      </w:r>
      <w:r>
        <w:rPr>
          <w:rFonts w:ascii="Arial" w:eastAsia="Arial"/>
        </w:rPr>
        <w:t>TNM </w:t>
      </w:r>
      <w:r>
        <w:rPr/>
        <w:t>分期为 </w:t>
      </w:r>
      <w:r>
        <w:rPr>
          <w:rFonts w:ascii="Arial" w:eastAsia="Arial"/>
        </w:rPr>
        <w:t>T1N0M0 </w:t>
      </w:r>
      <w:r>
        <w:rPr/>
        <w:t>期或更轻分期的前列腺癌。</w:t>
      </w:r>
    </w:p>
    <w:p>
      <w:pPr>
        <w:pStyle w:val="BodyText"/>
        <w:spacing w:before="6"/>
        <w:rPr>
          <w:sz w:val="25"/>
        </w:rPr>
      </w:pPr>
    </w:p>
    <w:p>
      <w:pPr>
        <w:pStyle w:val="Heading6"/>
        <w:spacing w:before="1"/>
        <w:ind w:left="2848"/>
      </w:pPr>
      <w:r>
        <w:rPr>
          <w:w w:val="95"/>
        </w:rPr>
        <w:t>（二）不典型的急性心肌梗塞</w:t>
      </w:r>
    </w:p>
    <w:p>
      <w:pPr>
        <w:pStyle w:val="BodyText"/>
        <w:spacing w:line="273" w:lineRule="auto"/>
        <w:ind w:left="2860" w:right="117" w:firstLine="408"/>
        <w:jc w:val="both"/>
      </w:pPr>
      <w:r>
        <w:rPr/>
        <w:t>指被临床诊断为急性心肌梗塞并接受了急性心肌梗塞治疗虽然未达到重大疾病“急性心肌梗塞”的给付标准，但满足下列全部条件：</w:t>
      </w:r>
    </w:p>
    <w:p>
      <w:pPr>
        <w:pStyle w:val="BodyText"/>
        <w:spacing w:before="7"/>
        <w:ind w:left="3079"/>
      </w:pPr>
      <w:r>
        <w:rPr/>
        <w:t>（1）肌钙蛋白有诊断意义的升高；</w:t>
      </w:r>
    </w:p>
    <w:p>
      <w:pPr>
        <w:pStyle w:val="BodyText"/>
        <w:spacing w:before="36"/>
        <w:ind w:left="3079"/>
      </w:pPr>
      <w:r>
        <w:rPr/>
        <w:t>（2）心电图有损伤性的ST段改变但未出现病理Q波。</w:t>
      </w:r>
    </w:p>
    <w:p>
      <w:pPr>
        <w:pStyle w:val="BodyText"/>
        <w:spacing w:before="8"/>
        <w:rPr>
          <w:sz w:val="26"/>
        </w:rPr>
      </w:pPr>
    </w:p>
    <w:p>
      <w:pPr>
        <w:pStyle w:val="Heading6"/>
        <w:ind w:left="2848"/>
      </w:pPr>
      <w:r>
        <w:rPr>
          <w:w w:val="95"/>
        </w:rPr>
        <w:t>（三）心脏瓣膜介入治疗</w:t>
      </w:r>
    </w:p>
    <w:p>
      <w:pPr>
        <w:pStyle w:val="BodyText"/>
        <w:spacing w:line="273" w:lineRule="auto"/>
        <w:ind w:left="2848" w:right="117" w:firstLine="420"/>
        <w:jc w:val="both"/>
      </w:pPr>
      <w:r>
        <w:rPr>
          <w:spacing w:val="-3"/>
        </w:rPr>
        <w:t>为了治疗心脏瓣膜疾病，实际实施了非开胸的经胸壁打孔内镜手术或经皮经导管介入手术进行的心脏瓣膜置换或修复手术。</w:t>
      </w:r>
    </w:p>
    <w:p>
      <w:pPr>
        <w:pStyle w:val="BodyText"/>
        <w:spacing w:before="5"/>
        <w:rPr>
          <w:sz w:val="24"/>
        </w:rPr>
      </w:pPr>
    </w:p>
    <w:p>
      <w:pPr>
        <w:pStyle w:val="Heading6"/>
        <w:ind w:left="2848"/>
      </w:pPr>
      <w:r>
        <w:rPr>
          <w:w w:val="95"/>
        </w:rPr>
        <w:t>（四）视力严重受损</w:t>
      </w:r>
    </w:p>
    <w:p>
      <w:pPr>
        <w:pStyle w:val="BodyText"/>
        <w:spacing w:line="273" w:lineRule="auto" w:before="36"/>
        <w:ind w:left="2848" w:right="117" w:firstLine="420"/>
        <w:jc w:val="both"/>
      </w:pPr>
      <w:r>
        <w:rPr>
          <w:spacing w:val="-1"/>
        </w:rPr>
        <w:t>指因疾病或意外伤害导致双目视力永久不可逆性丧失，虽然未达到重大疾病“双目失明”的给付标准，但满足下列全部条件：</w:t>
      </w:r>
    </w:p>
    <w:p>
      <w:pPr>
        <w:pStyle w:val="BodyText"/>
        <w:spacing w:line="256" w:lineRule="auto" w:before="7"/>
        <w:ind w:left="2848" w:right="117" w:firstLine="420"/>
        <w:jc w:val="both"/>
      </w:pPr>
      <w:r>
        <w:rPr>
          <w:spacing w:val="-3"/>
        </w:rPr>
        <w:t>（1）</w:t>
      </w:r>
      <w:r>
        <w:rPr>
          <w:spacing w:val="-4"/>
        </w:rPr>
        <w:t>双眼中较好眼矫正视力低于 </w:t>
      </w:r>
      <w:r>
        <w:rPr>
          <w:rFonts w:ascii="Times New Roman" w:eastAsia="Times New Roman"/>
          <w:spacing w:val="-3"/>
        </w:rPr>
        <w:t>0.1</w:t>
      </w:r>
      <w:r>
        <w:rPr>
          <w:spacing w:val="-3"/>
        </w:rPr>
        <w:t>（</w:t>
      </w:r>
      <w:r>
        <w:rPr>
          <w:spacing w:val="-1"/>
        </w:rPr>
        <w:t>采用国际标准视力表，如果使用其他视力表应进行换算</w:t>
      </w:r>
      <w:r>
        <w:rPr>
          <w:spacing w:val="-105"/>
        </w:rPr>
        <w:t>）</w:t>
      </w:r>
      <w:r>
        <w:rPr/>
        <w:t>；</w:t>
      </w:r>
    </w:p>
    <w:p>
      <w:pPr>
        <w:pStyle w:val="BodyText"/>
        <w:spacing w:before="22"/>
        <w:ind w:left="3268"/>
      </w:pPr>
      <w:r>
        <w:rPr/>
        <w:t>（2）视野半径小于 </w:t>
      </w:r>
      <w:r>
        <w:rPr>
          <w:rFonts w:ascii="Times New Roman" w:eastAsia="Times New Roman"/>
        </w:rPr>
        <w:t>20 </w:t>
      </w:r>
      <w:r>
        <w:rPr/>
        <w:t>度。</w:t>
      </w:r>
    </w:p>
    <w:p>
      <w:pPr>
        <w:pStyle w:val="BodyText"/>
        <w:spacing w:before="5"/>
        <w:rPr>
          <w:sz w:val="25"/>
        </w:rPr>
      </w:pPr>
    </w:p>
    <w:p>
      <w:pPr>
        <w:pStyle w:val="Heading6"/>
        <w:spacing w:before="1"/>
        <w:ind w:left="2848"/>
      </w:pPr>
      <w:r>
        <w:rPr>
          <w:w w:val="95"/>
        </w:rPr>
        <w:t>（五）脑垂体瘤、脑囊肿、脑动脉瘤及脑血管瘤</w:t>
      </w:r>
    </w:p>
    <w:p>
      <w:pPr>
        <w:pStyle w:val="BodyText"/>
        <w:spacing w:line="259" w:lineRule="auto"/>
        <w:ind w:left="2848" w:right="117" w:firstLine="419"/>
        <w:jc w:val="both"/>
      </w:pPr>
      <w:r>
        <w:rPr/>
        <w:t>指经头颅断层扫描</w:t>
      </w:r>
      <w:r>
        <w:rPr>
          <w:spacing w:val="1"/>
        </w:rPr>
        <w:t>（</w:t>
      </w:r>
      <w:r>
        <w:rPr>
          <w:rFonts w:ascii="Arial" w:eastAsia="Arial"/>
          <w:spacing w:val="-1"/>
        </w:rPr>
        <w:t>C</w:t>
      </w:r>
      <w:r>
        <w:rPr>
          <w:rFonts w:ascii="Arial" w:eastAsia="Arial"/>
          <w:spacing w:val="1"/>
        </w:rPr>
        <w:t>T</w:t>
      </w:r>
      <w:r>
        <w:rPr>
          <w:spacing w:val="-104"/>
        </w:rPr>
        <w:t>）</w:t>
      </w:r>
      <w:r>
        <w:rPr/>
        <w:t>、核磁共振</w:t>
      </w:r>
      <w:r>
        <w:rPr>
          <w:spacing w:val="0"/>
        </w:rPr>
        <w:t>（</w:t>
      </w:r>
      <w:r>
        <w:rPr>
          <w:rFonts w:ascii="Arial" w:eastAsia="Arial"/>
          <w:spacing w:val="-1"/>
        </w:rPr>
        <w:t>MR</w:t>
      </w:r>
      <w:r>
        <w:rPr>
          <w:rFonts w:ascii="Arial" w:eastAsia="Arial"/>
          <w:spacing w:val="0"/>
        </w:rPr>
        <w:t>I</w:t>
      </w:r>
      <w:r>
        <w:rPr>
          <w:spacing w:val="0"/>
        </w:rPr>
        <w:t>）</w:t>
      </w:r>
      <w:r>
        <w:rPr/>
        <w:t>或其他影像学检查被确诊为下列病变，并实际接受了手术切除治疗或放射治疗。</w:t>
      </w:r>
    </w:p>
    <w:p>
      <w:pPr>
        <w:pStyle w:val="BodyText"/>
        <w:spacing w:before="20"/>
        <w:ind w:left="3067"/>
      </w:pPr>
      <w:r>
        <w:rPr/>
        <w:t>（1）脑垂体瘤；</w:t>
      </w:r>
    </w:p>
    <w:p>
      <w:pPr>
        <w:pStyle w:val="BodyText"/>
        <w:ind w:left="3067"/>
      </w:pPr>
      <w:r>
        <w:rPr/>
        <w:t>（2）脑囊肿；</w:t>
      </w:r>
    </w:p>
    <w:p>
      <w:pPr>
        <w:pStyle w:val="BodyText"/>
        <w:ind w:left="3067"/>
      </w:pPr>
      <w:r>
        <w:rPr/>
        <w:t>（3）脑动脉瘤、脑血管瘤。</w:t>
      </w:r>
    </w:p>
    <w:p>
      <w:pPr>
        <w:pStyle w:val="BodyText"/>
        <w:spacing w:before="8"/>
        <w:rPr>
          <w:sz w:val="26"/>
        </w:rPr>
      </w:pPr>
    </w:p>
    <w:p>
      <w:pPr>
        <w:pStyle w:val="BodyText"/>
        <w:spacing w:before="0"/>
        <w:ind w:left="2848"/>
      </w:pPr>
      <w:r>
        <w:rPr/>
        <w:t>上述 8.5 至 8.8 的释义中部分术语释义如下：</w:t>
      </w:r>
    </w:p>
    <w:p>
      <w:pPr>
        <w:pStyle w:val="BodyText"/>
        <w:spacing w:before="36"/>
        <w:ind w:left="2848"/>
      </w:pPr>
      <w:r>
        <w:rPr/>
        <w:t>（一）肢体机能完全丧失</w:t>
      </w:r>
    </w:p>
    <w:p>
      <w:pPr>
        <w:pStyle w:val="BodyText"/>
        <w:spacing w:line="273" w:lineRule="auto" w:before="36"/>
        <w:ind w:left="2848" w:right="118"/>
      </w:pPr>
      <w:r>
        <w:rPr/>
        <w:t>肢体机能完全丧失是指肢体的三大关节中的两大关节僵硬，或不能随意识活动。肢体是指包括肩关节的整个上肢或包括髋关节的整个下肢。</w:t>
      </w:r>
    </w:p>
    <w:p>
      <w:pPr>
        <w:pStyle w:val="BodyText"/>
        <w:spacing w:before="4"/>
        <w:rPr>
          <w:sz w:val="24"/>
        </w:rPr>
      </w:pPr>
    </w:p>
    <w:p>
      <w:pPr>
        <w:pStyle w:val="BodyText"/>
        <w:spacing w:before="1"/>
        <w:ind w:left="2848"/>
      </w:pPr>
      <w:r>
        <w:rPr/>
        <w:t>（二）语言能力或咀嚼吞咽能力完全丧失</w:t>
      </w:r>
    </w:p>
    <w:p>
      <w:pPr>
        <w:spacing w:after="0"/>
        <w:sectPr>
          <w:pgSz w:w="11910" w:h="16840"/>
          <w:pgMar w:top="1100" w:bottom="280" w:left="800" w:right="1020"/>
        </w:sectPr>
      </w:pPr>
    </w:p>
    <w:p>
      <w:pPr>
        <w:pStyle w:val="BodyText"/>
        <w:spacing w:line="273" w:lineRule="auto" w:before="19"/>
        <w:ind w:left="2848" w:right="112"/>
      </w:pPr>
      <w:r>
        <w:rPr>
          <w:spacing w:val="-1"/>
        </w:rPr>
        <w:t>语言能力完全丧失是指无法发出四种语音</w:t>
      </w:r>
      <w:r>
        <w:rPr/>
        <w:t>（</w:t>
      </w:r>
      <w:r>
        <w:rPr>
          <w:spacing w:val="-3"/>
        </w:rPr>
        <w:t>包括口唇音、齿舌音、口盖音和喉头音</w:t>
      </w:r>
      <w:r>
        <w:rPr>
          <w:spacing w:val="-44"/>
        </w:rPr>
        <w:t>）</w:t>
      </w:r>
      <w:r>
        <w:rPr>
          <w:spacing w:val="-10"/>
        </w:rPr>
        <w:t>中的任何三种、或声带全部切除，或因大脑语言中枢受伤害而患失语症。</w:t>
      </w:r>
      <w:r>
        <w:rPr>
          <w:spacing w:val="-11"/>
        </w:rPr>
        <w:t>咀嚼吞咽能力完全丧失是指因牙齿以外的原因导致器质障碍或机能障碍，以致不能作咀嚼吞咽运动，除流质食物外不能摄取或吞咽的状态。</w:t>
      </w:r>
    </w:p>
    <w:p>
      <w:pPr>
        <w:pStyle w:val="BodyText"/>
        <w:spacing w:before="5"/>
        <w:rPr>
          <w:sz w:val="24"/>
        </w:rPr>
      </w:pPr>
    </w:p>
    <w:p>
      <w:pPr>
        <w:pStyle w:val="BodyText"/>
        <w:spacing w:line="273" w:lineRule="auto" w:before="0"/>
        <w:ind w:left="2848" w:right="4604"/>
      </w:pPr>
      <w:r>
        <w:rPr/>
        <w:t>（三）六项基本日常生活活动六项基本日常生活活动是指：</w:t>
      </w:r>
    </w:p>
    <w:p>
      <w:pPr>
        <w:pStyle w:val="BodyText"/>
        <w:spacing w:before="7"/>
        <w:ind w:left="2848"/>
      </w:pPr>
      <w:r>
        <w:rPr/>
        <w:t>（1）穿衣：自己能够穿衣及脱衣；</w:t>
      </w:r>
    </w:p>
    <w:p>
      <w:pPr>
        <w:pStyle w:val="BodyText"/>
        <w:ind w:left="2848"/>
      </w:pPr>
      <w:r>
        <w:rPr/>
        <w:t>（2）移动：自己从一个房间到另一个房间；</w:t>
      </w:r>
    </w:p>
    <w:p>
      <w:pPr>
        <w:pStyle w:val="BodyText"/>
        <w:ind w:left="2848"/>
      </w:pPr>
      <w:r>
        <w:rPr/>
        <w:t>（3）行动：自己上下床或上下轮椅；</w:t>
      </w:r>
    </w:p>
    <w:p>
      <w:pPr>
        <w:pStyle w:val="BodyText"/>
        <w:ind w:left="2848"/>
      </w:pPr>
      <w:r>
        <w:rPr/>
        <w:t>（4）如厕：自己控制进行大小便；</w:t>
      </w:r>
    </w:p>
    <w:p>
      <w:pPr>
        <w:pStyle w:val="BodyText"/>
        <w:ind w:left="2848"/>
      </w:pPr>
      <w:r>
        <w:rPr/>
        <w:t>（5）进食：自己从已准备好的碗或碟中取食物放入口中；</w:t>
      </w:r>
    </w:p>
    <w:p>
      <w:pPr>
        <w:pStyle w:val="BodyText"/>
        <w:ind w:left="2848"/>
      </w:pPr>
      <w:r>
        <w:rPr/>
        <w:t>（6）洗澡：自己进行淋浴或盆浴。</w:t>
      </w:r>
    </w:p>
    <w:p>
      <w:pPr>
        <w:pStyle w:val="BodyText"/>
        <w:spacing w:before="8"/>
        <w:rPr>
          <w:sz w:val="26"/>
        </w:rPr>
      </w:pPr>
    </w:p>
    <w:p>
      <w:pPr>
        <w:pStyle w:val="BodyText"/>
        <w:spacing w:before="1"/>
        <w:ind w:left="2848"/>
      </w:pPr>
      <w:r>
        <w:rPr/>
        <w:t>（四）永久不可逆</w:t>
      </w:r>
    </w:p>
    <w:p>
      <w:pPr>
        <w:pStyle w:val="BodyText"/>
        <w:spacing w:line="273" w:lineRule="auto"/>
        <w:ind w:left="2848" w:right="193"/>
      </w:pPr>
      <w:r>
        <w:rPr>
          <w:spacing w:val="-2"/>
        </w:rPr>
        <w:t>永久不可逆是指自疾病确诊或意外伤害发生之日起，经过积极治疗 </w:t>
      </w:r>
      <w:r>
        <w:rPr/>
        <w:t>180</w:t>
      </w:r>
      <w:r>
        <w:rPr>
          <w:spacing w:val="-14"/>
        </w:rPr>
        <w:t> 日后， 仍无法通过现有医疗手段恢复。</w:t>
      </w:r>
    </w:p>
    <w:p>
      <w:pPr>
        <w:pStyle w:val="BodyText"/>
        <w:spacing w:before="5"/>
        <w:rPr>
          <w:sz w:val="24"/>
        </w:rPr>
      </w:pPr>
    </w:p>
    <w:p>
      <w:pPr>
        <w:pStyle w:val="BodyText"/>
        <w:spacing w:before="0"/>
        <w:ind w:left="2848"/>
      </w:pPr>
      <w:r>
        <w:rPr/>
        <w:t>（五）三大关节</w:t>
      </w:r>
    </w:p>
    <w:p>
      <w:pPr>
        <w:pStyle w:val="BodyText"/>
        <w:spacing w:before="36"/>
        <w:ind w:left="2848"/>
      </w:pPr>
      <w:r>
        <w:rPr/>
        <w:t>上肢三大关节是指肩、肘、腕关节，下肢三大关节是指髋、膝、踝关节。</w:t>
      </w:r>
    </w:p>
    <w:p>
      <w:pPr>
        <w:pStyle w:val="BodyText"/>
        <w:spacing w:before="8"/>
        <w:rPr>
          <w:sz w:val="26"/>
        </w:rPr>
      </w:pPr>
    </w:p>
    <w:p>
      <w:pPr>
        <w:pStyle w:val="ListParagraph"/>
        <w:numPr>
          <w:ilvl w:val="1"/>
          <w:numId w:val="6"/>
        </w:numPr>
        <w:tabs>
          <w:tab w:pos="863" w:val="left" w:leader="none"/>
          <w:tab w:pos="2847" w:val="left" w:leader="none"/>
        </w:tabs>
        <w:spacing w:line="273" w:lineRule="auto" w:before="0" w:after="0"/>
        <w:ind w:left="2848" w:right="217" w:hanging="2729"/>
        <w:jc w:val="both"/>
        <w:rPr>
          <w:sz w:val="21"/>
        </w:rPr>
      </w:pPr>
      <w:r>
        <w:rPr>
          <w:b/>
          <w:sz w:val="21"/>
        </w:rPr>
        <w:t>初次发生</w:t>
        <w:tab/>
      </w:r>
      <w:r>
        <w:rPr>
          <w:sz w:val="21"/>
        </w:rPr>
        <w:t>指被保险人首次出现重大疾病的前兆或异常的身体状况</w:t>
      </w:r>
      <w:r>
        <w:rPr>
          <w:spacing w:val="-23"/>
          <w:sz w:val="21"/>
        </w:rPr>
        <w:t>，</w:t>
      </w:r>
      <w:r>
        <w:rPr>
          <w:sz w:val="21"/>
        </w:rPr>
        <w:t>包括与重大疾病相关的症状及体征。</w:t>
      </w:r>
    </w:p>
    <w:p>
      <w:pPr>
        <w:pStyle w:val="BodyText"/>
        <w:spacing w:before="5"/>
        <w:rPr>
          <w:sz w:val="24"/>
        </w:rPr>
      </w:pPr>
    </w:p>
    <w:p>
      <w:pPr>
        <w:pStyle w:val="ListParagraph"/>
        <w:numPr>
          <w:ilvl w:val="1"/>
          <w:numId w:val="6"/>
        </w:numPr>
        <w:tabs>
          <w:tab w:pos="863" w:val="left" w:leader="none"/>
          <w:tab w:pos="2847" w:val="left" w:leader="none"/>
        </w:tabs>
        <w:spacing w:line="273" w:lineRule="auto" w:before="0" w:after="0"/>
        <w:ind w:left="2848" w:right="217" w:hanging="2729"/>
        <w:jc w:val="both"/>
        <w:rPr>
          <w:sz w:val="21"/>
        </w:rPr>
      </w:pPr>
      <w:r>
        <w:rPr>
          <w:b/>
          <w:sz w:val="21"/>
        </w:rPr>
        <w:t>医院</w:t>
        <w:tab/>
      </w:r>
      <w:r>
        <w:rPr>
          <w:sz w:val="21"/>
        </w:rPr>
        <w:t>指国家卫生部医院等级分类中的二级或二级以上的公立医院</w:t>
      </w:r>
      <w:r>
        <w:rPr>
          <w:spacing w:val="-23"/>
          <w:sz w:val="21"/>
        </w:rPr>
        <w:t>，</w:t>
      </w:r>
      <w:r>
        <w:rPr>
          <w:sz w:val="21"/>
        </w:rPr>
        <w:t>但不包括附属于前述医院或单独作为诊所</w:t>
      </w:r>
      <w:r>
        <w:rPr>
          <w:spacing w:val="-5"/>
          <w:sz w:val="21"/>
        </w:rPr>
        <w:t>、</w:t>
      </w:r>
      <w:r>
        <w:rPr>
          <w:sz w:val="21"/>
        </w:rPr>
        <w:t>康复</w:t>
      </w:r>
      <w:r>
        <w:rPr>
          <w:spacing w:val="-5"/>
          <w:sz w:val="21"/>
        </w:rPr>
        <w:t>、</w:t>
      </w:r>
      <w:r>
        <w:rPr>
          <w:sz w:val="21"/>
        </w:rPr>
        <w:t>护理</w:t>
      </w:r>
      <w:r>
        <w:rPr>
          <w:spacing w:val="-5"/>
          <w:sz w:val="21"/>
        </w:rPr>
        <w:t>、</w:t>
      </w:r>
      <w:r>
        <w:rPr>
          <w:sz w:val="21"/>
        </w:rPr>
        <w:t>疗养</w:t>
      </w:r>
      <w:r>
        <w:rPr>
          <w:spacing w:val="-5"/>
          <w:sz w:val="21"/>
        </w:rPr>
        <w:t>、</w:t>
      </w:r>
      <w:r>
        <w:rPr>
          <w:sz w:val="21"/>
        </w:rPr>
        <w:t>戒酒</w:t>
      </w:r>
      <w:r>
        <w:rPr>
          <w:spacing w:val="-5"/>
          <w:sz w:val="21"/>
        </w:rPr>
        <w:t>、</w:t>
      </w:r>
      <w:r>
        <w:rPr>
          <w:sz w:val="21"/>
        </w:rPr>
        <w:t>戒毒等或相类似的医疗机构</w:t>
      </w:r>
      <w:r>
        <w:rPr>
          <w:spacing w:val="-12"/>
          <w:sz w:val="21"/>
        </w:rPr>
        <w:t>。</w:t>
      </w:r>
      <w:r>
        <w:rPr>
          <w:sz w:val="21"/>
        </w:rPr>
        <w:t>同时该医院必须具有符合有关医院管理规定设置标准的医疗设备</w:t>
      </w:r>
      <w:r>
        <w:rPr>
          <w:spacing w:val="-12"/>
          <w:sz w:val="21"/>
        </w:rPr>
        <w:t>，</w:t>
      </w:r>
      <w:r>
        <w:rPr>
          <w:sz w:val="21"/>
        </w:rPr>
        <w:t>并且全日二十四小时有合格医师及护士驻院提供医疗和护理等服务。</w:t>
      </w:r>
    </w:p>
    <w:p>
      <w:pPr>
        <w:pStyle w:val="BodyText"/>
        <w:spacing w:before="5"/>
        <w:rPr>
          <w:sz w:val="24"/>
        </w:rPr>
      </w:pPr>
    </w:p>
    <w:p>
      <w:pPr>
        <w:pStyle w:val="ListParagraph"/>
        <w:numPr>
          <w:ilvl w:val="1"/>
          <w:numId w:val="6"/>
        </w:numPr>
        <w:tabs>
          <w:tab w:pos="862" w:val="left" w:leader="none"/>
          <w:tab w:pos="863" w:val="left" w:leader="none"/>
          <w:tab w:pos="2847" w:val="left" w:leader="none"/>
        </w:tabs>
        <w:spacing w:line="240" w:lineRule="auto" w:before="0" w:after="0"/>
        <w:ind w:left="862" w:right="0" w:hanging="743"/>
        <w:jc w:val="left"/>
        <w:rPr>
          <w:sz w:val="21"/>
        </w:rPr>
      </w:pPr>
      <w:r>
        <w:rPr>
          <w:b/>
          <w:sz w:val="21"/>
        </w:rPr>
        <w:t>专科医生</w:t>
        <w:tab/>
      </w:r>
      <w:r>
        <w:rPr>
          <w:sz w:val="21"/>
        </w:rPr>
        <w:t>专科医生应当同时满足以下四项资格条件：</w:t>
      </w:r>
    </w:p>
    <w:p>
      <w:pPr>
        <w:pStyle w:val="BodyText"/>
        <w:ind w:left="2848"/>
      </w:pPr>
      <w:r>
        <w:rPr/>
        <w:t>（1）具有有效的中华人民共和国《医师资格证书》；</w:t>
      </w:r>
    </w:p>
    <w:p>
      <w:pPr>
        <w:pStyle w:val="BodyText"/>
        <w:spacing w:line="273" w:lineRule="auto"/>
        <w:ind w:left="3371" w:right="217" w:hanging="526"/>
      </w:pPr>
      <w:r>
        <w:rPr>
          <w:spacing w:val="-3"/>
        </w:rPr>
        <w:t>（2）</w:t>
      </w:r>
      <w:r>
        <w:rPr>
          <w:spacing w:val="-8"/>
        </w:rPr>
        <w:t>具有有效的中华人民共和国《医师执业证书》，并按期到相关部门登记注</w:t>
      </w:r>
      <w:r>
        <w:rPr>
          <w:spacing w:val="-1"/>
        </w:rPr>
        <w:t>册；</w:t>
      </w:r>
    </w:p>
    <w:p>
      <w:pPr>
        <w:pStyle w:val="BodyText"/>
        <w:spacing w:line="273" w:lineRule="auto" w:before="7"/>
        <w:ind w:left="3373" w:right="218" w:hanging="526"/>
      </w:pPr>
      <w:r>
        <w:rPr/>
        <w:t>（3）具有有效的中华人民共和国主治医师或主治医师以上职称的《医师职称证书》；</w:t>
      </w:r>
    </w:p>
    <w:p>
      <w:pPr>
        <w:pStyle w:val="BodyText"/>
        <w:spacing w:before="7"/>
        <w:ind w:left="2848"/>
      </w:pPr>
      <w:r>
        <w:rPr/>
        <w:t>（4）在二级或二级以上医院的相应科室从事临床工作三年以上。</w:t>
      </w:r>
    </w:p>
    <w:p>
      <w:pPr>
        <w:pStyle w:val="BodyText"/>
        <w:spacing w:before="8"/>
        <w:rPr>
          <w:sz w:val="26"/>
        </w:rPr>
      </w:pPr>
    </w:p>
    <w:p>
      <w:pPr>
        <w:pStyle w:val="ListParagraph"/>
        <w:numPr>
          <w:ilvl w:val="1"/>
          <w:numId w:val="6"/>
        </w:numPr>
        <w:tabs>
          <w:tab w:pos="861" w:val="left" w:leader="none"/>
          <w:tab w:pos="863" w:val="left" w:leader="none"/>
          <w:tab w:pos="2847" w:val="left" w:leader="none"/>
        </w:tabs>
        <w:spacing w:line="273" w:lineRule="auto" w:before="0" w:after="0"/>
        <w:ind w:left="2848" w:right="217" w:hanging="2729"/>
        <w:jc w:val="left"/>
        <w:rPr>
          <w:sz w:val="21"/>
        </w:rPr>
      </w:pPr>
      <w:r>
        <w:rPr>
          <w:b/>
          <w:sz w:val="21"/>
        </w:rPr>
        <w:t>毒品</w:t>
        <w:tab/>
      </w:r>
      <w:r>
        <w:rPr>
          <w:spacing w:val="-1"/>
          <w:sz w:val="21"/>
        </w:rPr>
        <w:t>指中</w:t>
      </w:r>
      <w:r>
        <w:rPr>
          <w:sz w:val="21"/>
        </w:rPr>
        <w:t>华人民共和国刑法规定的鸦片、海洛因、甲基苯丙胺（冰毒</w:t>
      </w:r>
      <w:r>
        <w:rPr>
          <w:spacing w:val="-105"/>
          <w:sz w:val="21"/>
        </w:rPr>
        <w:t>）</w:t>
      </w:r>
      <w:r>
        <w:rPr>
          <w:sz w:val="21"/>
        </w:rPr>
        <w:t>、吗啡、大麻、可卡因以及国家规定管制的其他能够使人形成瘾癖的麻醉药品和精神药品</w:t>
      </w:r>
      <w:r>
        <w:rPr>
          <w:spacing w:val="-23"/>
          <w:sz w:val="21"/>
        </w:rPr>
        <w:t>，</w:t>
      </w:r>
      <w:r>
        <w:rPr>
          <w:sz w:val="21"/>
        </w:rPr>
        <w:t>但不包括由医生开具并遵医嘱使用的用于治疗疾病但含有毒品成分的处方药品。</w:t>
      </w:r>
    </w:p>
    <w:p>
      <w:pPr>
        <w:pStyle w:val="BodyText"/>
        <w:spacing w:before="0"/>
        <w:rPr>
          <w:sz w:val="25"/>
        </w:rPr>
      </w:pPr>
    </w:p>
    <w:p>
      <w:pPr>
        <w:pStyle w:val="ListParagraph"/>
        <w:numPr>
          <w:ilvl w:val="1"/>
          <w:numId w:val="6"/>
        </w:numPr>
        <w:tabs>
          <w:tab w:pos="863" w:val="left" w:leader="none"/>
          <w:tab w:pos="2847" w:val="left" w:leader="none"/>
        </w:tabs>
        <w:spacing w:line="273" w:lineRule="auto" w:before="0" w:after="0"/>
        <w:ind w:left="2848" w:right="216" w:hanging="2729"/>
        <w:jc w:val="both"/>
        <w:rPr>
          <w:sz w:val="21"/>
        </w:rPr>
      </w:pPr>
      <w:r>
        <w:rPr>
          <w:b/>
          <w:sz w:val="21"/>
        </w:rPr>
        <w:t>酒后驾驶</w:t>
        <w:tab/>
      </w:r>
      <w:r>
        <w:rPr>
          <w:sz w:val="21"/>
        </w:rPr>
        <w:t>指经检测或鉴定</w:t>
      </w:r>
      <w:r>
        <w:rPr>
          <w:spacing w:val="-23"/>
          <w:sz w:val="21"/>
        </w:rPr>
        <w:t>，</w:t>
      </w:r>
      <w:r>
        <w:rPr>
          <w:sz w:val="21"/>
        </w:rPr>
        <w:t>发生事故时车辆驾驶人员每百毫升血液中的酒精含量达到或超过一定的标准</w:t>
      </w:r>
      <w:r>
        <w:rPr>
          <w:spacing w:val="-8"/>
          <w:sz w:val="21"/>
        </w:rPr>
        <w:t>，</w:t>
      </w:r>
      <w:r>
        <w:rPr>
          <w:sz w:val="21"/>
        </w:rPr>
        <w:t>公安机关交通管理部门依</w:t>
      </w:r>
      <w:r>
        <w:rPr>
          <w:spacing w:val="-8"/>
          <w:sz w:val="21"/>
        </w:rPr>
        <w:t>据</w:t>
      </w:r>
      <w:r>
        <w:rPr>
          <w:sz w:val="21"/>
        </w:rPr>
        <w:t>《道路交通安全法</w:t>
      </w:r>
      <w:r>
        <w:rPr>
          <w:spacing w:val="-8"/>
          <w:sz w:val="21"/>
        </w:rPr>
        <w:t>》</w:t>
      </w:r>
      <w:r>
        <w:rPr>
          <w:sz w:val="21"/>
        </w:rPr>
        <w:t>的规定认定为饮酒后驾驶或醉酒后驾驶。</w:t>
      </w:r>
    </w:p>
    <w:p>
      <w:pPr>
        <w:spacing w:after="0" w:line="273" w:lineRule="auto"/>
        <w:jc w:val="both"/>
        <w:rPr>
          <w:sz w:val="21"/>
        </w:rPr>
        <w:sectPr>
          <w:pgSz w:w="11910" w:h="16840"/>
          <w:pgMar w:top="1100" w:bottom="280" w:left="800" w:right="9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
        <w:gridCol w:w="1996"/>
        <w:gridCol w:w="7234"/>
      </w:tblGrid>
      <w:tr>
        <w:trPr>
          <w:trHeight w:val="273" w:hRule="atLeast"/>
        </w:trPr>
        <w:tc>
          <w:tcPr>
            <w:tcW w:w="633" w:type="dxa"/>
          </w:tcPr>
          <w:p>
            <w:pPr>
              <w:pStyle w:val="TableParagraph"/>
              <w:spacing w:line="210" w:lineRule="exact"/>
              <w:ind w:left="50"/>
              <w:jc w:val="left"/>
              <w:rPr>
                <w:rFonts w:ascii="宋体"/>
                <w:b/>
                <w:sz w:val="21"/>
              </w:rPr>
            </w:pPr>
            <w:r>
              <w:rPr>
                <w:rFonts w:ascii="宋体"/>
                <w:b/>
                <w:sz w:val="21"/>
              </w:rPr>
              <w:t>8.14</w:t>
            </w:r>
          </w:p>
        </w:tc>
        <w:tc>
          <w:tcPr>
            <w:tcW w:w="1996" w:type="dxa"/>
          </w:tcPr>
          <w:p>
            <w:pPr>
              <w:pStyle w:val="TableParagraph"/>
              <w:spacing w:line="235" w:lineRule="exact"/>
              <w:ind w:left="159"/>
              <w:jc w:val="left"/>
              <w:rPr>
                <w:rFonts w:ascii="宋体" w:eastAsia="宋体" w:hint="eastAsia"/>
                <w:b/>
                <w:sz w:val="21"/>
              </w:rPr>
            </w:pPr>
            <w:r>
              <w:rPr>
                <w:rFonts w:ascii="宋体" w:eastAsia="宋体" w:hint="eastAsia"/>
                <w:b/>
                <w:w w:val="95"/>
                <w:sz w:val="21"/>
              </w:rPr>
              <w:t>无合法有效驾驶证</w:t>
            </w:r>
          </w:p>
        </w:tc>
        <w:tc>
          <w:tcPr>
            <w:tcW w:w="7234" w:type="dxa"/>
          </w:tcPr>
          <w:p>
            <w:pPr>
              <w:pStyle w:val="TableParagraph"/>
              <w:spacing w:line="210" w:lineRule="exact"/>
              <w:ind w:left="149"/>
              <w:jc w:val="left"/>
              <w:rPr>
                <w:rFonts w:ascii="宋体" w:eastAsia="宋体" w:hint="eastAsia"/>
                <w:sz w:val="21"/>
              </w:rPr>
            </w:pPr>
            <w:r>
              <w:rPr>
                <w:rFonts w:ascii="宋体" w:eastAsia="宋体" w:hint="eastAsia"/>
                <w:sz w:val="21"/>
              </w:rPr>
              <w:t>指下列情形之一：</w:t>
            </w:r>
          </w:p>
        </w:tc>
      </w:tr>
      <w:tr>
        <w:trPr>
          <w:trHeight w:val="611" w:hRule="atLeast"/>
        </w:trPr>
        <w:tc>
          <w:tcPr>
            <w:tcW w:w="633" w:type="dxa"/>
          </w:tcPr>
          <w:p>
            <w:pPr>
              <w:pStyle w:val="TableParagraph"/>
              <w:spacing w:line="240" w:lineRule="auto"/>
              <w:jc w:val="left"/>
              <w:rPr>
                <w:rFonts w:ascii="Times New Roman"/>
                <w:sz w:val="20"/>
              </w:rPr>
            </w:pPr>
          </w:p>
        </w:tc>
        <w:tc>
          <w:tcPr>
            <w:tcW w:w="1996" w:type="dxa"/>
          </w:tcPr>
          <w:p>
            <w:pPr>
              <w:pStyle w:val="TableParagraph"/>
              <w:spacing w:line="240" w:lineRule="auto" w:before="7"/>
              <w:ind w:left="159"/>
              <w:jc w:val="left"/>
              <w:rPr>
                <w:rFonts w:ascii="宋体" w:eastAsia="宋体" w:hint="eastAsia"/>
                <w:b/>
                <w:sz w:val="21"/>
              </w:rPr>
            </w:pPr>
            <w:r>
              <w:rPr>
                <w:rFonts w:ascii="宋体" w:eastAsia="宋体" w:hint="eastAsia"/>
                <w:b/>
                <w:sz w:val="21"/>
              </w:rPr>
              <w:t>驾驶</w:t>
            </w:r>
          </w:p>
        </w:tc>
        <w:tc>
          <w:tcPr>
            <w:tcW w:w="7234" w:type="dxa"/>
          </w:tcPr>
          <w:p>
            <w:pPr>
              <w:pStyle w:val="TableParagraph"/>
              <w:spacing w:line="248" w:lineRule="exact"/>
              <w:ind w:left="149"/>
              <w:jc w:val="left"/>
              <w:rPr>
                <w:rFonts w:ascii="宋体" w:eastAsia="宋体" w:hint="eastAsia"/>
                <w:sz w:val="21"/>
              </w:rPr>
            </w:pPr>
            <w:r>
              <w:rPr>
                <w:rFonts w:ascii="宋体" w:eastAsia="宋体" w:hint="eastAsia"/>
                <w:sz w:val="21"/>
              </w:rPr>
              <w:t>（1）没有取得驾驶资格；</w:t>
            </w:r>
          </w:p>
          <w:p>
            <w:pPr>
              <w:pStyle w:val="TableParagraph"/>
              <w:spacing w:line="240" w:lineRule="auto" w:before="37"/>
              <w:ind w:left="149"/>
              <w:jc w:val="left"/>
              <w:rPr>
                <w:rFonts w:ascii="宋体" w:eastAsia="宋体" w:hint="eastAsia"/>
                <w:sz w:val="21"/>
              </w:rPr>
            </w:pPr>
            <w:r>
              <w:rPr>
                <w:rFonts w:ascii="宋体" w:eastAsia="宋体" w:hint="eastAsia"/>
                <w:sz w:val="21"/>
              </w:rPr>
              <w:t>（2）驾驶与驾驶证准驾车型不相符合的车辆；</w:t>
            </w:r>
          </w:p>
        </w:tc>
      </w:tr>
      <w:tr>
        <w:trPr>
          <w:trHeight w:val="311" w:hRule="atLeast"/>
        </w:trPr>
        <w:tc>
          <w:tcPr>
            <w:tcW w:w="633" w:type="dxa"/>
          </w:tcPr>
          <w:p>
            <w:pPr>
              <w:pStyle w:val="TableParagraph"/>
              <w:spacing w:line="240" w:lineRule="auto"/>
              <w:jc w:val="left"/>
              <w:rPr>
                <w:rFonts w:ascii="Times New Roman"/>
                <w:sz w:val="20"/>
              </w:rPr>
            </w:pPr>
          </w:p>
        </w:tc>
        <w:tc>
          <w:tcPr>
            <w:tcW w:w="1996" w:type="dxa"/>
          </w:tcPr>
          <w:p>
            <w:pPr>
              <w:pStyle w:val="TableParagraph"/>
              <w:spacing w:line="240" w:lineRule="auto"/>
              <w:jc w:val="left"/>
              <w:rPr>
                <w:rFonts w:ascii="Times New Roman"/>
                <w:sz w:val="20"/>
              </w:rPr>
            </w:pPr>
          </w:p>
        </w:tc>
        <w:tc>
          <w:tcPr>
            <w:tcW w:w="7234" w:type="dxa"/>
          </w:tcPr>
          <w:p>
            <w:pPr>
              <w:pStyle w:val="TableParagraph"/>
              <w:spacing w:line="261" w:lineRule="exact"/>
              <w:ind w:left="149"/>
              <w:jc w:val="left"/>
              <w:rPr>
                <w:rFonts w:ascii="宋体" w:eastAsia="宋体" w:hint="eastAsia"/>
                <w:sz w:val="21"/>
              </w:rPr>
            </w:pPr>
            <w:r>
              <w:rPr>
                <w:rFonts w:ascii="宋体" w:eastAsia="宋体" w:hint="eastAsia"/>
                <w:sz w:val="21"/>
              </w:rPr>
              <w:t>（3）持审验不合格的驾驶证驾驶；</w:t>
            </w:r>
          </w:p>
        </w:tc>
      </w:tr>
      <w:tr>
        <w:trPr>
          <w:trHeight w:val="260" w:hRule="atLeast"/>
        </w:trPr>
        <w:tc>
          <w:tcPr>
            <w:tcW w:w="633" w:type="dxa"/>
          </w:tcPr>
          <w:p>
            <w:pPr>
              <w:pStyle w:val="TableParagraph"/>
              <w:spacing w:line="240" w:lineRule="auto"/>
              <w:jc w:val="left"/>
              <w:rPr>
                <w:rFonts w:ascii="Times New Roman"/>
                <w:sz w:val="18"/>
              </w:rPr>
            </w:pPr>
          </w:p>
        </w:tc>
        <w:tc>
          <w:tcPr>
            <w:tcW w:w="1996" w:type="dxa"/>
          </w:tcPr>
          <w:p>
            <w:pPr>
              <w:pStyle w:val="TableParagraph"/>
              <w:spacing w:line="240" w:lineRule="auto"/>
              <w:jc w:val="left"/>
              <w:rPr>
                <w:rFonts w:ascii="Times New Roman"/>
                <w:sz w:val="18"/>
              </w:rPr>
            </w:pPr>
          </w:p>
        </w:tc>
        <w:tc>
          <w:tcPr>
            <w:tcW w:w="7234" w:type="dxa"/>
          </w:tcPr>
          <w:p>
            <w:pPr>
              <w:pStyle w:val="TableParagraph"/>
              <w:spacing w:line="241" w:lineRule="exact"/>
              <w:ind w:left="149"/>
              <w:jc w:val="left"/>
              <w:rPr>
                <w:rFonts w:ascii="宋体" w:eastAsia="宋体" w:hint="eastAsia"/>
                <w:sz w:val="21"/>
              </w:rPr>
            </w:pPr>
            <w:r>
              <w:rPr>
                <w:rFonts w:ascii="宋体" w:eastAsia="宋体" w:hint="eastAsia"/>
                <w:sz w:val="21"/>
              </w:rPr>
              <w:t>（4）持学习驾驶证学习驾车时，无教练员随车指导，或不按指定时间、路线</w:t>
            </w:r>
          </w:p>
        </w:tc>
      </w:tr>
    </w:tbl>
    <w:p>
      <w:pPr>
        <w:pStyle w:val="BodyText"/>
        <w:spacing w:before="41"/>
        <w:ind w:left="3378"/>
      </w:pPr>
      <w:r>
        <w:rPr/>
        <w:t>学习驾车。</w:t>
      </w:r>
    </w:p>
    <w:p>
      <w:pPr>
        <w:pStyle w:val="BodyText"/>
        <w:spacing w:before="8"/>
        <w:rPr>
          <w:sz w:val="26"/>
        </w:rPr>
      </w:pPr>
    </w:p>
    <w:p>
      <w:pPr>
        <w:pStyle w:val="ListParagraph"/>
        <w:numPr>
          <w:ilvl w:val="1"/>
          <w:numId w:val="8"/>
        </w:numPr>
        <w:tabs>
          <w:tab w:pos="902" w:val="left" w:leader="none"/>
          <w:tab w:pos="903" w:val="left" w:leader="none"/>
          <w:tab w:pos="2887" w:val="left" w:leader="none"/>
        </w:tabs>
        <w:spacing w:line="240" w:lineRule="auto" w:before="1" w:after="0"/>
        <w:ind w:left="901" w:right="0" w:hanging="742"/>
        <w:jc w:val="left"/>
        <w:rPr>
          <w:sz w:val="21"/>
        </w:rPr>
      </w:pPr>
      <w:r>
        <w:rPr>
          <w:b/>
          <w:sz w:val="21"/>
        </w:rPr>
        <w:t>无有效行驶证</w:t>
        <w:tab/>
      </w:r>
      <w:r>
        <w:rPr>
          <w:sz w:val="21"/>
        </w:rPr>
        <w:t>指下列情形之一：</w:t>
      </w:r>
    </w:p>
    <w:p>
      <w:pPr>
        <w:pStyle w:val="BodyText"/>
        <w:ind w:left="2887"/>
      </w:pPr>
      <w:r>
        <w:rPr/>
        <w:t>（1）机动车被依法注销登记的；</w:t>
      </w:r>
    </w:p>
    <w:p>
      <w:pPr>
        <w:pStyle w:val="BodyText"/>
        <w:ind w:left="2887"/>
      </w:pPr>
      <w:r>
        <w:rPr/>
        <w:t>（2）未依法按时进行或通过机动车安全技术检验。</w:t>
      </w:r>
    </w:p>
    <w:p>
      <w:pPr>
        <w:pStyle w:val="BodyText"/>
        <w:spacing w:before="0"/>
        <w:rPr>
          <w:sz w:val="24"/>
        </w:rPr>
      </w:pPr>
    </w:p>
    <w:p>
      <w:pPr>
        <w:spacing w:after="0"/>
        <w:rPr>
          <w:sz w:val="24"/>
        </w:rPr>
        <w:sectPr>
          <w:pgSz w:w="11910" w:h="16840"/>
          <w:pgMar w:top="1180" w:bottom="280" w:left="760" w:right="920"/>
        </w:sectPr>
      </w:pPr>
    </w:p>
    <w:p>
      <w:pPr>
        <w:pStyle w:val="Heading6"/>
        <w:numPr>
          <w:ilvl w:val="1"/>
          <w:numId w:val="8"/>
        </w:numPr>
        <w:tabs>
          <w:tab w:pos="901" w:val="left" w:leader="none"/>
          <w:tab w:pos="902" w:val="left" w:leader="none"/>
        </w:tabs>
        <w:spacing w:line="273" w:lineRule="auto" w:before="35" w:after="0"/>
        <w:ind w:left="901" w:right="0" w:hanging="742"/>
        <w:jc w:val="left"/>
      </w:pPr>
      <w:r>
        <w:rPr>
          <w:spacing w:val="10"/>
        </w:rPr>
        <w:t>感染艾滋病病毒或</w:t>
      </w:r>
      <w:r>
        <w:rPr/>
        <w:t>患艾滋病</w:t>
      </w:r>
    </w:p>
    <w:p>
      <w:pPr>
        <w:pStyle w:val="BodyText"/>
        <w:spacing w:line="273" w:lineRule="auto" w:before="35"/>
        <w:ind w:left="159" w:right="247"/>
        <w:jc w:val="both"/>
      </w:pPr>
      <w:r>
        <w:rPr/>
        <w:br w:type="column"/>
      </w:r>
      <w:r>
        <w:rPr>
          <w:spacing w:val="-3"/>
        </w:rPr>
        <w:t>艾滋病病毒指人类免疫缺陷病毒，英文缩写为 </w:t>
      </w:r>
      <w:r>
        <w:rPr/>
        <w:t>HIV。艾滋病指人类免疫缺陷病</w:t>
      </w:r>
      <w:r>
        <w:rPr>
          <w:spacing w:val="-4"/>
        </w:rPr>
        <w:t>毒引起的获得性免疫缺陷综合症，英文缩写为 </w:t>
      </w:r>
      <w:r>
        <w:rPr/>
        <w:t>AIDS。</w:t>
      </w:r>
    </w:p>
    <w:p>
      <w:pPr>
        <w:pStyle w:val="BodyText"/>
        <w:spacing w:before="5"/>
        <w:rPr>
          <w:sz w:val="24"/>
        </w:rPr>
      </w:pPr>
    </w:p>
    <w:p>
      <w:pPr>
        <w:pStyle w:val="BodyText"/>
        <w:spacing w:line="273" w:lineRule="auto" w:before="0"/>
        <w:ind w:left="159" w:right="216"/>
        <w:jc w:val="both"/>
      </w:pPr>
      <w:r>
        <w:rPr>
          <w:spacing w:val="-1"/>
        </w:rPr>
        <w:t>在人体血液或其它样本中检测到艾滋病病毒或其抗体呈阳性，没有出现临床症</w:t>
      </w:r>
      <w:r>
        <w:rPr>
          <w:spacing w:val="-5"/>
        </w:rPr>
        <w:t>状或体征的，为感染艾滋病病毒；如果同时出现了明显临床症状或体征的，为患艾滋病。</w:t>
      </w:r>
    </w:p>
    <w:p>
      <w:pPr>
        <w:spacing w:after="0" w:line="273" w:lineRule="auto"/>
        <w:jc w:val="both"/>
        <w:sectPr>
          <w:type w:val="continuous"/>
          <w:pgSz w:w="11910" w:h="16840"/>
          <w:pgMar w:top="520" w:bottom="280" w:left="760" w:right="920"/>
          <w:cols w:num="2" w:equalWidth="0">
            <w:col w:w="2686" w:space="43"/>
            <w:col w:w="7501"/>
          </w:cols>
        </w:sectPr>
      </w:pPr>
    </w:p>
    <w:p>
      <w:pPr>
        <w:pStyle w:val="BodyText"/>
        <w:spacing w:before="9"/>
      </w:pPr>
    </w:p>
    <w:p>
      <w:pPr>
        <w:pStyle w:val="ListParagraph"/>
        <w:numPr>
          <w:ilvl w:val="1"/>
          <w:numId w:val="8"/>
        </w:numPr>
        <w:tabs>
          <w:tab w:pos="901" w:val="left" w:leader="none"/>
          <w:tab w:pos="902" w:val="left" w:leader="none"/>
          <w:tab w:pos="2887" w:val="left" w:leader="none"/>
        </w:tabs>
        <w:spacing w:line="273" w:lineRule="auto" w:before="35" w:after="0"/>
        <w:ind w:left="2887" w:right="218" w:hanging="2728"/>
        <w:jc w:val="left"/>
        <w:rPr>
          <w:sz w:val="21"/>
        </w:rPr>
      </w:pPr>
      <w:r>
        <w:rPr>
          <w:b/>
          <w:sz w:val="21"/>
        </w:rPr>
        <w:t>遗传性疾病</w:t>
        <w:tab/>
      </w:r>
      <w:r>
        <w:rPr>
          <w:sz w:val="21"/>
        </w:rPr>
        <w:t>指生殖细胞或受精卵的遗传物</w:t>
      </w:r>
      <w:r>
        <w:rPr>
          <w:spacing w:val="-7"/>
          <w:sz w:val="21"/>
        </w:rPr>
        <w:t>质</w:t>
      </w:r>
      <w:r>
        <w:rPr>
          <w:sz w:val="21"/>
        </w:rPr>
        <w:t>（染色体和基因</w:t>
      </w:r>
      <w:r>
        <w:rPr>
          <w:spacing w:val="-7"/>
          <w:sz w:val="21"/>
        </w:rPr>
        <w:t>）</w:t>
      </w:r>
      <w:r>
        <w:rPr>
          <w:sz w:val="21"/>
        </w:rPr>
        <w:t>发生突</w:t>
      </w:r>
      <w:r>
        <w:rPr>
          <w:spacing w:val="-7"/>
          <w:sz w:val="21"/>
        </w:rPr>
        <w:t>变</w:t>
      </w:r>
      <w:r>
        <w:rPr>
          <w:sz w:val="21"/>
        </w:rPr>
        <w:t>（或畸变</w:t>
      </w:r>
      <w:r>
        <w:rPr>
          <w:spacing w:val="-7"/>
          <w:sz w:val="21"/>
        </w:rPr>
        <w:t>）</w:t>
      </w:r>
      <w:r>
        <w:rPr>
          <w:sz w:val="21"/>
        </w:rPr>
        <w:t>所引起的疾病，通常具有由亲代传至后代的垂直传递的特征。</w:t>
      </w:r>
    </w:p>
    <w:p>
      <w:pPr>
        <w:pStyle w:val="BodyText"/>
        <w:spacing w:before="9"/>
      </w:pPr>
    </w:p>
    <w:p>
      <w:pPr>
        <w:spacing w:after="0"/>
        <w:sectPr>
          <w:type w:val="continuous"/>
          <w:pgSz w:w="11910" w:h="16840"/>
          <w:pgMar w:top="520" w:bottom="280" w:left="760" w:right="920"/>
        </w:sectPr>
      </w:pPr>
    </w:p>
    <w:p>
      <w:pPr>
        <w:pStyle w:val="Heading6"/>
        <w:numPr>
          <w:ilvl w:val="1"/>
          <w:numId w:val="8"/>
        </w:numPr>
        <w:tabs>
          <w:tab w:pos="901" w:val="left" w:leader="none"/>
          <w:tab w:pos="902" w:val="left" w:leader="none"/>
        </w:tabs>
        <w:spacing w:line="273" w:lineRule="auto" w:before="35" w:after="0"/>
        <w:ind w:left="901" w:right="0" w:hanging="742"/>
        <w:jc w:val="left"/>
      </w:pPr>
      <w:r>
        <w:rPr>
          <w:spacing w:val="10"/>
        </w:rPr>
        <w:t>先天性畸形、变形</w:t>
      </w:r>
      <w:r>
        <w:rPr>
          <w:w w:val="95"/>
        </w:rPr>
        <w:t>或染色体异常</w:t>
      </w:r>
    </w:p>
    <w:p>
      <w:pPr>
        <w:pStyle w:val="BodyText"/>
        <w:spacing w:line="273" w:lineRule="auto" w:before="35"/>
        <w:ind w:left="159" w:right="113"/>
      </w:pPr>
      <w:r>
        <w:rPr/>
        <w:br w:type="column"/>
      </w:r>
      <w:r>
        <w:rPr>
          <w:spacing w:val="-3"/>
        </w:rPr>
        <w:t>指被保险人出生时就具有的畸形、变形或染色体异常。先天性畸形、变形和染</w:t>
      </w:r>
      <w:r>
        <w:rPr>
          <w:spacing w:val="-4"/>
        </w:rPr>
        <w:t>色体异常依照世界卫生组织《疾病和有关健康问题的国际统计分类</w:t>
      </w:r>
      <w:r>
        <w:rPr>
          <w:spacing w:val="-117"/>
        </w:rPr>
        <w:t>》</w:t>
      </w:r>
      <w:r>
        <w:rPr/>
        <w:t>（ICD-10） 确定。</w:t>
      </w:r>
    </w:p>
    <w:p>
      <w:pPr>
        <w:spacing w:after="0" w:line="273" w:lineRule="auto"/>
        <w:sectPr>
          <w:type w:val="continuous"/>
          <w:pgSz w:w="11910" w:h="16840"/>
          <w:pgMar w:top="520" w:bottom="280" w:left="760" w:right="920"/>
          <w:cols w:num="2" w:equalWidth="0">
            <w:col w:w="2686" w:space="43"/>
            <w:col w:w="7501"/>
          </w:cols>
        </w:sectPr>
      </w:pPr>
    </w:p>
    <w:p>
      <w:pPr>
        <w:pStyle w:val="Heading1"/>
        <w:spacing w:line="405" w:lineRule="exact"/>
        <w:ind w:left="241"/>
        <w:jc w:val="left"/>
        <w:rPr>
          <w:rFonts w:ascii="黑体" w:eastAsia="黑体" w:hint="eastAsia"/>
        </w:rPr>
      </w:pPr>
      <w:r>
        <w:rPr>
          <w:rFonts w:ascii="黑体" w:eastAsia="黑体" w:hint="eastAsia"/>
          <w:w w:val="95"/>
        </w:rPr>
        <w:t>附表：</w:t>
      </w:r>
    </w:p>
    <w:p>
      <w:pPr>
        <w:pStyle w:val="BodyText"/>
        <w:spacing w:before="7"/>
        <w:rPr>
          <w:rFonts w:ascii="黑体"/>
          <w:b/>
          <w:sz w:val="27"/>
        </w:rPr>
      </w:pPr>
    </w:p>
    <w:p>
      <w:pPr>
        <w:spacing w:before="1"/>
        <w:ind w:left="1340" w:right="1259" w:firstLine="0"/>
        <w:jc w:val="center"/>
        <w:rPr>
          <w:rFonts w:ascii="黑体" w:eastAsia="黑体" w:hint="eastAsia"/>
          <w:b/>
          <w:sz w:val="32"/>
        </w:rPr>
      </w:pPr>
      <w:r>
        <w:rPr>
          <w:rFonts w:ascii="黑体" w:eastAsia="黑体" w:hint="eastAsia"/>
          <w:b/>
          <w:w w:val="95"/>
          <w:sz w:val="32"/>
        </w:rPr>
        <w:t>国华附加万能提前给付重大疾病保险年风险保险费费率表</w:t>
      </w:r>
    </w:p>
    <w:p>
      <w:pPr>
        <w:pStyle w:val="Heading3"/>
        <w:spacing w:before="270"/>
        <w:ind w:left="1340" w:right="1258"/>
      </w:pPr>
      <w:r>
        <w:rPr/>
        <w:t>（标准体每千元基本保险金额）</w:t>
      </w:r>
    </w:p>
    <w:p>
      <w:pPr>
        <w:pStyle w:val="BodyText"/>
        <w:spacing w:before="9"/>
        <w:rPr>
          <w:sz w:val="23"/>
        </w:rPr>
      </w:pPr>
    </w:p>
    <w:p>
      <w:pPr>
        <w:spacing w:before="0" w:after="37"/>
        <w:ind w:left="0" w:right="157" w:firstLine="0"/>
        <w:jc w:val="right"/>
        <w:rPr>
          <w:sz w:val="24"/>
        </w:rPr>
      </w:pPr>
      <w:r>
        <w:rPr>
          <w:sz w:val="24"/>
        </w:rPr>
        <w:t>单位：元</w:t>
      </w:r>
    </w:p>
    <w:tbl>
      <w:tblPr>
        <w:tblW w:w="0" w:type="auto"/>
        <w:jc w:val="left"/>
        <w:tblInd w:w="13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56"/>
        <w:gridCol w:w="1235"/>
        <w:gridCol w:w="1234"/>
        <w:gridCol w:w="996"/>
        <w:gridCol w:w="1079"/>
        <w:gridCol w:w="1078"/>
        <w:gridCol w:w="1408"/>
        <w:gridCol w:w="969"/>
        <w:gridCol w:w="1138"/>
      </w:tblGrid>
      <w:tr>
        <w:trPr>
          <w:trHeight w:val="311" w:hRule="atLeast"/>
        </w:trPr>
        <w:tc>
          <w:tcPr>
            <w:tcW w:w="856" w:type="dxa"/>
            <w:tcBorders>
              <w:bottom w:val="single" w:sz="6" w:space="0" w:color="000000"/>
              <w:right w:val="single" w:sz="6" w:space="0" w:color="000000"/>
            </w:tcBorders>
          </w:tcPr>
          <w:p>
            <w:pPr>
              <w:pStyle w:val="TableParagraph"/>
              <w:ind w:left="166" w:right="144"/>
              <w:rPr>
                <w:rFonts w:ascii="宋体" w:eastAsia="宋体" w:hint="eastAsia"/>
                <w:b/>
                <w:sz w:val="24"/>
              </w:rPr>
            </w:pPr>
            <w:r>
              <w:rPr>
                <w:rFonts w:ascii="宋体" w:eastAsia="宋体" w:hint="eastAsia"/>
                <w:b/>
                <w:sz w:val="24"/>
              </w:rPr>
              <w:t>年龄</w:t>
            </w:r>
          </w:p>
        </w:tc>
        <w:tc>
          <w:tcPr>
            <w:tcW w:w="1235" w:type="dxa"/>
            <w:tcBorders>
              <w:left w:val="single" w:sz="6" w:space="0" w:color="000000"/>
              <w:bottom w:val="single" w:sz="6" w:space="0" w:color="000000"/>
              <w:right w:val="single" w:sz="6" w:space="0" w:color="000000"/>
            </w:tcBorders>
          </w:tcPr>
          <w:p>
            <w:pPr>
              <w:pStyle w:val="TableParagraph"/>
              <w:ind w:left="362" w:right="336"/>
              <w:rPr>
                <w:rFonts w:ascii="宋体" w:eastAsia="宋体" w:hint="eastAsia"/>
                <w:b/>
                <w:sz w:val="24"/>
              </w:rPr>
            </w:pPr>
            <w:r>
              <w:rPr>
                <w:rFonts w:ascii="宋体" w:eastAsia="宋体" w:hint="eastAsia"/>
                <w:b/>
                <w:sz w:val="24"/>
              </w:rPr>
              <w:t>男性</w:t>
            </w:r>
          </w:p>
        </w:tc>
        <w:tc>
          <w:tcPr>
            <w:tcW w:w="1234" w:type="dxa"/>
            <w:tcBorders>
              <w:left w:val="single" w:sz="6" w:space="0" w:color="000000"/>
              <w:bottom w:val="single" w:sz="6" w:space="0" w:color="000000"/>
            </w:tcBorders>
          </w:tcPr>
          <w:p>
            <w:pPr>
              <w:pStyle w:val="TableParagraph"/>
              <w:ind w:left="383"/>
              <w:jc w:val="left"/>
              <w:rPr>
                <w:rFonts w:ascii="宋体" w:eastAsia="宋体" w:hint="eastAsia"/>
                <w:b/>
                <w:sz w:val="24"/>
              </w:rPr>
            </w:pPr>
            <w:r>
              <w:rPr>
                <w:rFonts w:ascii="宋体" w:eastAsia="宋体" w:hint="eastAsia"/>
                <w:b/>
                <w:sz w:val="24"/>
              </w:rPr>
              <w:t>女性</w:t>
            </w:r>
          </w:p>
        </w:tc>
        <w:tc>
          <w:tcPr>
            <w:tcW w:w="996" w:type="dxa"/>
            <w:tcBorders>
              <w:bottom w:val="single" w:sz="6" w:space="0" w:color="000000"/>
              <w:right w:val="single" w:sz="6" w:space="0" w:color="000000"/>
            </w:tcBorders>
          </w:tcPr>
          <w:p>
            <w:pPr>
              <w:pStyle w:val="TableParagraph"/>
              <w:ind w:left="237" w:right="213"/>
              <w:rPr>
                <w:rFonts w:ascii="宋体" w:eastAsia="宋体" w:hint="eastAsia"/>
                <w:b/>
                <w:sz w:val="24"/>
              </w:rPr>
            </w:pPr>
            <w:r>
              <w:rPr>
                <w:rFonts w:ascii="宋体" w:eastAsia="宋体" w:hint="eastAsia"/>
                <w:b/>
                <w:sz w:val="24"/>
              </w:rPr>
              <w:t>年龄</w:t>
            </w:r>
          </w:p>
        </w:tc>
        <w:tc>
          <w:tcPr>
            <w:tcW w:w="1079" w:type="dxa"/>
            <w:tcBorders>
              <w:left w:val="single" w:sz="6" w:space="0" w:color="000000"/>
              <w:bottom w:val="single" w:sz="6" w:space="0" w:color="000000"/>
              <w:right w:val="single" w:sz="6" w:space="0" w:color="000000"/>
            </w:tcBorders>
          </w:tcPr>
          <w:p>
            <w:pPr>
              <w:pStyle w:val="TableParagraph"/>
              <w:ind w:right="272"/>
              <w:jc w:val="right"/>
              <w:rPr>
                <w:rFonts w:ascii="宋体" w:eastAsia="宋体" w:hint="eastAsia"/>
                <w:b/>
                <w:sz w:val="24"/>
              </w:rPr>
            </w:pPr>
            <w:r>
              <w:rPr>
                <w:rFonts w:ascii="宋体" w:eastAsia="宋体" w:hint="eastAsia"/>
                <w:b/>
                <w:sz w:val="24"/>
              </w:rPr>
              <w:t>男性</w:t>
            </w:r>
          </w:p>
        </w:tc>
        <w:tc>
          <w:tcPr>
            <w:tcW w:w="1078" w:type="dxa"/>
            <w:tcBorders>
              <w:left w:val="single" w:sz="6" w:space="0" w:color="000000"/>
              <w:bottom w:val="single" w:sz="6" w:space="0" w:color="000000"/>
            </w:tcBorders>
          </w:tcPr>
          <w:p>
            <w:pPr>
              <w:pStyle w:val="TableParagraph"/>
              <w:ind w:left="229" w:right="186"/>
              <w:rPr>
                <w:rFonts w:ascii="宋体" w:eastAsia="宋体" w:hint="eastAsia"/>
                <w:b/>
                <w:sz w:val="24"/>
              </w:rPr>
            </w:pPr>
            <w:r>
              <w:rPr>
                <w:rFonts w:ascii="宋体" w:eastAsia="宋体" w:hint="eastAsia"/>
                <w:b/>
                <w:sz w:val="24"/>
              </w:rPr>
              <w:t>女性</w:t>
            </w:r>
          </w:p>
        </w:tc>
        <w:tc>
          <w:tcPr>
            <w:tcW w:w="1408" w:type="dxa"/>
            <w:tcBorders>
              <w:bottom w:val="single" w:sz="6" w:space="0" w:color="000000"/>
              <w:right w:val="single" w:sz="6" w:space="0" w:color="000000"/>
            </w:tcBorders>
          </w:tcPr>
          <w:p>
            <w:pPr>
              <w:pStyle w:val="TableParagraph"/>
              <w:ind w:left="87" w:right="57"/>
              <w:rPr>
                <w:rFonts w:ascii="宋体" w:eastAsia="宋体" w:hint="eastAsia"/>
                <w:b/>
                <w:sz w:val="24"/>
              </w:rPr>
            </w:pPr>
            <w:r>
              <w:rPr>
                <w:rFonts w:ascii="宋体" w:eastAsia="宋体" w:hint="eastAsia"/>
                <w:b/>
                <w:sz w:val="24"/>
              </w:rPr>
              <w:t>年龄</w:t>
            </w:r>
          </w:p>
        </w:tc>
        <w:tc>
          <w:tcPr>
            <w:tcW w:w="969" w:type="dxa"/>
            <w:tcBorders>
              <w:left w:val="single" w:sz="6" w:space="0" w:color="000000"/>
              <w:bottom w:val="single" w:sz="6" w:space="0" w:color="000000"/>
              <w:right w:val="single" w:sz="6" w:space="0" w:color="000000"/>
            </w:tcBorders>
          </w:tcPr>
          <w:p>
            <w:pPr>
              <w:pStyle w:val="TableParagraph"/>
              <w:ind w:right="213"/>
              <w:jc w:val="right"/>
              <w:rPr>
                <w:rFonts w:ascii="宋体" w:eastAsia="宋体" w:hint="eastAsia"/>
                <w:b/>
                <w:sz w:val="24"/>
              </w:rPr>
            </w:pPr>
            <w:r>
              <w:rPr>
                <w:rFonts w:ascii="宋体" w:eastAsia="宋体" w:hint="eastAsia"/>
                <w:b/>
                <w:sz w:val="24"/>
              </w:rPr>
              <w:t>男性</w:t>
            </w:r>
          </w:p>
        </w:tc>
        <w:tc>
          <w:tcPr>
            <w:tcW w:w="1138" w:type="dxa"/>
            <w:tcBorders>
              <w:left w:val="single" w:sz="6" w:space="0" w:color="000000"/>
              <w:bottom w:val="single" w:sz="6" w:space="0" w:color="000000"/>
            </w:tcBorders>
          </w:tcPr>
          <w:p>
            <w:pPr>
              <w:pStyle w:val="TableParagraph"/>
              <w:ind w:left="342"/>
              <w:jc w:val="left"/>
              <w:rPr>
                <w:rFonts w:ascii="宋体" w:eastAsia="宋体" w:hint="eastAsia"/>
                <w:b/>
                <w:sz w:val="24"/>
              </w:rPr>
            </w:pPr>
            <w:r>
              <w:rPr>
                <w:rFonts w:ascii="宋体" w:eastAsia="宋体" w:hint="eastAsia"/>
                <w:b/>
                <w:sz w:val="24"/>
              </w:rPr>
              <w:t>女性</w:t>
            </w:r>
          </w:p>
        </w:tc>
      </w:tr>
      <w:tr>
        <w:trPr>
          <w:trHeight w:val="311" w:hRule="atLeast"/>
        </w:trPr>
        <w:tc>
          <w:tcPr>
            <w:tcW w:w="856" w:type="dxa"/>
            <w:tcBorders>
              <w:top w:val="single" w:sz="6" w:space="0" w:color="000000"/>
              <w:bottom w:val="single" w:sz="6" w:space="0" w:color="000000"/>
              <w:right w:val="single" w:sz="6" w:space="0" w:color="000000"/>
            </w:tcBorders>
          </w:tcPr>
          <w:p>
            <w:pPr>
              <w:pStyle w:val="TableParagraph"/>
              <w:ind w:left="22"/>
              <w:rPr>
                <w:sz w:val="24"/>
              </w:rPr>
            </w:pPr>
            <w:r>
              <w:rPr>
                <w:sz w:val="24"/>
              </w:rPr>
              <w:t>0</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ind w:left="362" w:right="336"/>
              <w:rPr>
                <w:sz w:val="24"/>
              </w:rPr>
            </w:pPr>
            <w:r>
              <w:rPr>
                <w:sz w:val="24"/>
              </w:rPr>
              <w:t>3.62</w:t>
            </w:r>
          </w:p>
        </w:tc>
        <w:tc>
          <w:tcPr>
            <w:tcW w:w="1234" w:type="dxa"/>
            <w:tcBorders>
              <w:top w:val="single" w:sz="6" w:space="0" w:color="000000"/>
              <w:left w:val="single" w:sz="6" w:space="0" w:color="000000"/>
              <w:bottom w:val="single" w:sz="6" w:space="0" w:color="000000"/>
            </w:tcBorders>
          </w:tcPr>
          <w:p>
            <w:pPr>
              <w:pStyle w:val="TableParagraph"/>
              <w:ind w:left="384"/>
              <w:jc w:val="left"/>
              <w:rPr>
                <w:sz w:val="24"/>
              </w:rPr>
            </w:pPr>
            <w:r>
              <w:rPr>
                <w:sz w:val="24"/>
              </w:rPr>
              <w:t>1.98</w:t>
            </w:r>
          </w:p>
        </w:tc>
        <w:tc>
          <w:tcPr>
            <w:tcW w:w="996" w:type="dxa"/>
            <w:tcBorders>
              <w:top w:val="single" w:sz="6" w:space="0" w:color="000000"/>
              <w:bottom w:val="single" w:sz="6" w:space="0" w:color="000000"/>
              <w:right w:val="single" w:sz="6" w:space="0" w:color="000000"/>
            </w:tcBorders>
          </w:tcPr>
          <w:p>
            <w:pPr>
              <w:pStyle w:val="TableParagraph"/>
              <w:ind w:left="237" w:right="213"/>
              <w:rPr>
                <w:sz w:val="24"/>
              </w:rPr>
            </w:pPr>
            <w:r>
              <w:rPr>
                <w:sz w:val="24"/>
              </w:rPr>
              <w:t>34</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ind w:right="273"/>
              <w:jc w:val="right"/>
              <w:rPr>
                <w:sz w:val="24"/>
              </w:rPr>
            </w:pPr>
            <w:r>
              <w:rPr>
                <w:sz w:val="24"/>
              </w:rPr>
              <w:t>1.77</w:t>
            </w:r>
          </w:p>
        </w:tc>
        <w:tc>
          <w:tcPr>
            <w:tcW w:w="1078" w:type="dxa"/>
            <w:tcBorders>
              <w:top w:val="single" w:sz="6" w:space="0" w:color="000000"/>
              <w:left w:val="single" w:sz="6" w:space="0" w:color="000000"/>
              <w:bottom w:val="single" w:sz="6" w:space="0" w:color="000000"/>
            </w:tcBorders>
          </w:tcPr>
          <w:p>
            <w:pPr>
              <w:pStyle w:val="TableParagraph"/>
              <w:ind w:left="229" w:right="186"/>
              <w:rPr>
                <w:sz w:val="24"/>
              </w:rPr>
            </w:pPr>
            <w:r>
              <w:rPr>
                <w:sz w:val="24"/>
              </w:rPr>
              <w:t>1.95</w:t>
            </w:r>
          </w:p>
        </w:tc>
        <w:tc>
          <w:tcPr>
            <w:tcW w:w="1408" w:type="dxa"/>
            <w:tcBorders>
              <w:top w:val="single" w:sz="6" w:space="0" w:color="000000"/>
              <w:bottom w:val="single" w:sz="6" w:space="0" w:color="000000"/>
              <w:right w:val="single" w:sz="6" w:space="0" w:color="000000"/>
            </w:tcBorders>
          </w:tcPr>
          <w:p>
            <w:pPr>
              <w:pStyle w:val="TableParagraph"/>
              <w:ind w:left="87" w:right="57"/>
              <w:rPr>
                <w:sz w:val="24"/>
              </w:rPr>
            </w:pPr>
            <w:r>
              <w:rPr>
                <w:sz w:val="24"/>
              </w:rPr>
              <w:t>68</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ind w:right="155"/>
              <w:jc w:val="right"/>
              <w:rPr>
                <w:sz w:val="24"/>
              </w:rPr>
            </w:pPr>
            <w:r>
              <w:rPr>
                <w:sz w:val="24"/>
              </w:rPr>
              <w:t>25.24</w:t>
            </w:r>
          </w:p>
        </w:tc>
        <w:tc>
          <w:tcPr>
            <w:tcW w:w="1138" w:type="dxa"/>
            <w:tcBorders>
              <w:top w:val="single" w:sz="6" w:space="0" w:color="000000"/>
              <w:left w:val="single" w:sz="6" w:space="0" w:color="000000"/>
              <w:bottom w:val="single" w:sz="6" w:space="0" w:color="000000"/>
            </w:tcBorders>
          </w:tcPr>
          <w:p>
            <w:pPr>
              <w:pStyle w:val="TableParagraph"/>
              <w:ind w:left="283"/>
              <w:jc w:val="left"/>
              <w:rPr>
                <w:sz w:val="24"/>
              </w:rPr>
            </w:pPr>
            <w:r>
              <w:rPr>
                <w:sz w:val="24"/>
              </w:rPr>
              <w:t>16.28</w:t>
            </w:r>
          </w:p>
        </w:tc>
      </w:tr>
      <w:tr>
        <w:trPr>
          <w:trHeight w:val="312" w:hRule="atLeast"/>
        </w:trPr>
        <w:tc>
          <w:tcPr>
            <w:tcW w:w="856" w:type="dxa"/>
            <w:tcBorders>
              <w:top w:val="single" w:sz="6" w:space="0" w:color="000000"/>
              <w:bottom w:val="single" w:sz="6" w:space="0" w:color="000000"/>
              <w:right w:val="single" w:sz="6" w:space="0" w:color="000000"/>
            </w:tcBorders>
          </w:tcPr>
          <w:p>
            <w:pPr>
              <w:pStyle w:val="TableParagraph"/>
              <w:spacing w:line="276" w:lineRule="exact"/>
              <w:ind w:left="22"/>
              <w:rPr>
                <w:sz w:val="24"/>
              </w:rPr>
            </w:pPr>
            <w:r>
              <w:rPr>
                <w:sz w:val="24"/>
              </w:rPr>
              <w:t>1</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62" w:right="336"/>
              <w:rPr>
                <w:sz w:val="24"/>
              </w:rPr>
            </w:pPr>
            <w:r>
              <w:rPr>
                <w:sz w:val="24"/>
              </w:rPr>
              <w:t>2.77</w:t>
            </w:r>
          </w:p>
        </w:tc>
        <w:tc>
          <w:tcPr>
            <w:tcW w:w="1234" w:type="dxa"/>
            <w:tcBorders>
              <w:top w:val="single" w:sz="6" w:space="0" w:color="000000"/>
              <w:left w:val="single" w:sz="6" w:space="0" w:color="000000"/>
              <w:bottom w:val="single" w:sz="6" w:space="0" w:color="000000"/>
            </w:tcBorders>
          </w:tcPr>
          <w:p>
            <w:pPr>
              <w:pStyle w:val="TableParagraph"/>
              <w:spacing w:line="276" w:lineRule="exact"/>
              <w:ind w:left="384"/>
              <w:jc w:val="left"/>
              <w:rPr>
                <w:sz w:val="24"/>
              </w:rPr>
            </w:pPr>
            <w:r>
              <w:rPr>
                <w:sz w:val="24"/>
              </w:rPr>
              <w:t>1.83</w:t>
            </w:r>
          </w:p>
        </w:tc>
        <w:tc>
          <w:tcPr>
            <w:tcW w:w="996" w:type="dxa"/>
            <w:tcBorders>
              <w:top w:val="single" w:sz="6" w:space="0" w:color="000000"/>
              <w:bottom w:val="single" w:sz="6" w:space="0" w:color="000000"/>
              <w:right w:val="single" w:sz="6" w:space="0" w:color="000000"/>
            </w:tcBorders>
          </w:tcPr>
          <w:p>
            <w:pPr>
              <w:pStyle w:val="TableParagraph"/>
              <w:spacing w:line="276" w:lineRule="exact"/>
              <w:ind w:left="237" w:right="213"/>
              <w:rPr>
                <w:sz w:val="24"/>
              </w:rPr>
            </w:pPr>
            <w:r>
              <w:rPr>
                <w:sz w:val="24"/>
              </w:rPr>
              <w:t>35</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73"/>
              <w:jc w:val="right"/>
              <w:rPr>
                <w:sz w:val="24"/>
              </w:rPr>
            </w:pPr>
            <w:r>
              <w:rPr>
                <w:sz w:val="24"/>
              </w:rPr>
              <w:t>1.86</w:t>
            </w:r>
          </w:p>
        </w:tc>
        <w:tc>
          <w:tcPr>
            <w:tcW w:w="1078" w:type="dxa"/>
            <w:tcBorders>
              <w:top w:val="single" w:sz="6" w:space="0" w:color="000000"/>
              <w:left w:val="single" w:sz="6" w:space="0" w:color="000000"/>
              <w:bottom w:val="single" w:sz="6" w:space="0" w:color="000000"/>
            </w:tcBorders>
          </w:tcPr>
          <w:p>
            <w:pPr>
              <w:pStyle w:val="TableParagraph"/>
              <w:spacing w:line="276" w:lineRule="exact"/>
              <w:ind w:left="229" w:right="186"/>
              <w:rPr>
                <w:sz w:val="24"/>
              </w:rPr>
            </w:pPr>
            <w:r>
              <w:rPr>
                <w:sz w:val="24"/>
              </w:rPr>
              <w:t>2.08</w:t>
            </w:r>
          </w:p>
        </w:tc>
        <w:tc>
          <w:tcPr>
            <w:tcW w:w="1408" w:type="dxa"/>
            <w:tcBorders>
              <w:top w:val="single" w:sz="6" w:space="0" w:color="000000"/>
              <w:bottom w:val="single" w:sz="6" w:space="0" w:color="000000"/>
              <w:right w:val="single" w:sz="6" w:space="0" w:color="000000"/>
            </w:tcBorders>
          </w:tcPr>
          <w:p>
            <w:pPr>
              <w:pStyle w:val="TableParagraph"/>
              <w:spacing w:line="276" w:lineRule="exact"/>
              <w:ind w:left="87" w:right="57"/>
              <w:rPr>
                <w:sz w:val="24"/>
              </w:rPr>
            </w:pPr>
            <w:r>
              <w:rPr>
                <w:sz w:val="24"/>
              </w:rPr>
              <w:t>69</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55"/>
              <w:jc w:val="right"/>
              <w:rPr>
                <w:sz w:val="24"/>
              </w:rPr>
            </w:pPr>
            <w:r>
              <w:rPr>
                <w:sz w:val="24"/>
              </w:rPr>
              <w:t>26.25</w:t>
            </w:r>
          </w:p>
        </w:tc>
        <w:tc>
          <w:tcPr>
            <w:tcW w:w="1138" w:type="dxa"/>
            <w:tcBorders>
              <w:top w:val="single" w:sz="6" w:space="0" w:color="000000"/>
              <w:left w:val="single" w:sz="6" w:space="0" w:color="000000"/>
              <w:bottom w:val="single" w:sz="6" w:space="0" w:color="000000"/>
            </w:tcBorders>
          </w:tcPr>
          <w:p>
            <w:pPr>
              <w:pStyle w:val="TableParagraph"/>
              <w:spacing w:line="276" w:lineRule="exact"/>
              <w:ind w:left="283"/>
              <w:jc w:val="left"/>
              <w:rPr>
                <w:sz w:val="24"/>
              </w:rPr>
            </w:pPr>
            <w:r>
              <w:rPr>
                <w:sz w:val="24"/>
              </w:rPr>
              <w:t>16.81</w:t>
            </w:r>
          </w:p>
        </w:tc>
      </w:tr>
      <w:tr>
        <w:trPr>
          <w:trHeight w:val="311" w:hRule="atLeast"/>
        </w:trPr>
        <w:tc>
          <w:tcPr>
            <w:tcW w:w="856" w:type="dxa"/>
            <w:tcBorders>
              <w:top w:val="single" w:sz="6" w:space="0" w:color="000000"/>
              <w:bottom w:val="single" w:sz="6" w:space="0" w:color="000000"/>
              <w:right w:val="single" w:sz="6" w:space="0" w:color="000000"/>
            </w:tcBorders>
          </w:tcPr>
          <w:p>
            <w:pPr>
              <w:pStyle w:val="TableParagraph"/>
              <w:ind w:left="22"/>
              <w:rPr>
                <w:sz w:val="24"/>
              </w:rPr>
            </w:pPr>
            <w:r>
              <w:rPr>
                <w:sz w:val="24"/>
              </w:rPr>
              <w:t>2</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ind w:left="362" w:right="336"/>
              <w:rPr>
                <w:sz w:val="24"/>
              </w:rPr>
            </w:pPr>
            <w:r>
              <w:rPr>
                <w:sz w:val="24"/>
              </w:rPr>
              <w:t>2.04</w:t>
            </w:r>
          </w:p>
        </w:tc>
        <w:tc>
          <w:tcPr>
            <w:tcW w:w="1234" w:type="dxa"/>
            <w:tcBorders>
              <w:top w:val="single" w:sz="6" w:space="0" w:color="000000"/>
              <w:left w:val="single" w:sz="6" w:space="0" w:color="000000"/>
              <w:bottom w:val="single" w:sz="6" w:space="0" w:color="000000"/>
            </w:tcBorders>
          </w:tcPr>
          <w:p>
            <w:pPr>
              <w:pStyle w:val="TableParagraph"/>
              <w:ind w:left="384"/>
              <w:jc w:val="left"/>
              <w:rPr>
                <w:sz w:val="24"/>
              </w:rPr>
            </w:pPr>
            <w:r>
              <w:rPr>
                <w:sz w:val="24"/>
              </w:rPr>
              <w:t>1.64</w:t>
            </w:r>
          </w:p>
        </w:tc>
        <w:tc>
          <w:tcPr>
            <w:tcW w:w="996" w:type="dxa"/>
            <w:tcBorders>
              <w:top w:val="single" w:sz="6" w:space="0" w:color="000000"/>
              <w:bottom w:val="single" w:sz="6" w:space="0" w:color="000000"/>
              <w:right w:val="single" w:sz="6" w:space="0" w:color="000000"/>
            </w:tcBorders>
          </w:tcPr>
          <w:p>
            <w:pPr>
              <w:pStyle w:val="TableParagraph"/>
              <w:ind w:left="237" w:right="213"/>
              <w:rPr>
                <w:sz w:val="24"/>
              </w:rPr>
            </w:pPr>
            <w:r>
              <w:rPr>
                <w:sz w:val="24"/>
              </w:rPr>
              <w:t>36</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ind w:right="273"/>
              <w:jc w:val="right"/>
              <w:rPr>
                <w:sz w:val="24"/>
              </w:rPr>
            </w:pPr>
            <w:r>
              <w:rPr>
                <w:sz w:val="24"/>
              </w:rPr>
              <w:t>1.98</w:t>
            </w:r>
          </w:p>
        </w:tc>
        <w:tc>
          <w:tcPr>
            <w:tcW w:w="1078" w:type="dxa"/>
            <w:tcBorders>
              <w:top w:val="single" w:sz="6" w:space="0" w:color="000000"/>
              <w:left w:val="single" w:sz="6" w:space="0" w:color="000000"/>
              <w:bottom w:val="single" w:sz="6" w:space="0" w:color="000000"/>
            </w:tcBorders>
          </w:tcPr>
          <w:p>
            <w:pPr>
              <w:pStyle w:val="TableParagraph"/>
              <w:ind w:left="229" w:right="186"/>
              <w:rPr>
                <w:sz w:val="24"/>
              </w:rPr>
            </w:pPr>
            <w:r>
              <w:rPr>
                <w:sz w:val="24"/>
              </w:rPr>
              <w:t>2.25</w:t>
            </w:r>
          </w:p>
        </w:tc>
        <w:tc>
          <w:tcPr>
            <w:tcW w:w="1408" w:type="dxa"/>
            <w:tcBorders>
              <w:top w:val="single" w:sz="6" w:space="0" w:color="000000"/>
              <w:bottom w:val="single" w:sz="6" w:space="0" w:color="000000"/>
              <w:right w:val="single" w:sz="6" w:space="0" w:color="000000"/>
            </w:tcBorders>
          </w:tcPr>
          <w:p>
            <w:pPr>
              <w:pStyle w:val="TableParagraph"/>
              <w:ind w:left="87" w:right="57"/>
              <w:rPr>
                <w:sz w:val="24"/>
              </w:rPr>
            </w:pPr>
            <w:r>
              <w:rPr>
                <w:sz w:val="24"/>
              </w:rPr>
              <w:t>70</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ind w:right="155"/>
              <w:jc w:val="right"/>
              <w:rPr>
                <w:sz w:val="24"/>
              </w:rPr>
            </w:pPr>
            <w:r>
              <w:rPr>
                <w:sz w:val="24"/>
              </w:rPr>
              <w:t>27.24</w:t>
            </w:r>
          </w:p>
        </w:tc>
        <w:tc>
          <w:tcPr>
            <w:tcW w:w="1138" w:type="dxa"/>
            <w:tcBorders>
              <w:top w:val="single" w:sz="6" w:space="0" w:color="000000"/>
              <w:left w:val="single" w:sz="6" w:space="0" w:color="000000"/>
              <w:bottom w:val="single" w:sz="6" w:space="0" w:color="000000"/>
            </w:tcBorders>
          </w:tcPr>
          <w:p>
            <w:pPr>
              <w:pStyle w:val="TableParagraph"/>
              <w:ind w:left="283"/>
              <w:jc w:val="left"/>
              <w:rPr>
                <w:sz w:val="24"/>
              </w:rPr>
            </w:pPr>
            <w:r>
              <w:rPr>
                <w:sz w:val="24"/>
              </w:rPr>
              <w:t>17.33</w:t>
            </w:r>
          </w:p>
        </w:tc>
      </w:tr>
      <w:tr>
        <w:trPr>
          <w:trHeight w:val="312" w:hRule="atLeast"/>
        </w:trPr>
        <w:tc>
          <w:tcPr>
            <w:tcW w:w="856" w:type="dxa"/>
            <w:tcBorders>
              <w:top w:val="single" w:sz="6" w:space="0" w:color="000000"/>
              <w:bottom w:val="single" w:sz="6" w:space="0" w:color="000000"/>
              <w:right w:val="single" w:sz="6" w:space="0" w:color="000000"/>
            </w:tcBorders>
          </w:tcPr>
          <w:p>
            <w:pPr>
              <w:pStyle w:val="TableParagraph"/>
              <w:spacing w:line="276" w:lineRule="exact"/>
              <w:ind w:left="22"/>
              <w:rPr>
                <w:sz w:val="24"/>
              </w:rPr>
            </w:pPr>
            <w:r>
              <w:rPr>
                <w:sz w:val="24"/>
              </w:rPr>
              <w:t>3</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62" w:right="336"/>
              <w:rPr>
                <w:sz w:val="24"/>
              </w:rPr>
            </w:pPr>
            <w:r>
              <w:rPr>
                <w:sz w:val="24"/>
              </w:rPr>
              <w:t>1.70</w:t>
            </w:r>
          </w:p>
        </w:tc>
        <w:tc>
          <w:tcPr>
            <w:tcW w:w="1234" w:type="dxa"/>
            <w:tcBorders>
              <w:top w:val="single" w:sz="6" w:space="0" w:color="000000"/>
              <w:left w:val="single" w:sz="6" w:space="0" w:color="000000"/>
              <w:bottom w:val="single" w:sz="6" w:space="0" w:color="000000"/>
            </w:tcBorders>
          </w:tcPr>
          <w:p>
            <w:pPr>
              <w:pStyle w:val="TableParagraph"/>
              <w:spacing w:line="276" w:lineRule="exact"/>
              <w:ind w:left="384"/>
              <w:jc w:val="left"/>
              <w:rPr>
                <w:sz w:val="24"/>
              </w:rPr>
            </w:pPr>
            <w:r>
              <w:rPr>
                <w:sz w:val="24"/>
              </w:rPr>
              <w:t>1.46</w:t>
            </w:r>
          </w:p>
        </w:tc>
        <w:tc>
          <w:tcPr>
            <w:tcW w:w="996" w:type="dxa"/>
            <w:tcBorders>
              <w:top w:val="single" w:sz="6" w:space="0" w:color="000000"/>
              <w:bottom w:val="single" w:sz="6" w:space="0" w:color="000000"/>
              <w:right w:val="single" w:sz="6" w:space="0" w:color="000000"/>
            </w:tcBorders>
          </w:tcPr>
          <w:p>
            <w:pPr>
              <w:pStyle w:val="TableParagraph"/>
              <w:spacing w:line="276" w:lineRule="exact"/>
              <w:ind w:left="237" w:right="213"/>
              <w:rPr>
                <w:sz w:val="24"/>
              </w:rPr>
            </w:pPr>
            <w:r>
              <w:rPr>
                <w:sz w:val="24"/>
              </w:rPr>
              <w:t>37</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73"/>
              <w:jc w:val="right"/>
              <w:rPr>
                <w:sz w:val="24"/>
              </w:rPr>
            </w:pPr>
            <w:r>
              <w:rPr>
                <w:sz w:val="24"/>
              </w:rPr>
              <w:t>2.15</w:t>
            </w:r>
          </w:p>
        </w:tc>
        <w:tc>
          <w:tcPr>
            <w:tcW w:w="1078" w:type="dxa"/>
            <w:tcBorders>
              <w:top w:val="single" w:sz="6" w:space="0" w:color="000000"/>
              <w:left w:val="single" w:sz="6" w:space="0" w:color="000000"/>
              <w:bottom w:val="single" w:sz="6" w:space="0" w:color="000000"/>
            </w:tcBorders>
          </w:tcPr>
          <w:p>
            <w:pPr>
              <w:pStyle w:val="TableParagraph"/>
              <w:spacing w:line="276" w:lineRule="exact"/>
              <w:ind w:left="229" w:right="186"/>
              <w:rPr>
                <w:sz w:val="24"/>
              </w:rPr>
            </w:pPr>
            <w:r>
              <w:rPr>
                <w:sz w:val="24"/>
              </w:rPr>
              <w:t>2.46</w:t>
            </w:r>
          </w:p>
        </w:tc>
        <w:tc>
          <w:tcPr>
            <w:tcW w:w="1408" w:type="dxa"/>
            <w:tcBorders>
              <w:top w:val="single" w:sz="6" w:space="0" w:color="000000"/>
              <w:bottom w:val="single" w:sz="6" w:space="0" w:color="000000"/>
              <w:right w:val="single" w:sz="6" w:space="0" w:color="000000"/>
            </w:tcBorders>
          </w:tcPr>
          <w:p>
            <w:pPr>
              <w:pStyle w:val="TableParagraph"/>
              <w:spacing w:line="276" w:lineRule="exact"/>
              <w:ind w:left="87" w:right="57"/>
              <w:rPr>
                <w:sz w:val="24"/>
              </w:rPr>
            </w:pPr>
            <w:r>
              <w:rPr>
                <w:sz w:val="24"/>
              </w:rPr>
              <w:t>71</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55"/>
              <w:jc w:val="right"/>
              <w:rPr>
                <w:sz w:val="24"/>
              </w:rPr>
            </w:pPr>
            <w:r>
              <w:rPr>
                <w:sz w:val="24"/>
              </w:rPr>
              <w:t>28.20</w:t>
            </w:r>
          </w:p>
        </w:tc>
        <w:tc>
          <w:tcPr>
            <w:tcW w:w="1138" w:type="dxa"/>
            <w:tcBorders>
              <w:top w:val="single" w:sz="6" w:space="0" w:color="000000"/>
              <w:left w:val="single" w:sz="6" w:space="0" w:color="000000"/>
              <w:bottom w:val="single" w:sz="6" w:space="0" w:color="000000"/>
            </w:tcBorders>
          </w:tcPr>
          <w:p>
            <w:pPr>
              <w:pStyle w:val="TableParagraph"/>
              <w:spacing w:line="276" w:lineRule="exact"/>
              <w:ind w:left="283"/>
              <w:jc w:val="left"/>
              <w:rPr>
                <w:sz w:val="24"/>
              </w:rPr>
            </w:pPr>
            <w:r>
              <w:rPr>
                <w:sz w:val="24"/>
              </w:rPr>
              <w:t>17.86</w:t>
            </w:r>
          </w:p>
        </w:tc>
      </w:tr>
      <w:tr>
        <w:trPr>
          <w:trHeight w:val="311" w:hRule="atLeast"/>
        </w:trPr>
        <w:tc>
          <w:tcPr>
            <w:tcW w:w="856" w:type="dxa"/>
            <w:tcBorders>
              <w:top w:val="single" w:sz="6" w:space="0" w:color="000000"/>
              <w:bottom w:val="single" w:sz="6" w:space="0" w:color="000000"/>
              <w:right w:val="single" w:sz="6" w:space="0" w:color="000000"/>
            </w:tcBorders>
          </w:tcPr>
          <w:p>
            <w:pPr>
              <w:pStyle w:val="TableParagraph"/>
              <w:ind w:left="22"/>
              <w:rPr>
                <w:sz w:val="24"/>
              </w:rPr>
            </w:pPr>
            <w:r>
              <w:rPr>
                <w:sz w:val="24"/>
              </w:rPr>
              <w:t>4</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ind w:left="362" w:right="336"/>
              <w:rPr>
                <w:sz w:val="24"/>
              </w:rPr>
            </w:pPr>
            <w:r>
              <w:rPr>
                <w:sz w:val="24"/>
              </w:rPr>
              <w:t>1.59</w:t>
            </w:r>
          </w:p>
        </w:tc>
        <w:tc>
          <w:tcPr>
            <w:tcW w:w="1234" w:type="dxa"/>
            <w:tcBorders>
              <w:top w:val="single" w:sz="6" w:space="0" w:color="000000"/>
              <w:left w:val="single" w:sz="6" w:space="0" w:color="000000"/>
              <w:bottom w:val="single" w:sz="6" w:space="0" w:color="000000"/>
            </w:tcBorders>
          </w:tcPr>
          <w:p>
            <w:pPr>
              <w:pStyle w:val="TableParagraph"/>
              <w:ind w:left="384"/>
              <w:jc w:val="left"/>
              <w:rPr>
                <w:sz w:val="24"/>
              </w:rPr>
            </w:pPr>
            <w:r>
              <w:rPr>
                <w:sz w:val="24"/>
              </w:rPr>
              <w:t>1.37</w:t>
            </w:r>
          </w:p>
        </w:tc>
        <w:tc>
          <w:tcPr>
            <w:tcW w:w="996" w:type="dxa"/>
            <w:tcBorders>
              <w:top w:val="single" w:sz="6" w:space="0" w:color="000000"/>
              <w:bottom w:val="single" w:sz="6" w:space="0" w:color="000000"/>
              <w:right w:val="single" w:sz="6" w:space="0" w:color="000000"/>
            </w:tcBorders>
          </w:tcPr>
          <w:p>
            <w:pPr>
              <w:pStyle w:val="TableParagraph"/>
              <w:ind w:left="237" w:right="213"/>
              <w:rPr>
                <w:sz w:val="24"/>
              </w:rPr>
            </w:pPr>
            <w:r>
              <w:rPr>
                <w:sz w:val="24"/>
              </w:rPr>
              <w:t>38</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ind w:right="273"/>
              <w:jc w:val="right"/>
              <w:rPr>
                <w:sz w:val="24"/>
              </w:rPr>
            </w:pPr>
            <w:r>
              <w:rPr>
                <w:sz w:val="24"/>
              </w:rPr>
              <w:t>2.33</w:t>
            </w:r>
          </w:p>
        </w:tc>
        <w:tc>
          <w:tcPr>
            <w:tcW w:w="1078" w:type="dxa"/>
            <w:tcBorders>
              <w:top w:val="single" w:sz="6" w:space="0" w:color="000000"/>
              <w:left w:val="single" w:sz="6" w:space="0" w:color="000000"/>
              <w:bottom w:val="single" w:sz="6" w:space="0" w:color="000000"/>
            </w:tcBorders>
          </w:tcPr>
          <w:p>
            <w:pPr>
              <w:pStyle w:val="TableParagraph"/>
              <w:ind w:left="229" w:right="186"/>
              <w:rPr>
                <w:sz w:val="24"/>
              </w:rPr>
            </w:pPr>
            <w:r>
              <w:rPr>
                <w:sz w:val="24"/>
              </w:rPr>
              <w:t>2.68</w:t>
            </w:r>
          </w:p>
        </w:tc>
        <w:tc>
          <w:tcPr>
            <w:tcW w:w="1408" w:type="dxa"/>
            <w:tcBorders>
              <w:top w:val="single" w:sz="6" w:space="0" w:color="000000"/>
              <w:bottom w:val="single" w:sz="6" w:space="0" w:color="000000"/>
              <w:right w:val="single" w:sz="6" w:space="0" w:color="000000"/>
            </w:tcBorders>
          </w:tcPr>
          <w:p>
            <w:pPr>
              <w:pStyle w:val="TableParagraph"/>
              <w:ind w:left="87" w:right="57"/>
              <w:rPr>
                <w:sz w:val="24"/>
              </w:rPr>
            </w:pPr>
            <w:r>
              <w:rPr>
                <w:sz w:val="24"/>
              </w:rPr>
              <w:t>72</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ind w:right="155"/>
              <w:jc w:val="right"/>
              <w:rPr>
                <w:sz w:val="24"/>
              </w:rPr>
            </w:pPr>
            <w:r>
              <w:rPr>
                <w:sz w:val="24"/>
              </w:rPr>
              <w:t>29.12</w:t>
            </w:r>
          </w:p>
        </w:tc>
        <w:tc>
          <w:tcPr>
            <w:tcW w:w="1138" w:type="dxa"/>
            <w:tcBorders>
              <w:top w:val="single" w:sz="6" w:space="0" w:color="000000"/>
              <w:left w:val="single" w:sz="6" w:space="0" w:color="000000"/>
              <w:bottom w:val="single" w:sz="6" w:space="0" w:color="000000"/>
            </w:tcBorders>
          </w:tcPr>
          <w:p>
            <w:pPr>
              <w:pStyle w:val="TableParagraph"/>
              <w:ind w:left="283"/>
              <w:jc w:val="left"/>
              <w:rPr>
                <w:sz w:val="24"/>
              </w:rPr>
            </w:pPr>
            <w:r>
              <w:rPr>
                <w:sz w:val="24"/>
              </w:rPr>
              <w:t>18.38</w:t>
            </w:r>
          </w:p>
        </w:tc>
      </w:tr>
      <w:tr>
        <w:trPr>
          <w:trHeight w:val="312" w:hRule="atLeast"/>
        </w:trPr>
        <w:tc>
          <w:tcPr>
            <w:tcW w:w="856" w:type="dxa"/>
            <w:tcBorders>
              <w:top w:val="single" w:sz="6" w:space="0" w:color="000000"/>
              <w:bottom w:val="single" w:sz="6" w:space="0" w:color="000000"/>
              <w:right w:val="single" w:sz="6" w:space="0" w:color="000000"/>
            </w:tcBorders>
          </w:tcPr>
          <w:p>
            <w:pPr>
              <w:pStyle w:val="TableParagraph"/>
              <w:spacing w:line="276" w:lineRule="exact"/>
              <w:ind w:left="22"/>
              <w:rPr>
                <w:sz w:val="24"/>
              </w:rPr>
            </w:pPr>
            <w:r>
              <w:rPr>
                <w:sz w:val="24"/>
              </w:rPr>
              <w:t>5</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62" w:right="336"/>
              <w:rPr>
                <w:sz w:val="24"/>
              </w:rPr>
            </w:pPr>
            <w:r>
              <w:rPr>
                <w:sz w:val="24"/>
              </w:rPr>
              <w:t>1.48</w:t>
            </w:r>
          </w:p>
        </w:tc>
        <w:tc>
          <w:tcPr>
            <w:tcW w:w="1234" w:type="dxa"/>
            <w:tcBorders>
              <w:top w:val="single" w:sz="6" w:space="0" w:color="000000"/>
              <w:left w:val="single" w:sz="6" w:space="0" w:color="000000"/>
              <w:bottom w:val="single" w:sz="6" w:space="0" w:color="000000"/>
            </w:tcBorders>
          </w:tcPr>
          <w:p>
            <w:pPr>
              <w:pStyle w:val="TableParagraph"/>
              <w:spacing w:line="276" w:lineRule="exact"/>
              <w:ind w:left="384"/>
              <w:jc w:val="left"/>
              <w:rPr>
                <w:sz w:val="24"/>
              </w:rPr>
            </w:pPr>
            <w:r>
              <w:rPr>
                <w:sz w:val="24"/>
              </w:rPr>
              <w:t>1.26</w:t>
            </w:r>
          </w:p>
        </w:tc>
        <w:tc>
          <w:tcPr>
            <w:tcW w:w="996" w:type="dxa"/>
            <w:tcBorders>
              <w:top w:val="single" w:sz="6" w:space="0" w:color="000000"/>
              <w:bottom w:val="single" w:sz="6" w:space="0" w:color="000000"/>
              <w:right w:val="single" w:sz="6" w:space="0" w:color="000000"/>
            </w:tcBorders>
          </w:tcPr>
          <w:p>
            <w:pPr>
              <w:pStyle w:val="TableParagraph"/>
              <w:spacing w:line="276" w:lineRule="exact"/>
              <w:ind w:left="237" w:right="213"/>
              <w:rPr>
                <w:sz w:val="24"/>
              </w:rPr>
            </w:pPr>
            <w:r>
              <w:rPr>
                <w:sz w:val="24"/>
              </w:rPr>
              <w:t>39</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73"/>
              <w:jc w:val="right"/>
              <w:rPr>
                <w:sz w:val="24"/>
              </w:rPr>
            </w:pPr>
            <w:r>
              <w:rPr>
                <w:sz w:val="24"/>
              </w:rPr>
              <w:t>2.51</w:t>
            </w:r>
          </w:p>
        </w:tc>
        <w:tc>
          <w:tcPr>
            <w:tcW w:w="1078" w:type="dxa"/>
            <w:tcBorders>
              <w:top w:val="single" w:sz="6" w:space="0" w:color="000000"/>
              <w:left w:val="single" w:sz="6" w:space="0" w:color="000000"/>
              <w:bottom w:val="single" w:sz="6" w:space="0" w:color="000000"/>
            </w:tcBorders>
          </w:tcPr>
          <w:p>
            <w:pPr>
              <w:pStyle w:val="TableParagraph"/>
              <w:spacing w:line="276" w:lineRule="exact"/>
              <w:ind w:left="229" w:right="186"/>
              <w:rPr>
                <w:sz w:val="24"/>
              </w:rPr>
            </w:pPr>
            <w:r>
              <w:rPr>
                <w:sz w:val="24"/>
              </w:rPr>
              <w:t>2.89</w:t>
            </w:r>
          </w:p>
        </w:tc>
        <w:tc>
          <w:tcPr>
            <w:tcW w:w="1408" w:type="dxa"/>
            <w:tcBorders>
              <w:top w:val="single" w:sz="6" w:space="0" w:color="000000"/>
              <w:bottom w:val="single" w:sz="6" w:space="0" w:color="000000"/>
              <w:right w:val="single" w:sz="6" w:space="0" w:color="000000"/>
            </w:tcBorders>
          </w:tcPr>
          <w:p>
            <w:pPr>
              <w:pStyle w:val="TableParagraph"/>
              <w:spacing w:line="276" w:lineRule="exact"/>
              <w:ind w:left="87" w:right="57"/>
              <w:rPr>
                <w:sz w:val="24"/>
              </w:rPr>
            </w:pPr>
            <w:r>
              <w:rPr>
                <w:sz w:val="24"/>
              </w:rPr>
              <w:t>73</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55"/>
              <w:jc w:val="right"/>
              <w:rPr>
                <w:sz w:val="24"/>
              </w:rPr>
            </w:pPr>
            <w:r>
              <w:rPr>
                <w:sz w:val="24"/>
              </w:rPr>
              <w:t>30.04</w:t>
            </w:r>
          </w:p>
        </w:tc>
        <w:tc>
          <w:tcPr>
            <w:tcW w:w="1138" w:type="dxa"/>
            <w:tcBorders>
              <w:top w:val="single" w:sz="6" w:space="0" w:color="000000"/>
              <w:left w:val="single" w:sz="6" w:space="0" w:color="000000"/>
              <w:bottom w:val="single" w:sz="6" w:space="0" w:color="000000"/>
            </w:tcBorders>
          </w:tcPr>
          <w:p>
            <w:pPr>
              <w:pStyle w:val="TableParagraph"/>
              <w:spacing w:line="276" w:lineRule="exact"/>
              <w:ind w:left="283"/>
              <w:jc w:val="left"/>
              <w:rPr>
                <w:sz w:val="24"/>
              </w:rPr>
            </w:pPr>
            <w:r>
              <w:rPr>
                <w:sz w:val="24"/>
              </w:rPr>
              <w:t>18.94</w:t>
            </w:r>
          </w:p>
        </w:tc>
      </w:tr>
      <w:tr>
        <w:trPr>
          <w:trHeight w:val="311" w:hRule="atLeast"/>
        </w:trPr>
        <w:tc>
          <w:tcPr>
            <w:tcW w:w="856" w:type="dxa"/>
            <w:tcBorders>
              <w:top w:val="single" w:sz="6" w:space="0" w:color="000000"/>
              <w:bottom w:val="single" w:sz="6" w:space="0" w:color="000000"/>
              <w:right w:val="single" w:sz="6" w:space="0" w:color="000000"/>
            </w:tcBorders>
          </w:tcPr>
          <w:p>
            <w:pPr>
              <w:pStyle w:val="TableParagraph"/>
              <w:ind w:left="22"/>
              <w:rPr>
                <w:sz w:val="24"/>
              </w:rPr>
            </w:pPr>
            <w:r>
              <w:rPr>
                <w:sz w:val="24"/>
              </w:rPr>
              <w:t>6</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ind w:left="362" w:right="336"/>
              <w:rPr>
                <w:sz w:val="24"/>
              </w:rPr>
            </w:pPr>
            <w:r>
              <w:rPr>
                <w:sz w:val="24"/>
              </w:rPr>
              <w:t>1.38</w:t>
            </w:r>
          </w:p>
        </w:tc>
        <w:tc>
          <w:tcPr>
            <w:tcW w:w="1234" w:type="dxa"/>
            <w:tcBorders>
              <w:top w:val="single" w:sz="6" w:space="0" w:color="000000"/>
              <w:left w:val="single" w:sz="6" w:space="0" w:color="000000"/>
              <w:bottom w:val="single" w:sz="6" w:space="0" w:color="000000"/>
            </w:tcBorders>
          </w:tcPr>
          <w:p>
            <w:pPr>
              <w:pStyle w:val="TableParagraph"/>
              <w:ind w:left="384"/>
              <w:jc w:val="left"/>
              <w:rPr>
                <w:sz w:val="24"/>
              </w:rPr>
            </w:pPr>
            <w:r>
              <w:rPr>
                <w:sz w:val="24"/>
              </w:rPr>
              <w:t>1.19</w:t>
            </w:r>
          </w:p>
        </w:tc>
        <w:tc>
          <w:tcPr>
            <w:tcW w:w="996" w:type="dxa"/>
            <w:tcBorders>
              <w:top w:val="single" w:sz="6" w:space="0" w:color="000000"/>
              <w:bottom w:val="single" w:sz="6" w:space="0" w:color="000000"/>
              <w:right w:val="single" w:sz="6" w:space="0" w:color="000000"/>
            </w:tcBorders>
          </w:tcPr>
          <w:p>
            <w:pPr>
              <w:pStyle w:val="TableParagraph"/>
              <w:ind w:left="237" w:right="213"/>
              <w:rPr>
                <w:sz w:val="24"/>
              </w:rPr>
            </w:pPr>
            <w:r>
              <w:rPr>
                <w:sz w:val="24"/>
              </w:rPr>
              <w:t>40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ind w:right="273"/>
              <w:jc w:val="right"/>
              <w:rPr>
                <w:sz w:val="24"/>
              </w:rPr>
            </w:pPr>
            <w:r>
              <w:rPr>
                <w:sz w:val="24"/>
              </w:rPr>
              <w:t>2.74</w:t>
            </w:r>
          </w:p>
        </w:tc>
        <w:tc>
          <w:tcPr>
            <w:tcW w:w="1078" w:type="dxa"/>
            <w:tcBorders>
              <w:top w:val="single" w:sz="6" w:space="0" w:color="000000"/>
              <w:left w:val="single" w:sz="6" w:space="0" w:color="000000"/>
              <w:bottom w:val="single" w:sz="6" w:space="0" w:color="000000"/>
            </w:tcBorders>
          </w:tcPr>
          <w:p>
            <w:pPr>
              <w:pStyle w:val="TableParagraph"/>
              <w:ind w:left="229" w:right="186"/>
              <w:rPr>
                <w:sz w:val="24"/>
              </w:rPr>
            </w:pPr>
            <w:r>
              <w:rPr>
                <w:sz w:val="24"/>
              </w:rPr>
              <w:t>3.16</w:t>
            </w:r>
          </w:p>
        </w:tc>
        <w:tc>
          <w:tcPr>
            <w:tcW w:w="1408" w:type="dxa"/>
            <w:tcBorders>
              <w:top w:val="single" w:sz="6" w:space="0" w:color="000000"/>
              <w:bottom w:val="single" w:sz="6" w:space="0" w:color="000000"/>
              <w:right w:val="single" w:sz="6" w:space="0" w:color="000000"/>
            </w:tcBorders>
          </w:tcPr>
          <w:p>
            <w:pPr>
              <w:pStyle w:val="TableParagraph"/>
              <w:ind w:left="87" w:right="57"/>
              <w:rPr>
                <w:sz w:val="24"/>
              </w:rPr>
            </w:pPr>
            <w:r>
              <w:rPr>
                <w:sz w:val="24"/>
              </w:rPr>
              <w:t>74</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ind w:right="155"/>
              <w:jc w:val="right"/>
              <w:rPr>
                <w:sz w:val="24"/>
              </w:rPr>
            </w:pPr>
            <w:r>
              <w:rPr>
                <w:sz w:val="24"/>
              </w:rPr>
              <w:t>30.98</w:t>
            </w:r>
          </w:p>
        </w:tc>
        <w:tc>
          <w:tcPr>
            <w:tcW w:w="1138" w:type="dxa"/>
            <w:tcBorders>
              <w:top w:val="single" w:sz="6" w:space="0" w:color="000000"/>
              <w:left w:val="single" w:sz="6" w:space="0" w:color="000000"/>
              <w:bottom w:val="single" w:sz="6" w:space="0" w:color="000000"/>
            </w:tcBorders>
          </w:tcPr>
          <w:p>
            <w:pPr>
              <w:pStyle w:val="TableParagraph"/>
              <w:ind w:left="283"/>
              <w:jc w:val="left"/>
              <w:rPr>
                <w:sz w:val="24"/>
              </w:rPr>
            </w:pPr>
            <w:r>
              <w:rPr>
                <w:sz w:val="24"/>
              </w:rPr>
              <w:t>19.57</w:t>
            </w:r>
          </w:p>
        </w:tc>
      </w:tr>
      <w:tr>
        <w:trPr>
          <w:trHeight w:val="312" w:hRule="atLeast"/>
        </w:trPr>
        <w:tc>
          <w:tcPr>
            <w:tcW w:w="856" w:type="dxa"/>
            <w:tcBorders>
              <w:top w:val="single" w:sz="6" w:space="0" w:color="000000"/>
              <w:bottom w:val="single" w:sz="6" w:space="0" w:color="000000"/>
              <w:right w:val="single" w:sz="6" w:space="0" w:color="000000"/>
            </w:tcBorders>
          </w:tcPr>
          <w:p>
            <w:pPr>
              <w:pStyle w:val="TableParagraph"/>
              <w:spacing w:line="276" w:lineRule="exact"/>
              <w:ind w:left="22"/>
              <w:rPr>
                <w:sz w:val="24"/>
              </w:rPr>
            </w:pPr>
            <w:r>
              <w:rPr>
                <w:sz w:val="24"/>
              </w:rPr>
              <w:t>7</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62" w:right="336"/>
              <w:rPr>
                <w:sz w:val="24"/>
              </w:rPr>
            </w:pPr>
            <w:r>
              <w:rPr>
                <w:sz w:val="24"/>
              </w:rPr>
              <w:t>1.31</w:t>
            </w:r>
          </w:p>
        </w:tc>
        <w:tc>
          <w:tcPr>
            <w:tcW w:w="1234" w:type="dxa"/>
            <w:tcBorders>
              <w:top w:val="single" w:sz="6" w:space="0" w:color="000000"/>
              <w:left w:val="single" w:sz="6" w:space="0" w:color="000000"/>
              <w:bottom w:val="single" w:sz="6" w:space="0" w:color="000000"/>
            </w:tcBorders>
          </w:tcPr>
          <w:p>
            <w:pPr>
              <w:pStyle w:val="TableParagraph"/>
              <w:spacing w:line="276" w:lineRule="exact"/>
              <w:ind w:left="384"/>
              <w:jc w:val="left"/>
              <w:rPr>
                <w:sz w:val="24"/>
              </w:rPr>
            </w:pPr>
            <w:r>
              <w:rPr>
                <w:sz w:val="24"/>
              </w:rPr>
              <w:t>1.13</w:t>
            </w:r>
          </w:p>
        </w:tc>
        <w:tc>
          <w:tcPr>
            <w:tcW w:w="996" w:type="dxa"/>
            <w:tcBorders>
              <w:top w:val="single" w:sz="6" w:space="0" w:color="000000"/>
              <w:bottom w:val="single" w:sz="6" w:space="0" w:color="000000"/>
              <w:right w:val="single" w:sz="6" w:space="0" w:color="000000"/>
            </w:tcBorders>
          </w:tcPr>
          <w:p>
            <w:pPr>
              <w:pStyle w:val="TableParagraph"/>
              <w:spacing w:line="276" w:lineRule="exact"/>
              <w:ind w:left="237" w:right="213"/>
              <w:rPr>
                <w:sz w:val="24"/>
              </w:rPr>
            </w:pPr>
            <w:r>
              <w:rPr>
                <w:sz w:val="24"/>
              </w:rPr>
              <w:t>41</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73"/>
              <w:jc w:val="right"/>
              <w:rPr>
                <w:sz w:val="24"/>
              </w:rPr>
            </w:pPr>
            <w:r>
              <w:rPr>
                <w:sz w:val="24"/>
              </w:rPr>
              <w:t>3.00</w:t>
            </w:r>
          </w:p>
        </w:tc>
        <w:tc>
          <w:tcPr>
            <w:tcW w:w="1078" w:type="dxa"/>
            <w:tcBorders>
              <w:top w:val="single" w:sz="6" w:space="0" w:color="000000"/>
              <w:left w:val="single" w:sz="6" w:space="0" w:color="000000"/>
              <w:bottom w:val="single" w:sz="6" w:space="0" w:color="000000"/>
            </w:tcBorders>
          </w:tcPr>
          <w:p>
            <w:pPr>
              <w:pStyle w:val="TableParagraph"/>
              <w:spacing w:line="276" w:lineRule="exact"/>
              <w:ind w:left="229" w:right="186"/>
              <w:rPr>
                <w:sz w:val="24"/>
              </w:rPr>
            </w:pPr>
            <w:r>
              <w:rPr>
                <w:sz w:val="24"/>
              </w:rPr>
              <w:t>3.45</w:t>
            </w:r>
          </w:p>
        </w:tc>
        <w:tc>
          <w:tcPr>
            <w:tcW w:w="1408" w:type="dxa"/>
            <w:tcBorders>
              <w:top w:val="single" w:sz="6" w:space="0" w:color="000000"/>
              <w:bottom w:val="single" w:sz="6" w:space="0" w:color="000000"/>
              <w:right w:val="single" w:sz="6" w:space="0" w:color="000000"/>
            </w:tcBorders>
          </w:tcPr>
          <w:p>
            <w:pPr>
              <w:pStyle w:val="TableParagraph"/>
              <w:spacing w:line="276" w:lineRule="exact"/>
              <w:ind w:left="87" w:right="57"/>
              <w:rPr>
                <w:sz w:val="24"/>
              </w:rPr>
            </w:pPr>
            <w:r>
              <w:rPr>
                <w:sz w:val="24"/>
              </w:rPr>
              <w:t>75</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55"/>
              <w:jc w:val="right"/>
              <w:rPr>
                <w:sz w:val="24"/>
              </w:rPr>
            </w:pPr>
            <w:r>
              <w:rPr>
                <w:sz w:val="24"/>
              </w:rPr>
              <w:t>35.28</w:t>
            </w:r>
          </w:p>
        </w:tc>
        <w:tc>
          <w:tcPr>
            <w:tcW w:w="1138" w:type="dxa"/>
            <w:tcBorders>
              <w:top w:val="single" w:sz="6" w:space="0" w:color="000000"/>
              <w:left w:val="single" w:sz="6" w:space="0" w:color="000000"/>
              <w:bottom w:val="single" w:sz="6" w:space="0" w:color="000000"/>
            </w:tcBorders>
          </w:tcPr>
          <w:p>
            <w:pPr>
              <w:pStyle w:val="TableParagraph"/>
              <w:spacing w:line="276" w:lineRule="exact"/>
              <w:ind w:left="283"/>
              <w:jc w:val="left"/>
              <w:rPr>
                <w:sz w:val="24"/>
              </w:rPr>
            </w:pPr>
            <w:r>
              <w:rPr>
                <w:sz w:val="24"/>
              </w:rPr>
              <w:t>21.57</w:t>
            </w:r>
          </w:p>
        </w:tc>
      </w:tr>
      <w:tr>
        <w:trPr>
          <w:trHeight w:val="311" w:hRule="atLeast"/>
        </w:trPr>
        <w:tc>
          <w:tcPr>
            <w:tcW w:w="856" w:type="dxa"/>
            <w:tcBorders>
              <w:top w:val="single" w:sz="6" w:space="0" w:color="000000"/>
              <w:bottom w:val="single" w:sz="6" w:space="0" w:color="000000"/>
              <w:right w:val="single" w:sz="6" w:space="0" w:color="000000"/>
            </w:tcBorders>
          </w:tcPr>
          <w:p>
            <w:pPr>
              <w:pStyle w:val="TableParagraph"/>
              <w:ind w:left="22"/>
              <w:rPr>
                <w:sz w:val="24"/>
              </w:rPr>
            </w:pPr>
            <w:r>
              <w:rPr>
                <w:sz w:val="24"/>
              </w:rPr>
              <w:t>8</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ind w:left="362" w:right="336"/>
              <w:rPr>
                <w:sz w:val="24"/>
              </w:rPr>
            </w:pPr>
            <w:r>
              <w:rPr>
                <w:sz w:val="24"/>
              </w:rPr>
              <w:t>1.30</w:t>
            </w:r>
          </w:p>
        </w:tc>
        <w:tc>
          <w:tcPr>
            <w:tcW w:w="1234" w:type="dxa"/>
            <w:tcBorders>
              <w:top w:val="single" w:sz="6" w:space="0" w:color="000000"/>
              <w:left w:val="single" w:sz="6" w:space="0" w:color="000000"/>
              <w:bottom w:val="single" w:sz="6" w:space="0" w:color="000000"/>
            </w:tcBorders>
          </w:tcPr>
          <w:p>
            <w:pPr>
              <w:pStyle w:val="TableParagraph"/>
              <w:ind w:left="384"/>
              <w:jc w:val="left"/>
              <w:rPr>
                <w:sz w:val="24"/>
              </w:rPr>
            </w:pPr>
            <w:r>
              <w:rPr>
                <w:sz w:val="24"/>
              </w:rPr>
              <w:t>1.14</w:t>
            </w:r>
          </w:p>
        </w:tc>
        <w:tc>
          <w:tcPr>
            <w:tcW w:w="996" w:type="dxa"/>
            <w:tcBorders>
              <w:top w:val="single" w:sz="6" w:space="0" w:color="000000"/>
              <w:bottom w:val="single" w:sz="6" w:space="0" w:color="000000"/>
              <w:right w:val="single" w:sz="6" w:space="0" w:color="000000"/>
            </w:tcBorders>
          </w:tcPr>
          <w:p>
            <w:pPr>
              <w:pStyle w:val="TableParagraph"/>
              <w:ind w:left="237" w:right="213"/>
              <w:rPr>
                <w:sz w:val="24"/>
              </w:rPr>
            </w:pPr>
            <w:r>
              <w:rPr>
                <w:sz w:val="24"/>
              </w:rPr>
              <w:t>42</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ind w:right="273"/>
              <w:jc w:val="right"/>
              <w:rPr>
                <w:sz w:val="24"/>
              </w:rPr>
            </w:pPr>
            <w:r>
              <w:rPr>
                <w:sz w:val="24"/>
              </w:rPr>
              <w:t>3.32</w:t>
            </w:r>
          </w:p>
        </w:tc>
        <w:tc>
          <w:tcPr>
            <w:tcW w:w="1078" w:type="dxa"/>
            <w:tcBorders>
              <w:top w:val="single" w:sz="6" w:space="0" w:color="000000"/>
              <w:left w:val="single" w:sz="6" w:space="0" w:color="000000"/>
              <w:bottom w:val="single" w:sz="6" w:space="0" w:color="000000"/>
            </w:tcBorders>
          </w:tcPr>
          <w:p>
            <w:pPr>
              <w:pStyle w:val="TableParagraph"/>
              <w:ind w:left="229" w:right="186"/>
              <w:rPr>
                <w:sz w:val="24"/>
              </w:rPr>
            </w:pPr>
            <w:r>
              <w:rPr>
                <w:sz w:val="24"/>
              </w:rPr>
              <w:t>3.74</w:t>
            </w:r>
          </w:p>
        </w:tc>
        <w:tc>
          <w:tcPr>
            <w:tcW w:w="1408" w:type="dxa"/>
            <w:tcBorders>
              <w:top w:val="single" w:sz="6" w:space="0" w:color="000000"/>
              <w:bottom w:val="single" w:sz="6" w:space="0" w:color="000000"/>
              <w:right w:val="single" w:sz="6" w:space="0" w:color="000000"/>
            </w:tcBorders>
          </w:tcPr>
          <w:p>
            <w:pPr>
              <w:pStyle w:val="TableParagraph"/>
              <w:ind w:left="87" w:right="57"/>
              <w:rPr>
                <w:sz w:val="24"/>
              </w:rPr>
            </w:pPr>
            <w:r>
              <w:rPr>
                <w:sz w:val="24"/>
              </w:rPr>
              <w:t>76</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ind w:right="155"/>
              <w:jc w:val="right"/>
              <w:rPr>
                <w:sz w:val="24"/>
              </w:rPr>
            </w:pPr>
            <w:r>
              <w:rPr>
                <w:sz w:val="24"/>
              </w:rPr>
              <w:t>36.10</w:t>
            </w:r>
          </w:p>
        </w:tc>
        <w:tc>
          <w:tcPr>
            <w:tcW w:w="1138" w:type="dxa"/>
            <w:tcBorders>
              <w:top w:val="single" w:sz="6" w:space="0" w:color="000000"/>
              <w:left w:val="single" w:sz="6" w:space="0" w:color="000000"/>
              <w:bottom w:val="single" w:sz="6" w:space="0" w:color="000000"/>
            </w:tcBorders>
          </w:tcPr>
          <w:p>
            <w:pPr>
              <w:pStyle w:val="TableParagraph"/>
              <w:ind w:left="283"/>
              <w:jc w:val="left"/>
              <w:rPr>
                <w:sz w:val="24"/>
              </w:rPr>
            </w:pPr>
            <w:r>
              <w:rPr>
                <w:sz w:val="24"/>
              </w:rPr>
              <w:t>22.18</w:t>
            </w:r>
          </w:p>
        </w:tc>
      </w:tr>
      <w:tr>
        <w:trPr>
          <w:trHeight w:val="312" w:hRule="atLeast"/>
        </w:trPr>
        <w:tc>
          <w:tcPr>
            <w:tcW w:w="856" w:type="dxa"/>
            <w:tcBorders>
              <w:top w:val="single" w:sz="6" w:space="0" w:color="000000"/>
              <w:bottom w:val="single" w:sz="6" w:space="0" w:color="000000"/>
              <w:right w:val="single" w:sz="6" w:space="0" w:color="000000"/>
            </w:tcBorders>
          </w:tcPr>
          <w:p>
            <w:pPr>
              <w:pStyle w:val="TableParagraph"/>
              <w:spacing w:line="276" w:lineRule="exact"/>
              <w:ind w:left="22"/>
              <w:rPr>
                <w:sz w:val="24"/>
              </w:rPr>
            </w:pPr>
            <w:r>
              <w:rPr>
                <w:sz w:val="24"/>
              </w:rPr>
              <w:t>9</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62" w:right="336"/>
              <w:rPr>
                <w:sz w:val="24"/>
              </w:rPr>
            </w:pPr>
            <w:r>
              <w:rPr>
                <w:sz w:val="24"/>
              </w:rPr>
              <w:t>1.29</w:t>
            </w:r>
          </w:p>
        </w:tc>
        <w:tc>
          <w:tcPr>
            <w:tcW w:w="1234" w:type="dxa"/>
            <w:tcBorders>
              <w:top w:val="single" w:sz="6" w:space="0" w:color="000000"/>
              <w:left w:val="single" w:sz="6" w:space="0" w:color="000000"/>
              <w:bottom w:val="single" w:sz="6" w:space="0" w:color="000000"/>
            </w:tcBorders>
          </w:tcPr>
          <w:p>
            <w:pPr>
              <w:pStyle w:val="TableParagraph"/>
              <w:spacing w:line="276" w:lineRule="exact"/>
              <w:ind w:left="384"/>
              <w:jc w:val="left"/>
              <w:rPr>
                <w:sz w:val="24"/>
              </w:rPr>
            </w:pPr>
            <w:r>
              <w:rPr>
                <w:sz w:val="24"/>
              </w:rPr>
              <w:t>1.16</w:t>
            </w:r>
          </w:p>
        </w:tc>
        <w:tc>
          <w:tcPr>
            <w:tcW w:w="996" w:type="dxa"/>
            <w:tcBorders>
              <w:top w:val="single" w:sz="6" w:space="0" w:color="000000"/>
              <w:bottom w:val="single" w:sz="6" w:space="0" w:color="000000"/>
              <w:right w:val="single" w:sz="6" w:space="0" w:color="000000"/>
            </w:tcBorders>
          </w:tcPr>
          <w:p>
            <w:pPr>
              <w:pStyle w:val="TableParagraph"/>
              <w:spacing w:line="276" w:lineRule="exact"/>
              <w:ind w:left="237" w:right="213"/>
              <w:rPr>
                <w:sz w:val="24"/>
              </w:rPr>
            </w:pPr>
            <w:r>
              <w:rPr>
                <w:sz w:val="24"/>
              </w:rPr>
              <w:t>43</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73"/>
              <w:jc w:val="right"/>
              <w:rPr>
                <w:sz w:val="24"/>
              </w:rPr>
            </w:pPr>
            <w:r>
              <w:rPr>
                <w:sz w:val="24"/>
              </w:rPr>
              <w:t>3.69</w:t>
            </w:r>
          </w:p>
        </w:tc>
        <w:tc>
          <w:tcPr>
            <w:tcW w:w="1078" w:type="dxa"/>
            <w:tcBorders>
              <w:top w:val="single" w:sz="6" w:space="0" w:color="000000"/>
              <w:left w:val="single" w:sz="6" w:space="0" w:color="000000"/>
              <w:bottom w:val="single" w:sz="6" w:space="0" w:color="000000"/>
            </w:tcBorders>
          </w:tcPr>
          <w:p>
            <w:pPr>
              <w:pStyle w:val="TableParagraph"/>
              <w:spacing w:line="276" w:lineRule="exact"/>
              <w:ind w:left="229" w:right="186"/>
              <w:rPr>
                <w:sz w:val="24"/>
              </w:rPr>
            </w:pPr>
            <w:r>
              <w:rPr>
                <w:sz w:val="24"/>
              </w:rPr>
              <w:t>4.10</w:t>
            </w:r>
          </w:p>
        </w:tc>
        <w:tc>
          <w:tcPr>
            <w:tcW w:w="1408" w:type="dxa"/>
            <w:tcBorders>
              <w:top w:val="single" w:sz="6" w:space="0" w:color="000000"/>
              <w:bottom w:val="single" w:sz="6" w:space="0" w:color="000000"/>
              <w:right w:val="single" w:sz="6" w:space="0" w:color="000000"/>
            </w:tcBorders>
          </w:tcPr>
          <w:p>
            <w:pPr>
              <w:pStyle w:val="TableParagraph"/>
              <w:spacing w:line="276" w:lineRule="exact"/>
              <w:ind w:left="87" w:right="57"/>
              <w:rPr>
                <w:sz w:val="24"/>
              </w:rPr>
            </w:pPr>
            <w:r>
              <w:rPr>
                <w:sz w:val="24"/>
              </w:rPr>
              <w:t>77</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55"/>
              <w:jc w:val="right"/>
              <w:rPr>
                <w:sz w:val="24"/>
              </w:rPr>
            </w:pPr>
            <w:r>
              <w:rPr>
                <w:sz w:val="24"/>
              </w:rPr>
              <w:t>36.83</w:t>
            </w:r>
          </w:p>
        </w:tc>
        <w:tc>
          <w:tcPr>
            <w:tcW w:w="1138" w:type="dxa"/>
            <w:tcBorders>
              <w:top w:val="single" w:sz="6" w:space="0" w:color="000000"/>
              <w:left w:val="single" w:sz="6" w:space="0" w:color="000000"/>
              <w:bottom w:val="single" w:sz="6" w:space="0" w:color="000000"/>
            </w:tcBorders>
          </w:tcPr>
          <w:p>
            <w:pPr>
              <w:pStyle w:val="TableParagraph"/>
              <w:spacing w:line="276" w:lineRule="exact"/>
              <w:ind w:left="283"/>
              <w:jc w:val="left"/>
              <w:rPr>
                <w:sz w:val="24"/>
              </w:rPr>
            </w:pPr>
            <w:r>
              <w:rPr>
                <w:sz w:val="24"/>
              </w:rPr>
              <w:t>22.75</w:t>
            </w:r>
          </w:p>
        </w:tc>
      </w:tr>
      <w:tr>
        <w:trPr>
          <w:trHeight w:val="311" w:hRule="atLeast"/>
        </w:trPr>
        <w:tc>
          <w:tcPr>
            <w:tcW w:w="856" w:type="dxa"/>
            <w:tcBorders>
              <w:top w:val="single" w:sz="6" w:space="0" w:color="000000"/>
              <w:bottom w:val="single" w:sz="6" w:space="0" w:color="000000"/>
              <w:right w:val="single" w:sz="6" w:space="0" w:color="000000"/>
            </w:tcBorders>
          </w:tcPr>
          <w:p>
            <w:pPr>
              <w:pStyle w:val="TableParagraph"/>
              <w:ind w:left="166" w:right="144"/>
              <w:rPr>
                <w:sz w:val="24"/>
              </w:rPr>
            </w:pPr>
            <w:r>
              <w:rPr>
                <w:sz w:val="24"/>
              </w:rPr>
              <w:t>10</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ind w:left="362" w:right="336"/>
              <w:rPr>
                <w:sz w:val="24"/>
              </w:rPr>
            </w:pPr>
            <w:r>
              <w:rPr>
                <w:sz w:val="24"/>
              </w:rPr>
              <w:t>1.29</w:t>
            </w:r>
          </w:p>
        </w:tc>
        <w:tc>
          <w:tcPr>
            <w:tcW w:w="1234" w:type="dxa"/>
            <w:tcBorders>
              <w:top w:val="single" w:sz="6" w:space="0" w:color="000000"/>
              <w:left w:val="single" w:sz="6" w:space="0" w:color="000000"/>
              <w:bottom w:val="single" w:sz="6" w:space="0" w:color="000000"/>
            </w:tcBorders>
          </w:tcPr>
          <w:p>
            <w:pPr>
              <w:pStyle w:val="TableParagraph"/>
              <w:ind w:left="384"/>
              <w:jc w:val="left"/>
              <w:rPr>
                <w:sz w:val="24"/>
              </w:rPr>
            </w:pPr>
            <w:r>
              <w:rPr>
                <w:sz w:val="24"/>
              </w:rPr>
              <w:t>1.18</w:t>
            </w:r>
          </w:p>
        </w:tc>
        <w:tc>
          <w:tcPr>
            <w:tcW w:w="996" w:type="dxa"/>
            <w:tcBorders>
              <w:top w:val="single" w:sz="6" w:space="0" w:color="000000"/>
              <w:bottom w:val="single" w:sz="6" w:space="0" w:color="000000"/>
              <w:right w:val="single" w:sz="6" w:space="0" w:color="000000"/>
            </w:tcBorders>
          </w:tcPr>
          <w:p>
            <w:pPr>
              <w:pStyle w:val="TableParagraph"/>
              <w:ind w:left="237" w:right="213"/>
              <w:rPr>
                <w:sz w:val="24"/>
              </w:rPr>
            </w:pPr>
            <w:r>
              <w:rPr>
                <w:sz w:val="24"/>
              </w:rPr>
              <w:t>44</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ind w:right="273"/>
              <w:jc w:val="right"/>
              <w:rPr>
                <w:sz w:val="24"/>
              </w:rPr>
            </w:pPr>
            <w:r>
              <w:rPr>
                <w:sz w:val="24"/>
              </w:rPr>
              <w:t>4.12</w:t>
            </w:r>
          </w:p>
        </w:tc>
        <w:tc>
          <w:tcPr>
            <w:tcW w:w="1078" w:type="dxa"/>
            <w:tcBorders>
              <w:top w:val="single" w:sz="6" w:space="0" w:color="000000"/>
              <w:left w:val="single" w:sz="6" w:space="0" w:color="000000"/>
              <w:bottom w:val="single" w:sz="6" w:space="0" w:color="000000"/>
            </w:tcBorders>
          </w:tcPr>
          <w:p>
            <w:pPr>
              <w:pStyle w:val="TableParagraph"/>
              <w:ind w:left="229" w:right="186"/>
              <w:rPr>
                <w:sz w:val="24"/>
              </w:rPr>
            </w:pPr>
            <w:r>
              <w:rPr>
                <w:sz w:val="24"/>
              </w:rPr>
              <w:t>4.47</w:t>
            </w:r>
          </w:p>
        </w:tc>
        <w:tc>
          <w:tcPr>
            <w:tcW w:w="1408" w:type="dxa"/>
            <w:tcBorders>
              <w:top w:val="single" w:sz="6" w:space="0" w:color="000000"/>
              <w:bottom w:val="single" w:sz="6" w:space="0" w:color="000000"/>
              <w:right w:val="single" w:sz="6" w:space="0" w:color="000000"/>
            </w:tcBorders>
          </w:tcPr>
          <w:p>
            <w:pPr>
              <w:pStyle w:val="TableParagraph"/>
              <w:ind w:left="87" w:right="57"/>
              <w:rPr>
                <w:sz w:val="24"/>
              </w:rPr>
            </w:pPr>
            <w:r>
              <w:rPr>
                <w:sz w:val="24"/>
              </w:rPr>
              <w:t>78</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ind w:right="155"/>
              <w:jc w:val="right"/>
              <w:rPr>
                <w:sz w:val="24"/>
              </w:rPr>
            </w:pPr>
            <w:r>
              <w:rPr>
                <w:sz w:val="24"/>
              </w:rPr>
              <w:t>36.63</w:t>
            </w:r>
          </w:p>
        </w:tc>
        <w:tc>
          <w:tcPr>
            <w:tcW w:w="1138" w:type="dxa"/>
            <w:tcBorders>
              <w:top w:val="single" w:sz="6" w:space="0" w:color="000000"/>
              <w:left w:val="single" w:sz="6" w:space="0" w:color="000000"/>
              <w:bottom w:val="single" w:sz="6" w:space="0" w:color="000000"/>
            </w:tcBorders>
          </w:tcPr>
          <w:p>
            <w:pPr>
              <w:pStyle w:val="TableParagraph"/>
              <w:ind w:left="283"/>
              <w:jc w:val="left"/>
              <w:rPr>
                <w:sz w:val="24"/>
              </w:rPr>
            </w:pPr>
            <w:r>
              <w:rPr>
                <w:sz w:val="24"/>
              </w:rPr>
              <w:t>22.87</w:t>
            </w:r>
          </w:p>
        </w:tc>
      </w:tr>
      <w:tr>
        <w:trPr>
          <w:trHeight w:val="312" w:hRule="atLeast"/>
        </w:trPr>
        <w:tc>
          <w:tcPr>
            <w:tcW w:w="856" w:type="dxa"/>
            <w:tcBorders>
              <w:top w:val="single" w:sz="6" w:space="0" w:color="000000"/>
              <w:bottom w:val="single" w:sz="6" w:space="0" w:color="000000"/>
              <w:right w:val="single" w:sz="6" w:space="0" w:color="000000"/>
            </w:tcBorders>
          </w:tcPr>
          <w:p>
            <w:pPr>
              <w:pStyle w:val="TableParagraph"/>
              <w:spacing w:line="276" w:lineRule="exact"/>
              <w:ind w:left="166" w:right="144"/>
              <w:rPr>
                <w:sz w:val="24"/>
              </w:rPr>
            </w:pPr>
            <w:r>
              <w:rPr>
                <w:sz w:val="24"/>
              </w:rPr>
              <w:t>11</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62" w:right="336"/>
              <w:rPr>
                <w:sz w:val="24"/>
              </w:rPr>
            </w:pPr>
            <w:r>
              <w:rPr>
                <w:sz w:val="24"/>
              </w:rPr>
              <w:t>1.29</w:t>
            </w:r>
          </w:p>
        </w:tc>
        <w:tc>
          <w:tcPr>
            <w:tcW w:w="1234" w:type="dxa"/>
            <w:tcBorders>
              <w:top w:val="single" w:sz="6" w:space="0" w:color="000000"/>
              <w:left w:val="single" w:sz="6" w:space="0" w:color="000000"/>
              <w:bottom w:val="single" w:sz="6" w:space="0" w:color="000000"/>
            </w:tcBorders>
          </w:tcPr>
          <w:p>
            <w:pPr>
              <w:pStyle w:val="TableParagraph"/>
              <w:spacing w:line="276" w:lineRule="exact"/>
              <w:ind w:left="384"/>
              <w:jc w:val="left"/>
              <w:rPr>
                <w:sz w:val="24"/>
              </w:rPr>
            </w:pPr>
            <w:r>
              <w:rPr>
                <w:sz w:val="24"/>
              </w:rPr>
              <w:t>1.23</w:t>
            </w:r>
          </w:p>
        </w:tc>
        <w:tc>
          <w:tcPr>
            <w:tcW w:w="996" w:type="dxa"/>
            <w:tcBorders>
              <w:top w:val="single" w:sz="6" w:space="0" w:color="000000"/>
              <w:bottom w:val="single" w:sz="6" w:space="0" w:color="000000"/>
              <w:right w:val="single" w:sz="6" w:space="0" w:color="000000"/>
            </w:tcBorders>
          </w:tcPr>
          <w:p>
            <w:pPr>
              <w:pStyle w:val="TableParagraph"/>
              <w:spacing w:line="276" w:lineRule="exact"/>
              <w:ind w:left="237" w:right="213"/>
              <w:rPr>
                <w:sz w:val="24"/>
              </w:rPr>
            </w:pPr>
            <w:r>
              <w:rPr>
                <w:sz w:val="24"/>
              </w:rPr>
              <w:t>45</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73"/>
              <w:jc w:val="right"/>
              <w:rPr>
                <w:sz w:val="24"/>
              </w:rPr>
            </w:pPr>
            <w:r>
              <w:rPr>
                <w:sz w:val="24"/>
              </w:rPr>
              <w:t>4.59</w:t>
            </w:r>
          </w:p>
        </w:tc>
        <w:tc>
          <w:tcPr>
            <w:tcW w:w="1078" w:type="dxa"/>
            <w:tcBorders>
              <w:top w:val="single" w:sz="6" w:space="0" w:color="000000"/>
              <w:left w:val="single" w:sz="6" w:space="0" w:color="000000"/>
              <w:bottom w:val="single" w:sz="6" w:space="0" w:color="000000"/>
            </w:tcBorders>
          </w:tcPr>
          <w:p>
            <w:pPr>
              <w:pStyle w:val="TableParagraph"/>
              <w:spacing w:line="276" w:lineRule="exact"/>
              <w:ind w:left="229" w:right="186"/>
              <w:rPr>
                <w:sz w:val="24"/>
              </w:rPr>
            </w:pPr>
            <w:r>
              <w:rPr>
                <w:sz w:val="24"/>
              </w:rPr>
              <w:t>4.89</w:t>
            </w:r>
          </w:p>
        </w:tc>
        <w:tc>
          <w:tcPr>
            <w:tcW w:w="1408" w:type="dxa"/>
            <w:tcBorders>
              <w:top w:val="single" w:sz="6" w:space="0" w:color="000000"/>
              <w:bottom w:val="single" w:sz="6" w:space="0" w:color="000000"/>
              <w:right w:val="single" w:sz="6" w:space="0" w:color="000000"/>
            </w:tcBorders>
          </w:tcPr>
          <w:p>
            <w:pPr>
              <w:pStyle w:val="TableParagraph"/>
              <w:spacing w:line="276" w:lineRule="exact"/>
              <w:ind w:left="87" w:right="57"/>
              <w:rPr>
                <w:sz w:val="24"/>
              </w:rPr>
            </w:pPr>
            <w:r>
              <w:rPr>
                <w:sz w:val="24"/>
              </w:rPr>
              <w:t>79</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55"/>
              <w:jc w:val="right"/>
              <w:rPr>
                <w:sz w:val="24"/>
              </w:rPr>
            </w:pPr>
            <w:r>
              <w:rPr>
                <w:sz w:val="24"/>
              </w:rPr>
              <w:t>37.17</w:t>
            </w:r>
          </w:p>
        </w:tc>
        <w:tc>
          <w:tcPr>
            <w:tcW w:w="1138" w:type="dxa"/>
            <w:tcBorders>
              <w:top w:val="single" w:sz="6" w:space="0" w:color="000000"/>
              <w:left w:val="single" w:sz="6" w:space="0" w:color="000000"/>
              <w:bottom w:val="single" w:sz="6" w:space="0" w:color="000000"/>
            </w:tcBorders>
          </w:tcPr>
          <w:p>
            <w:pPr>
              <w:pStyle w:val="TableParagraph"/>
              <w:spacing w:line="276" w:lineRule="exact"/>
              <w:ind w:left="283"/>
              <w:jc w:val="left"/>
              <w:rPr>
                <w:sz w:val="24"/>
              </w:rPr>
            </w:pPr>
            <w:r>
              <w:rPr>
                <w:sz w:val="24"/>
              </w:rPr>
              <w:t>23.33</w:t>
            </w:r>
          </w:p>
        </w:tc>
      </w:tr>
      <w:tr>
        <w:trPr>
          <w:trHeight w:val="311" w:hRule="atLeast"/>
        </w:trPr>
        <w:tc>
          <w:tcPr>
            <w:tcW w:w="856" w:type="dxa"/>
            <w:tcBorders>
              <w:top w:val="single" w:sz="6" w:space="0" w:color="000000"/>
              <w:bottom w:val="single" w:sz="6" w:space="0" w:color="000000"/>
              <w:right w:val="single" w:sz="6" w:space="0" w:color="000000"/>
            </w:tcBorders>
          </w:tcPr>
          <w:p>
            <w:pPr>
              <w:pStyle w:val="TableParagraph"/>
              <w:ind w:left="166" w:right="144"/>
              <w:rPr>
                <w:sz w:val="24"/>
              </w:rPr>
            </w:pPr>
            <w:r>
              <w:rPr>
                <w:sz w:val="24"/>
              </w:rPr>
              <w:t>12</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ind w:left="362" w:right="336"/>
              <w:rPr>
                <w:sz w:val="24"/>
              </w:rPr>
            </w:pPr>
            <w:r>
              <w:rPr>
                <w:sz w:val="24"/>
              </w:rPr>
              <w:t>1.29</w:t>
            </w:r>
          </w:p>
        </w:tc>
        <w:tc>
          <w:tcPr>
            <w:tcW w:w="1234" w:type="dxa"/>
            <w:tcBorders>
              <w:top w:val="single" w:sz="6" w:space="0" w:color="000000"/>
              <w:left w:val="single" w:sz="6" w:space="0" w:color="000000"/>
              <w:bottom w:val="single" w:sz="6" w:space="0" w:color="000000"/>
            </w:tcBorders>
          </w:tcPr>
          <w:p>
            <w:pPr>
              <w:pStyle w:val="TableParagraph"/>
              <w:ind w:left="384"/>
              <w:jc w:val="left"/>
              <w:rPr>
                <w:sz w:val="24"/>
              </w:rPr>
            </w:pPr>
            <w:r>
              <w:rPr>
                <w:sz w:val="24"/>
              </w:rPr>
              <w:t>1.24</w:t>
            </w:r>
          </w:p>
        </w:tc>
        <w:tc>
          <w:tcPr>
            <w:tcW w:w="996" w:type="dxa"/>
            <w:tcBorders>
              <w:top w:val="single" w:sz="6" w:space="0" w:color="000000"/>
              <w:bottom w:val="single" w:sz="6" w:space="0" w:color="000000"/>
              <w:right w:val="single" w:sz="6" w:space="0" w:color="000000"/>
            </w:tcBorders>
          </w:tcPr>
          <w:p>
            <w:pPr>
              <w:pStyle w:val="TableParagraph"/>
              <w:ind w:left="237" w:right="213"/>
              <w:rPr>
                <w:sz w:val="24"/>
              </w:rPr>
            </w:pPr>
            <w:r>
              <w:rPr>
                <w:sz w:val="24"/>
              </w:rPr>
              <w:t>46</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ind w:right="273"/>
              <w:jc w:val="right"/>
              <w:rPr>
                <w:sz w:val="24"/>
              </w:rPr>
            </w:pPr>
            <w:r>
              <w:rPr>
                <w:sz w:val="24"/>
              </w:rPr>
              <w:t>5.11</w:t>
            </w:r>
          </w:p>
        </w:tc>
        <w:tc>
          <w:tcPr>
            <w:tcW w:w="1078" w:type="dxa"/>
            <w:tcBorders>
              <w:top w:val="single" w:sz="6" w:space="0" w:color="000000"/>
              <w:left w:val="single" w:sz="6" w:space="0" w:color="000000"/>
              <w:bottom w:val="single" w:sz="6" w:space="0" w:color="000000"/>
            </w:tcBorders>
          </w:tcPr>
          <w:p>
            <w:pPr>
              <w:pStyle w:val="TableParagraph"/>
              <w:ind w:left="229" w:right="186"/>
              <w:rPr>
                <w:sz w:val="24"/>
              </w:rPr>
            </w:pPr>
            <w:r>
              <w:rPr>
                <w:sz w:val="24"/>
              </w:rPr>
              <w:t>5.32</w:t>
            </w:r>
          </w:p>
        </w:tc>
        <w:tc>
          <w:tcPr>
            <w:tcW w:w="1408" w:type="dxa"/>
            <w:tcBorders>
              <w:top w:val="single" w:sz="6" w:space="0" w:color="000000"/>
              <w:bottom w:val="single" w:sz="6" w:space="0" w:color="000000"/>
              <w:right w:val="single" w:sz="6" w:space="0" w:color="000000"/>
            </w:tcBorders>
          </w:tcPr>
          <w:p>
            <w:pPr>
              <w:pStyle w:val="TableParagraph"/>
              <w:ind w:left="87" w:right="57"/>
              <w:rPr>
                <w:sz w:val="24"/>
              </w:rPr>
            </w:pPr>
            <w:r>
              <w:rPr>
                <w:sz w:val="24"/>
              </w:rPr>
              <w:t>80</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ind w:right="155"/>
              <w:jc w:val="right"/>
              <w:rPr>
                <w:sz w:val="24"/>
              </w:rPr>
            </w:pPr>
            <w:r>
              <w:rPr>
                <w:sz w:val="24"/>
              </w:rPr>
              <w:t>38.12</w:t>
            </w:r>
          </w:p>
        </w:tc>
        <w:tc>
          <w:tcPr>
            <w:tcW w:w="1138" w:type="dxa"/>
            <w:tcBorders>
              <w:top w:val="single" w:sz="6" w:space="0" w:color="000000"/>
              <w:left w:val="single" w:sz="6" w:space="0" w:color="000000"/>
              <w:bottom w:val="single" w:sz="6" w:space="0" w:color="000000"/>
            </w:tcBorders>
          </w:tcPr>
          <w:p>
            <w:pPr>
              <w:pStyle w:val="TableParagraph"/>
              <w:ind w:left="283"/>
              <w:jc w:val="left"/>
              <w:rPr>
                <w:sz w:val="24"/>
              </w:rPr>
            </w:pPr>
            <w:r>
              <w:rPr>
                <w:sz w:val="24"/>
              </w:rPr>
              <w:t>24.26</w:t>
            </w:r>
          </w:p>
        </w:tc>
      </w:tr>
      <w:tr>
        <w:trPr>
          <w:trHeight w:val="312" w:hRule="atLeast"/>
        </w:trPr>
        <w:tc>
          <w:tcPr>
            <w:tcW w:w="856" w:type="dxa"/>
            <w:tcBorders>
              <w:top w:val="single" w:sz="6" w:space="0" w:color="000000"/>
              <w:bottom w:val="single" w:sz="6" w:space="0" w:color="000000"/>
              <w:right w:val="single" w:sz="6" w:space="0" w:color="000000"/>
            </w:tcBorders>
          </w:tcPr>
          <w:p>
            <w:pPr>
              <w:pStyle w:val="TableParagraph"/>
              <w:spacing w:line="276" w:lineRule="exact"/>
              <w:ind w:left="166" w:right="144"/>
              <w:rPr>
                <w:sz w:val="24"/>
              </w:rPr>
            </w:pPr>
            <w:r>
              <w:rPr>
                <w:sz w:val="24"/>
              </w:rPr>
              <w:t>13</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62" w:right="336"/>
              <w:rPr>
                <w:sz w:val="24"/>
              </w:rPr>
            </w:pPr>
            <w:r>
              <w:rPr>
                <w:sz w:val="24"/>
              </w:rPr>
              <w:t>1.29</w:t>
            </w:r>
          </w:p>
        </w:tc>
        <w:tc>
          <w:tcPr>
            <w:tcW w:w="1234" w:type="dxa"/>
            <w:tcBorders>
              <w:top w:val="single" w:sz="6" w:space="0" w:color="000000"/>
              <w:left w:val="single" w:sz="6" w:space="0" w:color="000000"/>
              <w:bottom w:val="single" w:sz="6" w:space="0" w:color="000000"/>
            </w:tcBorders>
          </w:tcPr>
          <w:p>
            <w:pPr>
              <w:pStyle w:val="TableParagraph"/>
              <w:spacing w:line="276" w:lineRule="exact"/>
              <w:ind w:left="384"/>
              <w:jc w:val="left"/>
              <w:rPr>
                <w:sz w:val="24"/>
              </w:rPr>
            </w:pPr>
            <w:r>
              <w:rPr>
                <w:sz w:val="24"/>
              </w:rPr>
              <w:t>1.21</w:t>
            </w:r>
          </w:p>
        </w:tc>
        <w:tc>
          <w:tcPr>
            <w:tcW w:w="996" w:type="dxa"/>
            <w:tcBorders>
              <w:top w:val="single" w:sz="6" w:space="0" w:color="000000"/>
              <w:bottom w:val="single" w:sz="6" w:space="0" w:color="000000"/>
              <w:right w:val="single" w:sz="6" w:space="0" w:color="000000"/>
            </w:tcBorders>
          </w:tcPr>
          <w:p>
            <w:pPr>
              <w:pStyle w:val="TableParagraph"/>
              <w:spacing w:line="276" w:lineRule="exact"/>
              <w:ind w:left="237" w:right="213"/>
              <w:rPr>
                <w:sz w:val="24"/>
              </w:rPr>
            </w:pPr>
            <w:r>
              <w:rPr>
                <w:sz w:val="24"/>
              </w:rPr>
              <w:t>47</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73"/>
              <w:jc w:val="right"/>
              <w:rPr>
                <w:sz w:val="24"/>
              </w:rPr>
            </w:pPr>
            <w:r>
              <w:rPr>
                <w:sz w:val="24"/>
              </w:rPr>
              <w:t>5.67</w:t>
            </w:r>
          </w:p>
        </w:tc>
        <w:tc>
          <w:tcPr>
            <w:tcW w:w="1078" w:type="dxa"/>
            <w:tcBorders>
              <w:top w:val="single" w:sz="6" w:space="0" w:color="000000"/>
              <w:left w:val="single" w:sz="6" w:space="0" w:color="000000"/>
              <w:bottom w:val="single" w:sz="6" w:space="0" w:color="000000"/>
            </w:tcBorders>
          </w:tcPr>
          <w:p>
            <w:pPr>
              <w:pStyle w:val="TableParagraph"/>
              <w:spacing w:line="276" w:lineRule="exact"/>
              <w:ind w:left="229" w:right="186"/>
              <w:rPr>
                <w:sz w:val="24"/>
              </w:rPr>
            </w:pPr>
            <w:r>
              <w:rPr>
                <w:sz w:val="24"/>
              </w:rPr>
              <w:t>5.76</w:t>
            </w:r>
          </w:p>
        </w:tc>
        <w:tc>
          <w:tcPr>
            <w:tcW w:w="1408" w:type="dxa"/>
            <w:tcBorders>
              <w:top w:val="single" w:sz="6" w:space="0" w:color="000000"/>
              <w:bottom w:val="single" w:sz="6" w:space="0" w:color="000000"/>
              <w:right w:val="single" w:sz="6" w:space="0" w:color="000000"/>
            </w:tcBorders>
          </w:tcPr>
          <w:p>
            <w:pPr>
              <w:pStyle w:val="TableParagraph"/>
              <w:spacing w:line="276" w:lineRule="exact"/>
              <w:ind w:left="87" w:right="57"/>
              <w:rPr>
                <w:sz w:val="24"/>
              </w:rPr>
            </w:pPr>
            <w:r>
              <w:rPr>
                <w:sz w:val="24"/>
              </w:rPr>
              <w:t>81</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55"/>
              <w:jc w:val="right"/>
              <w:rPr>
                <w:sz w:val="24"/>
              </w:rPr>
            </w:pPr>
            <w:r>
              <w:rPr>
                <w:sz w:val="24"/>
              </w:rPr>
              <w:t>38.94</w:t>
            </w:r>
          </w:p>
        </w:tc>
        <w:tc>
          <w:tcPr>
            <w:tcW w:w="1138" w:type="dxa"/>
            <w:tcBorders>
              <w:top w:val="single" w:sz="6" w:space="0" w:color="000000"/>
              <w:left w:val="single" w:sz="6" w:space="0" w:color="000000"/>
              <w:bottom w:val="single" w:sz="6" w:space="0" w:color="000000"/>
            </w:tcBorders>
          </w:tcPr>
          <w:p>
            <w:pPr>
              <w:pStyle w:val="TableParagraph"/>
              <w:spacing w:line="276" w:lineRule="exact"/>
              <w:ind w:left="283"/>
              <w:jc w:val="left"/>
              <w:rPr>
                <w:sz w:val="24"/>
              </w:rPr>
            </w:pPr>
            <w:r>
              <w:rPr>
                <w:sz w:val="24"/>
              </w:rPr>
              <w:t>25.16</w:t>
            </w:r>
          </w:p>
        </w:tc>
      </w:tr>
      <w:tr>
        <w:trPr>
          <w:trHeight w:val="311" w:hRule="atLeast"/>
        </w:trPr>
        <w:tc>
          <w:tcPr>
            <w:tcW w:w="856" w:type="dxa"/>
            <w:tcBorders>
              <w:top w:val="single" w:sz="6" w:space="0" w:color="000000"/>
              <w:bottom w:val="single" w:sz="6" w:space="0" w:color="000000"/>
              <w:right w:val="single" w:sz="6" w:space="0" w:color="000000"/>
            </w:tcBorders>
          </w:tcPr>
          <w:p>
            <w:pPr>
              <w:pStyle w:val="TableParagraph"/>
              <w:ind w:left="166" w:right="144"/>
              <w:rPr>
                <w:sz w:val="24"/>
              </w:rPr>
            </w:pPr>
            <w:r>
              <w:rPr>
                <w:sz w:val="24"/>
              </w:rPr>
              <w:t>14</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ind w:left="362" w:right="336"/>
              <w:rPr>
                <w:sz w:val="24"/>
              </w:rPr>
            </w:pPr>
            <w:r>
              <w:rPr>
                <w:sz w:val="24"/>
              </w:rPr>
              <w:t>1.30</w:t>
            </w:r>
          </w:p>
        </w:tc>
        <w:tc>
          <w:tcPr>
            <w:tcW w:w="1234" w:type="dxa"/>
            <w:tcBorders>
              <w:top w:val="single" w:sz="6" w:space="0" w:color="000000"/>
              <w:left w:val="single" w:sz="6" w:space="0" w:color="000000"/>
              <w:bottom w:val="single" w:sz="6" w:space="0" w:color="000000"/>
            </w:tcBorders>
          </w:tcPr>
          <w:p>
            <w:pPr>
              <w:pStyle w:val="TableParagraph"/>
              <w:ind w:left="384"/>
              <w:jc w:val="left"/>
              <w:rPr>
                <w:sz w:val="24"/>
              </w:rPr>
            </w:pPr>
            <w:r>
              <w:rPr>
                <w:sz w:val="24"/>
              </w:rPr>
              <w:t>1.20</w:t>
            </w:r>
          </w:p>
        </w:tc>
        <w:tc>
          <w:tcPr>
            <w:tcW w:w="996" w:type="dxa"/>
            <w:tcBorders>
              <w:top w:val="single" w:sz="6" w:space="0" w:color="000000"/>
              <w:bottom w:val="single" w:sz="6" w:space="0" w:color="000000"/>
              <w:right w:val="single" w:sz="6" w:space="0" w:color="000000"/>
            </w:tcBorders>
          </w:tcPr>
          <w:p>
            <w:pPr>
              <w:pStyle w:val="TableParagraph"/>
              <w:ind w:left="237" w:right="213"/>
              <w:rPr>
                <w:sz w:val="24"/>
              </w:rPr>
            </w:pPr>
            <w:r>
              <w:rPr>
                <w:sz w:val="24"/>
              </w:rPr>
              <w:t>48</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ind w:right="273"/>
              <w:jc w:val="right"/>
              <w:rPr>
                <w:sz w:val="24"/>
              </w:rPr>
            </w:pPr>
            <w:r>
              <w:rPr>
                <w:sz w:val="24"/>
              </w:rPr>
              <w:t>6.32</w:t>
            </w:r>
          </w:p>
        </w:tc>
        <w:tc>
          <w:tcPr>
            <w:tcW w:w="1078" w:type="dxa"/>
            <w:tcBorders>
              <w:top w:val="single" w:sz="6" w:space="0" w:color="000000"/>
              <w:left w:val="single" w:sz="6" w:space="0" w:color="000000"/>
              <w:bottom w:val="single" w:sz="6" w:space="0" w:color="000000"/>
            </w:tcBorders>
          </w:tcPr>
          <w:p>
            <w:pPr>
              <w:pStyle w:val="TableParagraph"/>
              <w:ind w:left="229" w:right="186"/>
              <w:rPr>
                <w:sz w:val="24"/>
              </w:rPr>
            </w:pPr>
            <w:r>
              <w:rPr>
                <w:sz w:val="24"/>
              </w:rPr>
              <w:t>6.28</w:t>
            </w:r>
          </w:p>
        </w:tc>
        <w:tc>
          <w:tcPr>
            <w:tcW w:w="1408" w:type="dxa"/>
            <w:tcBorders>
              <w:top w:val="single" w:sz="6" w:space="0" w:color="000000"/>
              <w:bottom w:val="single" w:sz="6" w:space="0" w:color="000000"/>
              <w:right w:val="single" w:sz="6" w:space="0" w:color="000000"/>
            </w:tcBorders>
          </w:tcPr>
          <w:p>
            <w:pPr>
              <w:pStyle w:val="TableParagraph"/>
              <w:ind w:left="87" w:right="57"/>
              <w:rPr>
                <w:sz w:val="24"/>
              </w:rPr>
            </w:pPr>
            <w:r>
              <w:rPr>
                <w:sz w:val="24"/>
              </w:rPr>
              <w:t>82</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ind w:right="155"/>
              <w:jc w:val="right"/>
              <w:rPr>
                <w:sz w:val="24"/>
              </w:rPr>
            </w:pPr>
            <w:r>
              <w:rPr>
                <w:sz w:val="24"/>
              </w:rPr>
              <w:t>39.74</w:t>
            </w:r>
          </w:p>
        </w:tc>
        <w:tc>
          <w:tcPr>
            <w:tcW w:w="1138" w:type="dxa"/>
            <w:tcBorders>
              <w:top w:val="single" w:sz="6" w:space="0" w:color="000000"/>
              <w:left w:val="single" w:sz="6" w:space="0" w:color="000000"/>
              <w:bottom w:val="single" w:sz="6" w:space="0" w:color="000000"/>
            </w:tcBorders>
          </w:tcPr>
          <w:p>
            <w:pPr>
              <w:pStyle w:val="TableParagraph"/>
              <w:ind w:left="283"/>
              <w:jc w:val="left"/>
              <w:rPr>
                <w:sz w:val="24"/>
              </w:rPr>
            </w:pPr>
            <w:r>
              <w:rPr>
                <w:sz w:val="24"/>
              </w:rPr>
              <w:t>26.09</w:t>
            </w:r>
          </w:p>
        </w:tc>
      </w:tr>
      <w:tr>
        <w:trPr>
          <w:trHeight w:val="312" w:hRule="atLeast"/>
        </w:trPr>
        <w:tc>
          <w:tcPr>
            <w:tcW w:w="856" w:type="dxa"/>
            <w:tcBorders>
              <w:top w:val="single" w:sz="6" w:space="0" w:color="000000"/>
              <w:bottom w:val="single" w:sz="6" w:space="0" w:color="000000"/>
              <w:right w:val="single" w:sz="6" w:space="0" w:color="000000"/>
            </w:tcBorders>
          </w:tcPr>
          <w:p>
            <w:pPr>
              <w:pStyle w:val="TableParagraph"/>
              <w:spacing w:line="276" w:lineRule="exact"/>
              <w:ind w:left="166" w:right="144"/>
              <w:rPr>
                <w:sz w:val="24"/>
              </w:rPr>
            </w:pPr>
            <w:r>
              <w:rPr>
                <w:sz w:val="24"/>
              </w:rPr>
              <w:t>15</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62" w:right="336"/>
              <w:rPr>
                <w:sz w:val="24"/>
              </w:rPr>
            </w:pPr>
            <w:r>
              <w:rPr>
                <w:sz w:val="24"/>
              </w:rPr>
              <w:t>1.30</w:t>
            </w:r>
          </w:p>
        </w:tc>
        <w:tc>
          <w:tcPr>
            <w:tcW w:w="1234" w:type="dxa"/>
            <w:tcBorders>
              <w:top w:val="single" w:sz="6" w:space="0" w:color="000000"/>
              <w:left w:val="single" w:sz="6" w:space="0" w:color="000000"/>
              <w:bottom w:val="single" w:sz="6" w:space="0" w:color="000000"/>
            </w:tcBorders>
          </w:tcPr>
          <w:p>
            <w:pPr>
              <w:pStyle w:val="TableParagraph"/>
              <w:spacing w:line="276" w:lineRule="exact"/>
              <w:ind w:left="384"/>
              <w:jc w:val="left"/>
              <w:rPr>
                <w:sz w:val="24"/>
              </w:rPr>
            </w:pPr>
            <w:r>
              <w:rPr>
                <w:sz w:val="24"/>
              </w:rPr>
              <w:t>1.17</w:t>
            </w:r>
          </w:p>
        </w:tc>
        <w:tc>
          <w:tcPr>
            <w:tcW w:w="996" w:type="dxa"/>
            <w:tcBorders>
              <w:top w:val="single" w:sz="6" w:space="0" w:color="000000"/>
              <w:bottom w:val="single" w:sz="6" w:space="0" w:color="000000"/>
              <w:right w:val="single" w:sz="6" w:space="0" w:color="000000"/>
            </w:tcBorders>
          </w:tcPr>
          <w:p>
            <w:pPr>
              <w:pStyle w:val="TableParagraph"/>
              <w:spacing w:line="276" w:lineRule="exact"/>
              <w:ind w:left="237" w:right="213"/>
              <w:rPr>
                <w:sz w:val="24"/>
              </w:rPr>
            </w:pPr>
            <w:r>
              <w:rPr>
                <w:sz w:val="24"/>
              </w:rPr>
              <w:t>49</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73"/>
              <w:jc w:val="right"/>
              <w:rPr>
                <w:sz w:val="24"/>
              </w:rPr>
            </w:pPr>
            <w:r>
              <w:rPr>
                <w:sz w:val="24"/>
              </w:rPr>
              <w:t>6.98</w:t>
            </w:r>
          </w:p>
        </w:tc>
        <w:tc>
          <w:tcPr>
            <w:tcW w:w="1078" w:type="dxa"/>
            <w:tcBorders>
              <w:top w:val="single" w:sz="6" w:space="0" w:color="000000"/>
              <w:left w:val="single" w:sz="6" w:space="0" w:color="000000"/>
              <w:bottom w:val="single" w:sz="6" w:space="0" w:color="000000"/>
            </w:tcBorders>
          </w:tcPr>
          <w:p>
            <w:pPr>
              <w:pStyle w:val="TableParagraph"/>
              <w:spacing w:line="276" w:lineRule="exact"/>
              <w:ind w:left="229" w:right="186"/>
              <w:rPr>
                <w:sz w:val="24"/>
              </w:rPr>
            </w:pPr>
            <w:r>
              <w:rPr>
                <w:sz w:val="24"/>
              </w:rPr>
              <w:t>6.76</w:t>
            </w:r>
          </w:p>
        </w:tc>
        <w:tc>
          <w:tcPr>
            <w:tcW w:w="1408" w:type="dxa"/>
            <w:tcBorders>
              <w:top w:val="single" w:sz="6" w:space="0" w:color="000000"/>
              <w:bottom w:val="single" w:sz="6" w:space="0" w:color="000000"/>
              <w:right w:val="single" w:sz="6" w:space="0" w:color="000000"/>
            </w:tcBorders>
          </w:tcPr>
          <w:p>
            <w:pPr>
              <w:pStyle w:val="TableParagraph"/>
              <w:spacing w:line="276" w:lineRule="exact"/>
              <w:ind w:left="87" w:right="57"/>
              <w:rPr>
                <w:sz w:val="24"/>
              </w:rPr>
            </w:pPr>
            <w:r>
              <w:rPr>
                <w:sz w:val="24"/>
              </w:rPr>
              <w:t>83</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55"/>
              <w:jc w:val="right"/>
              <w:rPr>
                <w:sz w:val="24"/>
              </w:rPr>
            </w:pPr>
            <w:r>
              <w:rPr>
                <w:sz w:val="24"/>
              </w:rPr>
              <w:t>41.41</w:t>
            </w:r>
          </w:p>
        </w:tc>
        <w:tc>
          <w:tcPr>
            <w:tcW w:w="1138" w:type="dxa"/>
            <w:tcBorders>
              <w:top w:val="single" w:sz="6" w:space="0" w:color="000000"/>
              <w:left w:val="single" w:sz="6" w:space="0" w:color="000000"/>
              <w:bottom w:val="single" w:sz="6" w:space="0" w:color="000000"/>
            </w:tcBorders>
          </w:tcPr>
          <w:p>
            <w:pPr>
              <w:pStyle w:val="TableParagraph"/>
              <w:spacing w:line="276" w:lineRule="exact"/>
              <w:ind w:left="283"/>
              <w:jc w:val="left"/>
              <w:rPr>
                <w:sz w:val="24"/>
              </w:rPr>
            </w:pPr>
            <w:r>
              <w:rPr>
                <w:sz w:val="24"/>
              </w:rPr>
              <w:t>28.00</w:t>
            </w:r>
          </w:p>
        </w:tc>
      </w:tr>
      <w:tr>
        <w:trPr>
          <w:trHeight w:val="311" w:hRule="atLeast"/>
        </w:trPr>
        <w:tc>
          <w:tcPr>
            <w:tcW w:w="856" w:type="dxa"/>
            <w:tcBorders>
              <w:top w:val="single" w:sz="6" w:space="0" w:color="000000"/>
              <w:bottom w:val="single" w:sz="6" w:space="0" w:color="000000"/>
              <w:right w:val="single" w:sz="6" w:space="0" w:color="000000"/>
            </w:tcBorders>
          </w:tcPr>
          <w:p>
            <w:pPr>
              <w:pStyle w:val="TableParagraph"/>
              <w:ind w:left="166" w:right="144"/>
              <w:rPr>
                <w:sz w:val="24"/>
              </w:rPr>
            </w:pPr>
            <w:r>
              <w:rPr>
                <w:sz w:val="24"/>
              </w:rPr>
              <w:t>16</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ind w:left="362" w:right="336"/>
              <w:rPr>
                <w:sz w:val="24"/>
              </w:rPr>
            </w:pPr>
            <w:r>
              <w:rPr>
                <w:sz w:val="24"/>
              </w:rPr>
              <w:t>1.30</w:t>
            </w:r>
          </w:p>
        </w:tc>
        <w:tc>
          <w:tcPr>
            <w:tcW w:w="1234" w:type="dxa"/>
            <w:tcBorders>
              <w:top w:val="single" w:sz="6" w:space="0" w:color="000000"/>
              <w:left w:val="single" w:sz="6" w:space="0" w:color="000000"/>
              <w:bottom w:val="single" w:sz="6" w:space="0" w:color="000000"/>
            </w:tcBorders>
          </w:tcPr>
          <w:p>
            <w:pPr>
              <w:pStyle w:val="TableParagraph"/>
              <w:ind w:left="384"/>
              <w:jc w:val="left"/>
              <w:rPr>
                <w:sz w:val="24"/>
              </w:rPr>
            </w:pPr>
            <w:r>
              <w:rPr>
                <w:sz w:val="24"/>
              </w:rPr>
              <w:t>1.17</w:t>
            </w:r>
          </w:p>
        </w:tc>
        <w:tc>
          <w:tcPr>
            <w:tcW w:w="996" w:type="dxa"/>
            <w:tcBorders>
              <w:top w:val="single" w:sz="6" w:space="0" w:color="000000"/>
              <w:bottom w:val="single" w:sz="6" w:space="0" w:color="000000"/>
              <w:right w:val="single" w:sz="6" w:space="0" w:color="000000"/>
            </w:tcBorders>
          </w:tcPr>
          <w:p>
            <w:pPr>
              <w:pStyle w:val="TableParagraph"/>
              <w:ind w:left="237" w:right="213"/>
              <w:rPr>
                <w:sz w:val="24"/>
              </w:rPr>
            </w:pPr>
            <w:r>
              <w:rPr>
                <w:sz w:val="24"/>
              </w:rPr>
              <w:t>50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ind w:right="273"/>
              <w:jc w:val="right"/>
              <w:rPr>
                <w:sz w:val="24"/>
              </w:rPr>
            </w:pPr>
            <w:r>
              <w:rPr>
                <w:sz w:val="24"/>
              </w:rPr>
              <w:t>7.80</w:t>
            </w:r>
          </w:p>
        </w:tc>
        <w:tc>
          <w:tcPr>
            <w:tcW w:w="1078" w:type="dxa"/>
            <w:tcBorders>
              <w:top w:val="single" w:sz="6" w:space="0" w:color="000000"/>
              <w:left w:val="single" w:sz="6" w:space="0" w:color="000000"/>
              <w:bottom w:val="single" w:sz="6" w:space="0" w:color="000000"/>
            </w:tcBorders>
          </w:tcPr>
          <w:p>
            <w:pPr>
              <w:pStyle w:val="TableParagraph"/>
              <w:ind w:left="229" w:right="186"/>
              <w:rPr>
                <w:sz w:val="24"/>
              </w:rPr>
            </w:pPr>
            <w:r>
              <w:rPr>
                <w:sz w:val="24"/>
              </w:rPr>
              <w:t>7.35</w:t>
            </w:r>
          </w:p>
        </w:tc>
        <w:tc>
          <w:tcPr>
            <w:tcW w:w="1408" w:type="dxa"/>
            <w:tcBorders>
              <w:top w:val="single" w:sz="6" w:space="0" w:color="000000"/>
              <w:bottom w:val="single" w:sz="6" w:space="0" w:color="000000"/>
              <w:right w:val="single" w:sz="6" w:space="0" w:color="000000"/>
            </w:tcBorders>
          </w:tcPr>
          <w:p>
            <w:pPr>
              <w:pStyle w:val="TableParagraph"/>
              <w:ind w:left="87" w:right="57"/>
              <w:rPr>
                <w:sz w:val="24"/>
              </w:rPr>
            </w:pPr>
            <w:r>
              <w:rPr>
                <w:sz w:val="24"/>
              </w:rPr>
              <w:t>84</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ind w:right="155"/>
              <w:jc w:val="right"/>
              <w:rPr>
                <w:sz w:val="24"/>
              </w:rPr>
            </w:pPr>
            <w:r>
              <w:rPr>
                <w:sz w:val="24"/>
              </w:rPr>
              <w:t>42.97</w:t>
            </w:r>
          </w:p>
        </w:tc>
        <w:tc>
          <w:tcPr>
            <w:tcW w:w="1138" w:type="dxa"/>
            <w:tcBorders>
              <w:top w:val="single" w:sz="6" w:space="0" w:color="000000"/>
              <w:left w:val="single" w:sz="6" w:space="0" w:color="000000"/>
              <w:bottom w:val="single" w:sz="6" w:space="0" w:color="000000"/>
            </w:tcBorders>
          </w:tcPr>
          <w:p>
            <w:pPr>
              <w:pStyle w:val="TableParagraph"/>
              <w:ind w:left="283"/>
              <w:jc w:val="left"/>
              <w:rPr>
                <w:sz w:val="24"/>
              </w:rPr>
            </w:pPr>
            <w:r>
              <w:rPr>
                <w:sz w:val="24"/>
              </w:rPr>
              <w:t>29.87</w:t>
            </w:r>
          </w:p>
        </w:tc>
      </w:tr>
      <w:tr>
        <w:trPr>
          <w:trHeight w:val="312" w:hRule="atLeast"/>
        </w:trPr>
        <w:tc>
          <w:tcPr>
            <w:tcW w:w="856" w:type="dxa"/>
            <w:tcBorders>
              <w:top w:val="single" w:sz="6" w:space="0" w:color="000000"/>
              <w:bottom w:val="single" w:sz="6" w:space="0" w:color="000000"/>
              <w:right w:val="single" w:sz="6" w:space="0" w:color="000000"/>
            </w:tcBorders>
          </w:tcPr>
          <w:p>
            <w:pPr>
              <w:pStyle w:val="TableParagraph"/>
              <w:spacing w:line="276" w:lineRule="exact"/>
              <w:ind w:left="166" w:right="144"/>
              <w:rPr>
                <w:sz w:val="24"/>
              </w:rPr>
            </w:pPr>
            <w:r>
              <w:rPr>
                <w:sz w:val="24"/>
              </w:rPr>
              <w:t>17</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62" w:right="336"/>
              <w:rPr>
                <w:sz w:val="24"/>
              </w:rPr>
            </w:pPr>
            <w:r>
              <w:rPr>
                <w:sz w:val="24"/>
              </w:rPr>
              <w:t>1.32</w:t>
            </w:r>
          </w:p>
        </w:tc>
        <w:tc>
          <w:tcPr>
            <w:tcW w:w="1234" w:type="dxa"/>
            <w:tcBorders>
              <w:top w:val="single" w:sz="6" w:space="0" w:color="000000"/>
              <w:left w:val="single" w:sz="6" w:space="0" w:color="000000"/>
              <w:bottom w:val="single" w:sz="6" w:space="0" w:color="000000"/>
            </w:tcBorders>
          </w:tcPr>
          <w:p>
            <w:pPr>
              <w:pStyle w:val="TableParagraph"/>
              <w:spacing w:line="276" w:lineRule="exact"/>
              <w:ind w:left="384"/>
              <w:jc w:val="left"/>
              <w:rPr>
                <w:sz w:val="24"/>
              </w:rPr>
            </w:pPr>
            <w:r>
              <w:rPr>
                <w:sz w:val="24"/>
              </w:rPr>
              <w:t>1.20</w:t>
            </w:r>
          </w:p>
        </w:tc>
        <w:tc>
          <w:tcPr>
            <w:tcW w:w="996" w:type="dxa"/>
            <w:tcBorders>
              <w:top w:val="single" w:sz="6" w:space="0" w:color="000000"/>
              <w:bottom w:val="single" w:sz="6" w:space="0" w:color="000000"/>
              <w:right w:val="single" w:sz="6" w:space="0" w:color="000000"/>
            </w:tcBorders>
          </w:tcPr>
          <w:p>
            <w:pPr>
              <w:pStyle w:val="TableParagraph"/>
              <w:spacing w:line="276" w:lineRule="exact"/>
              <w:ind w:left="237" w:right="213"/>
              <w:rPr>
                <w:sz w:val="24"/>
              </w:rPr>
            </w:pPr>
            <w:r>
              <w:rPr>
                <w:sz w:val="24"/>
              </w:rPr>
              <w:t>51</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73"/>
              <w:jc w:val="right"/>
              <w:rPr>
                <w:sz w:val="24"/>
              </w:rPr>
            </w:pPr>
            <w:r>
              <w:rPr>
                <w:sz w:val="24"/>
              </w:rPr>
              <w:t>8.55</w:t>
            </w:r>
          </w:p>
        </w:tc>
        <w:tc>
          <w:tcPr>
            <w:tcW w:w="1078" w:type="dxa"/>
            <w:tcBorders>
              <w:top w:val="single" w:sz="6" w:space="0" w:color="000000"/>
              <w:left w:val="single" w:sz="6" w:space="0" w:color="000000"/>
              <w:bottom w:val="single" w:sz="6" w:space="0" w:color="000000"/>
            </w:tcBorders>
          </w:tcPr>
          <w:p>
            <w:pPr>
              <w:pStyle w:val="TableParagraph"/>
              <w:spacing w:line="276" w:lineRule="exact"/>
              <w:ind w:left="229" w:right="186"/>
              <w:rPr>
                <w:sz w:val="24"/>
              </w:rPr>
            </w:pPr>
            <w:r>
              <w:rPr>
                <w:sz w:val="24"/>
              </w:rPr>
              <w:t>7.85</w:t>
            </w:r>
          </w:p>
        </w:tc>
        <w:tc>
          <w:tcPr>
            <w:tcW w:w="1408" w:type="dxa"/>
            <w:tcBorders>
              <w:top w:val="single" w:sz="6" w:space="0" w:color="000000"/>
              <w:bottom w:val="single" w:sz="6" w:space="0" w:color="000000"/>
              <w:right w:val="single" w:sz="6" w:space="0" w:color="000000"/>
            </w:tcBorders>
          </w:tcPr>
          <w:p>
            <w:pPr>
              <w:pStyle w:val="TableParagraph"/>
              <w:spacing w:line="276" w:lineRule="exact"/>
              <w:ind w:left="87" w:right="57"/>
              <w:rPr>
                <w:sz w:val="24"/>
              </w:rPr>
            </w:pPr>
            <w:r>
              <w:rPr>
                <w:sz w:val="24"/>
              </w:rPr>
              <w:t>85</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55"/>
              <w:jc w:val="right"/>
              <w:rPr>
                <w:sz w:val="24"/>
              </w:rPr>
            </w:pPr>
            <w:r>
              <w:rPr>
                <w:sz w:val="24"/>
              </w:rPr>
              <w:t>50.21</w:t>
            </w:r>
          </w:p>
        </w:tc>
        <w:tc>
          <w:tcPr>
            <w:tcW w:w="1138" w:type="dxa"/>
            <w:tcBorders>
              <w:top w:val="single" w:sz="6" w:space="0" w:color="000000"/>
              <w:left w:val="single" w:sz="6" w:space="0" w:color="000000"/>
              <w:bottom w:val="single" w:sz="6" w:space="0" w:color="000000"/>
            </w:tcBorders>
          </w:tcPr>
          <w:p>
            <w:pPr>
              <w:pStyle w:val="TableParagraph"/>
              <w:spacing w:line="276" w:lineRule="exact"/>
              <w:ind w:left="283"/>
              <w:jc w:val="left"/>
              <w:rPr>
                <w:sz w:val="24"/>
              </w:rPr>
            </w:pPr>
            <w:r>
              <w:rPr>
                <w:sz w:val="24"/>
              </w:rPr>
              <w:t>35.61</w:t>
            </w:r>
          </w:p>
        </w:tc>
      </w:tr>
      <w:tr>
        <w:trPr>
          <w:trHeight w:val="311" w:hRule="atLeast"/>
        </w:trPr>
        <w:tc>
          <w:tcPr>
            <w:tcW w:w="856" w:type="dxa"/>
            <w:tcBorders>
              <w:top w:val="single" w:sz="6" w:space="0" w:color="000000"/>
              <w:bottom w:val="single" w:sz="6" w:space="0" w:color="000000"/>
              <w:right w:val="single" w:sz="6" w:space="0" w:color="000000"/>
            </w:tcBorders>
          </w:tcPr>
          <w:p>
            <w:pPr>
              <w:pStyle w:val="TableParagraph"/>
              <w:ind w:left="166" w:right="144"/>
              <w:rPr>
                <w:sz w:val="24"/>
              </w:rPr>
            </w:pPr>
            <w:r>
              <w:rPr>
                <w:sz w:val="24"/>
              </w:rPr>
              <w:t>18</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ind w:left="362" w:right="336"/>
              <w:rPr>
                <w:sz w:val="24"/>
              </w:rPr>
            </w:pPr>
            <w:r>
              <w:rPr>
                <w:sz w:val="24"/>
              </w:rPr>
              <w:t>0.85</w:t>
            </w:r>
          </w:p>
        </w:tc>
        <w:tc>
          <w:tcPr>
            <w:tcW w:w="1234" w:type="dxa"/>
            <w:tcBorders>
              <w:top w:val="single" w:sz="6" w:space="0" w:color="000000"/>
              <w:left w:val="single" w:sz="6" w:space="0" w:color="000000"/>
              <w:bottom w:val="single" w:sz="6" w:space="0" w:color="000000"/>
            </w:tcBorders>
          </w:tcPr>
          <w:p>
            <w:pPr>
              <w:pStyle w:val="TableParagraph"/>
              <w:ind w:left="384"/>
              <w:jc w:val="left"/>
              <w:rPr>
                <w:sz w:val="24"/>
              </w:rPr>
            </w:pPr>
            <w:r>
              <w:rPr>
                <w:sz w:val="24"/>
              </w:rPr>
              <w:t>0.88</w:t>
            </w:r>
          </w:p>
        </w:tc>
        <w:tc>
          <w:tcPr>
            <w:tcW w:w="996" w:type="dxa"/>
            <w:tcBorders>
              <w:top w:val="single" w:sz="6" w:space="0" w:color="000000"/>
              <w:bottom w:val="single" w:sz="6" w:space="0" w:color="000000"/>
              <w:right w:val="single" w:sz="6" w:space="0" w:color="000000"/>
            </w:tcBorders>
          </w:tcPr>
          <w:p>
            <w:pPr>
              <w:pStyle w:val="TableParagraph"/>
              <w:ind w:left="237" w:right="213"/>
              <w:rPr>
                <w:sz w:val="24"/>
              </w:rPr>
            </w:pPr>
            <w:r>
              <w:rPr>
                <w:sz w:val="24"/>
              </w:rPr>
              <w:t>52</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ind w:right="273"/>
              <w:jc w:val="right"/>
              <w:rPr>
                <w:sz w:val="24"/>
              </w:rPr>
            </w:pPr>
            <w:r>
              <w:rPr>
                <w:sz w:val="24"/>
              </w:rPr>
              <w:t>9.45</w:t>
            </w:r>
          </w:p>
        </w:tc>
        <w:tc>
          <w:tcPr>
            <w:tcW w:w="1078" w:type="dxa"/>
            <w:tcBorders>
              <w:top w:val="single" w:sz="6" w:space="0" w:color="000000"/>
              <w:left w:val="single" w:sz="6" w:space="0" w:color="000000"/>
              <w:bottom w:val="single" w:sz="6" w:space="0" w:color="000000"/>
            </w:tcBorders>
          </w:tcPr>
          <w:p>
            <w:pPr>
              <w:pStyle w:val="TableParagraph"/>
              <w:ind w:left="229" w:right="186"/>
              <w:rPr>
                <w:sz w:val="24"/>
              </w:rPr>
            </w:pPr>
            <w:r>
              <w:rPr>
                <w:sz w:val="24"/>
              </w:rPr>
              <w:t>8.44</w:t>
            </w:r>
          </w:p>
        </w:tc>
        <w:tc>
          <w:tcPr>
            <w:tcW w:w="1408" w:type="dxa"/>
            <w:tcBorders>
              <w:top w:val="single" w:sz="6" w:space="0" w:color="000000"/>
              <w:bottom w:val="single" w:sz="6" w:space="0" w:color="000000"/>
              <w:right w:val="single" w:sz="6" w:space="0" w:color="000000"/>
            </w:tcBorders>
          </w:tcPr>
          <w:p>
            <w:pPr>
              <w:pStyle w:val="TableParagraph"/>
              <w:ind w:left="87" w:right="57"/>
              <w:rPr>
                <w:sz w:val="24"/>
              </w:rPr>
            </w:pPr>
            <w:r>
              <w:rPr>
                <w:sz w:val="24"/>
              </w:rPr>
              <w:t>86</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ind w:right="155"/>
              <w:jc w:val="right"/>
              <w:rPr>
                <w:sz w:val="24"/>
              </w:rPr>
            </w:pPr>
            <w:r>
              <w:rPr>
                <w:sz w:val="24"/>
              </w:rPr>
              <w:t>51.35</w:t>
            </w:r>
          </w:p>
        </w:tc>
        <w:tc>
          <w:tcPr>
            <w:tcW w:w="1138" w:type="dxa"/>
            <w:tcBorders>
              <w:top w:val="single" w:sz="6" w:space="0" w:color="000000"/>
              <w:left w:val="single" w:sz="6" w:space="0" w:color="000000"/>
              <w:bottom w:val="single" w:sz="6" w:space="0" w:color="000000"/>
            </w:tcBorders>
          </w:tcPr>
          <w:p>
            <w:pPr>
              <w:pStyle w:val="TableParagraph"/>
              <w:ind w:left="283"/>
              <w:jc w:val="left"/>
              <w:rPr>
                <w:sz w:val="24"/>
              </w:rPr>
            </w:pPr>
            <w:r>
              <w:rPr>
                <w:sz w:val="24"/>
              </w:rPr>
              <w:t>37.28</w:t>
            </w:r>
          </w:p>
        </w:tc>
      </w:tr>
      <w:tr>
        <w:trPr>
          <w:trHeight w:val="312" w:hRule="atLeast"/>
        </w:trPr>
        <w:tc>
          <w:tcPr>
            <w:tcW w:w="856" w:type="dxa"/>
            <w:tcBorders>
              <w:top w:val="single" w:sz="6" w:space="0" w:color="000000"/>
              <w:bottom w:val="single" w:sz="6" w:space="0" w:color="000000"/>
              <w:right w:val="single" w:sz="6" w:space="0" w:color="000000"/>
            </w:tcBorders>
          </w:tcPr>
          <w:p>
            <w:pPr>
              <w:pStyle w:val="TableParagraph"/>
              <w:spacing w:line="276" w:lineRule="exact"/>
              <w:ind w:left="166" w:right="144"/>
              <w:rPr>
                <w:sz w:val="24"/>
              </w:rPr>
            </w:pPr>
            <w:r>
              <w:rPr>
                <w:sz w:val="24"/>
              </w:rPr>
              <w:t>19</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62" w:right="336"/>
              <w:rPr>
                <w:sz w:val="24"/>
              </w:rPr>
            </w:pPr>
            <w:r>
              <w:rPr>
                <w:sz w:val="24"/>
              </w:rPr>
              <w:t>0.88</w:t>
            </w:r>
          </w:p>
        </w:tc>
        <w:tc>
          <w:tcPr>
            <w:tcW w:w="1234" w:type="dxa"/>
            <w:tcBorders>
              <w:top w:val="single" w:sz="6" w:space="0" w:color="000000"/>
              <w:left w:val="single" w:sz="6" w:space="0" w:color="000000"/>
              <w:bottom w:val="single" w:sz="6" w:space="0" w:color="000000"/>
            </w:tcBorders>
          </w:tcPr>
          <w:p>
            <w:pPr>
              <w:pStyle w:val="TableParagraph"/>
              <w:spacing w:line="276" w:lineRule="exact"/>
              <w:ind w:left="384"/>
              <w:jc w:val="left"/>
              <w:rPr>
                <w:sz w:val="24"/>
              </w:rPr>
            </w:pPr>
            <w:r>
              <w:rPr>
                <w:sz w:val="24"/>
              </w:rPr>
              <w:t>0.91</w:t>
            </w:r>
          </w:p>
        </w:tc>
        <w:tc>
          <w:tcPr>
            <w:tcW w:w="996" w:type="dxa"/>
            <w:tcBorders>
              <w:top w:val="single" w:sz="6" w:space="0" w:color="000000"/>
              <w:bottom w:val="single" w:sz="6" w:space="0" w:color="000000"/>
              <w:right w:val="single" w:sz="6" w:space="0" w:color="000000"/>
            </w:tcBorders>
          </w:tcPr>
          <w:p>
            <w:pPr>
              <w:pStyle w:val="TableParagraph"/>
              <w:spacing w:line="276" w:lineRule="exact"/>
              <w:ind w:left="237" w:right="213"/>
              <w:rPr>
                <w:sz w:val="24"/>
              </w:rPr>
            </w:pPr>
            <w:r>
              <w:rPr>
                <w:sz w:val="24"/>
              </w:rPr>
              <w:t>53</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13"/>
              <w:jc w:val="right"/>
              <w:rPr>
                <w:sz w:val="24"/>
              </w:rPr>
            </w:pPr>
            <w:r>
              <w:rPr>
                <w:sz w:val="24"/>
              </w:rPr>
              <w:t>10.32</w:t>
            </w:r>
          </w:p>
        </w:tc>
        <w:tc>
          <w:tcPr>
            <w:tcW w:w="1078" w:type="dxa"/>
            <w:tcBorders>
              <w:top w:val="single" w:sz="6" w:space="0" w:color="000000"/>
              <w:left w:val="single" w:sz="6" w:space="0" w:color="000000"/>
              <w:bottom w:val="single" w:sz="6" w:space="0" w:color="000000"/>
            </w:tcBorders>
          </w:tcPr>
          <w:p>
            <w:pPr>
              <w:pStyle w:val="TableParagraph"/>
              <w:spacing w:line="276" w:lineRule="exact"/>
              <w:ind w:left="229" w:right="186"/>
              <w:rPr>
                <w:sz w:val="24"/>
              </w:rPr>
            </w:pPr>
            <w:r>
              <w:rPr>
                <w:sz w:val="24"/>
              </w:rPr>
              <w:t>8.97</w:t>
            </w:r>
          </w:p>
        </w:tc>
        <w:tc>
          <w:tcPr>
            <w:tcW w:w="1408" w:type="dxa"/>
            <w:tcBorders>
              <w:top w:val="single" w:sz="6" w:space="0" w:color="000000"/>
              <w:bottom w:val="single" w:sz="6" w:space="0" w:color="000000"/>
              <w:right w:val="single" w:sz="6" w:space="0" w:color="000000"/>
            </w:tcBorders>
          </w:tcPr>
          <w:p>
            <w:pPr>
              <w:pStyle w:val="TableParagraph"/>
              <w:spacing w:line="276" w:lineRule="exact"/>
              <w:ind w:left="87" w:right="57"/>
              <w:rPr>
                <w:sz w:val="24"/>
              </w:rPr>
            </w:pPr>
            <w:r>
              <w:rPr>
                <w:sz w:val="24"/>
              </w:rPr>
              <w:t>87</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55"/>
              <w:jc w:val="right"/>
              <w:rPr>
                <w:sz w:val="24"/>
              </w:rPr>
            </w:pPr>
            <w:r>
              <w:rPr>
                <w:sz w:val="24"/>
              </w:rPr>
              <w:t>52.42</w:t>
            </w:r>
          </w:p>
        </w:tc>
        <w:tc>
          <w:tcPr>
            <w:tcW w:w="1138" w:type="dxa"/>
            <w:tcBorders>
              <w:top w:val="single" w:sz="6" w:space="0" w:color="000000"/>
              <w:left w:val="single" w:sz="6" w:space="0" w:color="000000"/>
              <w:bottom w:val="single" w:sz="6" w:space="0" w:color="000000"/>
            </w:tcBorders>
          </w:tcPr>
          <w:p>
            <w:pPr>
              <w:pStyle w:val="TableParagraph"/>
              <w:spacing w:line="276" w:lineRule="exact"/>
              <w:ind w:left="283"/>
              <w:jc w:val="left"/>
              <w:rPr>
                <w:sz w:val="24"/>
              </w:rPr>
            </w:pPr>
            <w:r>
              <w:rPr>
                <w:sz w:val="24"/>
              </w:rPr>
              <w:t>38.94</w:t>
            </w:r>
          </w:p>
        </w:tc>
      </w:tr>
      <w:tr>
        <w:trPr>
          <w:trHeight w:val="311" w:hRule="atLeast"/>
        </w:trPr>
        <w:tc>
          <w:tcPr>
            <w:tcW w:w="856" w:type="dxa"/>
            <w:tcBorders>
              <w:top w:val="single" w:sz="6" w:space="0" w:color="000000"/>
              <w:bottom w:val="single" w:sz="6" w:space="0" w:color="000000"/>
              <w:right w:val="single" w:sz="6" w:space="0" w:color="000000"/>
            </w:tcBorders>
          </w:tcPr>
          <w:p>
            <w:pPr>
              <w:pStyle w:val="TableParagraph"/>
              <w:ind w:left="166" w:right="144"/>
              <w:rPr>
                <w:sz w:val="24"/>
              </w:rPr>
            </w:pPr>
            <w:r>
              <w:rPr>
                <w:sz w:val="24"/>
              </w:rPr>
              <w:t>20</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ind w:left="362" w:right="336"/>
              <w:rPr>
                <w:sz w:val="24"/>
              </w:rPr>
            </w:pPr>
            <w:r>
              <w:rPr>
                <w:sz w:val="24"/>
              </w:rPr>
              <w:t>0.94</w:t>
            </w:r>
          </w:p>
        </w:tc>
        <w:tc>
          <w:tcPr>
            <w:tcW w:w="1234" w:type="dxa"/>
            <w:tcBorders>
              <w:top w:val="single" w:sz="6" w:space="0" w:color="000000"/>
              <w:left w:val="single" w:sz="6" w:space="0" w:color="000000"/>
              <w:bottom w:val="single" w:sz="6" w:space="0" w:color="000000"/>
            </w:tcBorders>
          </w:tcPr>
          <w:p>
            <w:pPr>
              <w:pStyle w:val="TableParagraph"/>
              <w:ind w:left="384"/>
              <w:jc w:val="left"/>
              <w:rPr>
                <w:sz w:val="24"/>
              </w:rPr>
            </w:pPr>
            <w:r>
              <w:rPr>
                <w:sz w:val="24"/>
              </w:rPr>
              <w:t>0.94</w:t>
            </w:r>
          </w:p>
        </w:tc>
        <w:tc>
          <w:tcPr>
            <w:tcW w:w="996" w:type="dxa"/>
            <w:tcBorders>
              <w:top w:val="single" w:sz="6" w:space="0" w:color="000000"/>
              <w:bottom w:val="single" w:sz="6" w:space="0" w:color="000000"/>
              <w:right w:val="single" w:sz="6" w:space="0" w:color="000000"/>
            </w:tcBorders>
          </w:tcPr>
          <w:p>
            <w:pPr>
              <w:pStyle w:val="TableParagraph"/>
              <w:ind w:left="237" w:right="213"/>
              <w:rPr>
                <w:sz w:val="24"/>
              </w:rPr>
            </w:pPr>
            <w:r>
              <w:rPr>
                <w:sz w:val="24"/>
              </w:rPr>
              <w:t>54</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ind w:right="213"/>
              <w:jc w:val="right"/>
              <w:rPr>
                <w:sz w:val="24"/>
              </w:rPr>
            </w:pPr>
            <w:r>
              <w:rPr>
                <w:sz w:val="24"/>
              </w:rPr>
              <w:t>11.43</w:t>
            </w:r>
          </w:p>
        </w:tc>
        <w:tc>
          <w:tcPr>
            <w:tcW w:w="1078" w:type="dxa"/>
            <w:tcBorders>
              <w:top w:val="single" w:sz="6" w:space="0" w:color="000000"/>
              <w:left w:val="single" w:sz="6" w:space="0" w:color="000000"/>
              <w:bottom w:val="single" w:sz="6" w:space="0" w:color="000000"/>
            </w:tcBorders>
          </w:tcPr>
          <w:p>
            <w:pPr>
              <w:pStyle w:val="TableParagraph"/>
              <w:ind w:left="229" w:right="186"/>
              <w:rPr>
                <w:sz w:val="24"/>
              </w:rPr>
            </w:pPr>
            <w:r>
              <w:rPr>
                <w:sz w:val="24"/>
              </w:rPr>
              <w:t>9.66</w:t>
            </w:r>
          </w:p>
        </w:tc>
        <w:tc>
          <w:tcPr>
            <w:tcW w:w="1408" w:type="dxa"/>
            <w:tcBorders>
              <w:top w:val="single" w:sz="6" w:space="0" w:color="000000"/>
              <w:bottom w:val="single" w:sz="6" w:space="0" w:color="000000"/>
              <w:right w:val="single" w:sz="6" w:space="0" w:color="000000"/>
            </w:tcBorders>
          </w:tcPr>
          <w:p>
            <w:pPr>
              <w:pStyle w:val="TableParagraph"/>
              <w:ind w:left="87" w:right="57"/>
              <w:rPr>
                <w:sz w:val="24"/>
              </w:rPr>
            </w:pPr>
            <w:r>
              <w:rPr>
                <w:sz w:val="24"/>
              </w:rPr>
              <w:t>88</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ind w:right="155"/>
              <w:jc w:val="right"/>
              <w:rPr>
                <w:sz w:val="24"/>
              </w:rPr>
            </w:pPr>
            <w:r>
              <w:rPr>
                <w:sz w:val="24"/>
              </w:rPr>
              <w:t>53.98</w:t>
            </w:r>
          </w:p>
        </w:tc>
        <w:tc>
          <w:tcPr>
            <w:tcW w:w="1138" w:type="dxa"/>
            <w:tcBorders>
              <w:top w:val="single" w:sz="6" w:space="0" w:color="000000"/>
              <w:left w:val="single" w:sz="6" w:space="0" w:color="000000"/>
              <w:bottom w:val="single" w:sz="6" w:space="0" w:color="000000"/>
            </w:tcBorders>
          </w:tcPr>
          <w:p>
            <w:pPr>
              <w:pStyle w:val="TableParagraph"/>
              <w:ind w:left="283"/>
              <w:jc w:val="left"/>
              <w:rPr>
                <w:sz w:val="24"/>
              </w:rPr>
            </w:pPr>
            <w:r>
              <w:rPr>
                <w:sz w:val="24"/>
              </w:rPr>
              <w:t>40.52</w:t>
            </w:r>
          </w:p>
        </w:tc>
      </w:tr>
      <w:tr>
        <w:trPr>
          <w:trHeight w:val="312" w:hRule="atLeast"/>
        </w:trPr>
        <w:tc>
          <w:tcPr>
            <w:tcW w:w="856" w:type="dxa"/>
            <w:tcBorders>
              <w:top w:val="single" w:sz="6" w:space="0" w:color="000000"/>
              <w:bottom w:val="single" w:sz="6" w:space="0" w:color="000000"/>
              <w:right w:val="single" w:sz="6" w:space="0" w:color="000000"/>
            </w:tcBorders>
          </w:tcPr>
          <w:p>
            <w:pPr>
              <w:pStyle w:val="TableParagraph"/>
              <w:spacing w:line="276" w:lineRule="exact"/>
              <w:ind w:left="166" w:right="144"/>
              <w:rPr>
                <w:sz w:val="24"/>
              </w:rPr>
            </w:pPr>
            <w:r>
              <w:rPr>
                <w:sz w:val="24"/>
              </w:rPr>
              <w:t>21</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62" w:right="336"/>
              <w:rPr>
                <w:sz w:val="24"/>
              </w:rPr>
            </w:pPr>
            <w:r>
              <w:rPr>
                <w:sz w:val="24"/>
              </w:rPr>
              <w:t>0.96</w:t>
            </w:r>
          </w:p>
        </w:tc>
        <w:tc>
          <w:tcPr>
            <w:tcW w:w="1234" w:type="dxa"/>
            <w:tcBorders>
              <w:top w:val="single" w:sz="6" w:space="0" w:color="000000"/>
              <w:left w:val="single" w:sz="6" w:space="0" w:color="000000"/>
              <w:bottom w:val="single" w:sz="6" w:space="0" w:color="000000"/>
            </w:tcBorders>
          </w:tcPr>
          <w:p>
            <w:pPr>
              <w:pStyle w:val="TableParagraph"/>
              <w:spacing w:line="276" w:lineRule="exact"/>
              <w:ind w:left="384"/>
              <w:jc w:val="left"/>
              <w:rPr>
                <w:sz w:val="24"/>
              </w:rPr>
            </w:pPr>
            <w:r>
              <w:rPr>
                <w:sz w:val="24"/>
              </w:rPr>
              <w:t>0.98</w:t>
            </w:r>
          </w:p>
        </w:tc>
        <w:tc>
          <w:tcPr>
            <w:tcW w:w="996" w:type="dxa"/>
            <w:tcBorders>
              <w:top w:val="single" w:sz="6" w:space="0" w:color="000000"/>
              <w:bottom w:val="single" w:sz="6" w:space="0" w:color="000000"/>
              <w:right w:val="single" w:sz="6" w:space="0" w:color="000000"/>
            </w:tcBorders>
          </w:tcPr>
          <w:p>
            <w:pPr>
              <w:pStyle w:val="TableParagraph"/>
              <w:spacing w:line="276" w:lineRule="exact"/>
              <w:ind w:left="237" w:right="213"/>
              <w:rPr>
                <w:sz w:val="24"/>
              </w:rPr>
            </w:pPr>
            <w:r>
              <w:rPr>
                <w:sz w:val="24"/>
              </w:rPr>
              <w:t>55</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13"/>
              <w:jc w:val="right"/>
              <w:rPr>
                <w:sz w:val="24"/>
              </w:rPr>
            </w:pPr>
            <w:r>
              <w:rPr>
                <w:sz w:val="24"/>
              </w:rPr>
              <w:t>12.47</w:t>
            </w:r>
          </w:p>
        </w:tc>
        <w:tc>
          <w:tcPr>
            <w:tcW w:w="1078" w:type="dxa"/>
            <w:tcBorders>
              <w:top w:val="single" w:sz="6" w:space="0" w:color="000000"/>
              <w:left w:val="single" w:sz="6" w:space="0" w:color="000000"/>
              <w:bottom w:val="single" w:sz="6" w:space="0" w:color="000000"/>
            </w:tcBorders>
          </w:tcPr>
          <w:p>
            <w:pPr>
              <w:pStyle w:val="TableParagraph"/>
              <w:spacing w:line="276" w:lineRule="exact"/>
              <w:ind w:left="229" w:right="186"/>
              <w:rPr>
                <w:sz w:val="24"/>
              </w:rPr>
            </w:pPr>
            <w:r>
              <w:rPr>
                <w:sz w:val="24"/>
              </w:rPr>
              <w:t>10.28</w:t>
            </w:r>
          </w:p>
        </w:tc>
        <w:tc>
          <w:tcPr>
            <w:tcW w:w="1408" w:type="dxa"/>
            <w:tcBorders>
              <w:top w:val="single" w:sz="6" w:space="0" w:color="000000"/>
              <w:bottom w:val="single" w:sz="6" w:space="0" w:color="000000"/>
              <w:right w:val="single" w:sz="6" w:space="0" w:color="000000"/>
            </w:tcBorders>
          </w:tcPr>
          <w:p>
            <w:pPr>
              <w:pStyle w:val="TableParagraph"/>
              <w:spacing w:line="276" w:lineRule="exact"/>
              <w:ind w:left="87" w:right="57"/>
              <w:rPr>
                <w:sz w:val="24"/>
              </w:rPr>
            </w:pPr>
            <w:r>
              <w:rPr>
                <w:sz w:val="24"/>
              </w:rPr>
              <w:t>89</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55"/>
              <w:jc w:val="right"/>
              <w:rPr>
                <w:sz w:val="24"/>
              </w:rPr>
            </w:pPr>
            <w:r>
              <w:rPr>
                <w:sz w:val="24"/>
              </w:rPr>
              <w:t>55.56</w:t>
            </w:r>
          </w:p>
        </w:tc>
        <w:tc>
          <w:tcPr>
            <w:tcW w:w="1138" w:type="dxa"/>
            <w:tcBorders>
              <w:top w:val="single" w:sz="6" w:space="0" w:color="000000"/>
              <w:left w:val="single" w:sz="6" w:space="0" w:color="000000"/>
              <w:bottom w:val="single" w:sz="6" w:space="0" w:color="000000"/>
            </w:tcBorders>
          </w:tcPr>
          <w:p>
            <w:pPr>
              <w:pStyle w:val="TableParagraph"/>
              <w:spacing w:line="276" w:lineRule="exact"/>
              <w:ind w:left="283"/>
              <w:jc w:val="left"/>
              <w:rPr>
                <w:sz w:val="24"/>
              </w:rPr>
            </w:pPr>
            <w:r>
              <w:rPr>
                <w:sz w:val="24"/>
              </w:rPr>
              <w:t>42.09</w:t>
            </w:r>
          </w:p>
        </w:tc>
      </w:tr>
      <w:tr>
        <w:trPr>
          <w:trHeight w:val="311" w:hRule="atLeast"/>
        </w:trPr>
        <w:tc>
          <w:tcPr>
            <w:tcW w:w="856" w:type="dxa"/>
            <w:tcBorders>
              <w:top w:val="single" w:sz="6" w:space="0" w:color="000000"/>
              <w:bottom w:val="single" w:sz="6" w:space="0" w:color="000000"/>
              <w:right w:val="single" w:sz="6" w:space="0" w:color="000000"/>
            </w:tcBorders>
          </w:tcPr>
          <w:p>
            <w:pPr>
              <w:pStyle w:val="TableParagraph"/>
              <w:ind w:left="166" w:right="144"/>
              <w:rPr>
                <w:sz w:val="24"/>
              </w:rPr>
            </w:pPr>
            <w:r>
              <w:rPr>
                <w:sz w:val="24"/>
              </w:rPr>
              <w:t>22</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ind w:left="362" w:right="336"/>
              <w:rPr>
                <w:sz w:val="24"/>
              </w:rPr>
            </w:pPr>
            <w:r>
              <w:rPr>
                <w:sz w:val="24"/>
              </w:rPr>
              <w:t>1.00</w:t>
            </w:r>
          </w:p>
        </w:tc>
        <w:tc>
          <w:tcPr>
            <w:tcW w:w="1234" w:type="dxa"/>
            <w:tcBorders>
              <w:top w:val="single" w:sz="6" w:space="0" w:color="000000"/>
              <w:left w:val="single" w:sz="6" w:space="0" w:color="000000"/>
              <w:bottom w:val="single" w:sz="6" w:space="0" w:color="000000"/>
            </w:tcBorders>
          </w:tcPr>
          <w:p>
            <w:pPr>
              <w:pStyle w:val="TableParagraph"/>
              <w:ind w:left="384"/>
              <w:jc w:val="left"/>
              <w:rPr>
                <w:sz w:val="24"/>
              </w:rPr>
            </w:pPr>
            <w:r>
              <w:rPr>
                <w:sz w:val="24"/>
              </w:rPr>
              <w:t>0.99</w:t>
            </w:r>
          </w:p>
        </w:tc>
        <w:tc>
          <w:tcPr>
            <w:tcW w:w="996" w:type="dxa"/>
            <w:tcBorders>
              <w:top w:val="single" w:sz="6" w:space="0" w:color="000000"/>
              <w:bottom w:val="single" w:sz="6" w:space="0" w:color="000000"/>
              <w:right w:val="single" w:sz="6" w:space="0" w:color="000000"/>
            </w:tcBorders>
          </w:tcPr>
          <w:p>
            <w:pPr>
              <w:pStyle w:val="TableParagraph"/>
              <w:ind w:left="237" w:right="213"/>
              <w:rPr>
                <w:sz w:val="24"/>
              </w:rPr>
            </w:pPr>
            <w:r>
              <w:rPr>
                <w:sz w:val="24"/>
              </w:rPr>
              <w:t>56</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ind w:right="213"/>
              <w:jc w:val="right"/>
              <w:rPr>
                <w:sz w:val="24"/>
              </w:rPr>
            </w:pPr>
            <w:r>
              <w:rPr>
                <w:sz w:val="24"/>
              </w:rPr>
              <w:t>13.72</w:t>
            </w:r>
          </w:p>
        </w:tc>
        <w:tc>
          <w:tcPr>
            <w:tcW w:w="1078" w:type="dxa"/>
            <w:tcBorders>
              <w:top w:val="single" w:sz="6" w:space="0" w:color="000000"/>
              <w:left w:val="single" w:sz="6" w:space="0" w:color="000000"/>
              <w:bottom w:val="single" w:sz="6" w:space="0" w:color="000000"/>
            </w:tcBorders>
          </w:tcPr>
          <w:p>
            <w:pPr>
              <w:pStyle w:val="TableParagraph"/>
              <w:ind w:left="229" w:right="186"/>
              <w:rPr>
                <w:sz w:val="24"/>
              </w:rPr>
            </w:pPr>
            <w:r>
              <w:rPr>
                <w:sz w:val="24"/>
              </w:rPr>
              <w:t>11.02</w:t>
            </w:r>
          </w:p>
        </w:tc>
        <w:tc>
          <w:tcPr>
            <w:tcW w:w="1408" w:type="dxa"/>
            <w:tcBorders>
              <w:top w:val="single" w:sz="6" w:space="0" w:color="000000"/>
              <w:bottom w:val="single" w:sz="6" w:space="0" w:color="000000"/>
              <w:right w:val="single" w:sz="6" w:space="0" w:color="000000"/>
            </w:tcBorders>
          </w:tcPr>
          <w:p>
            <w:pPr>
              <w:pStyle w:val="TableParagraph"/>
              <w:ind w:left="87" w:right="57"/>
              <w:rPr>
                <w:sz w:val="24"/>
              </w:rPr>
            </w:pPr>
            <w:r>
              <w:rPr>
                <w:sz w:val="24"/>
              </w:rPr>
              <w:t>90</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ind w:right="155"/>
              <w:jc w:val="right"/>
              <w:rPr>
                <w:sz w:val="24"/>
              </w:rPr>
            </w:pPr>
            <w:r>
              <w:rPr>
                <w:sz w:val="24"/>
              </w:rPr>
              <w:t>57.14</w:t>
            </w:r>
          </w:p>
        </w:tc>
        <w:tc>
          <w:tcPr>
            <w:tcW w:w="1138" w:type="dxa"/>
            <w:tcBorders>
              <w:top w:val="single" w:sz="6" w:space="0" w:color="000000"/>
              <w:left w:val="single" w:sz="6" w:space="0" w:color="000000"/>
              <w:bottom w:val="single" w:sz="6" w:space="0" w:color="000000"/>
            </w:tcBorders>
          </w:tcPr>
          <w:p>
            <w:pPr>
              <w:pStyle w:val="TableParagraph"/>
              <w:ind w:left="283"/>
              <w:jc w:val="left"/>
              <w:rPr>
                <w:sz w:val="24"/>
              </w:rPr>
            </w:pPr>
            <w:r>
              <w:rPr>
                <w:sz w:val="24"/>
              </w:rPr>
              <w:t>43.68</w:t>
            </w:r>
          </w:p>
        </w:tc>
      </w:tr>
      <w:tr>
        <w:trPr>
          <w:trHeight w:val="312" w:hRule="atLeast"/>
        </w:trPr>
        <w:tc>
          <w:tcPr>
            <w:tcW w:w="856" w:type="dxa"/>
            <w:tcBorders>
              <w:top w:val="single" w:sz="6" w:space="0" w:color="000000"/>
              <w:bottom w:val="single" w:sz="6" w:space="0" w:color="000000"/>
              <w:right w:val="single" w:sz="6" w:space="0" w:color="000000"/>
            </w:tcBorders>
          </w:tcPr>
          <w:p>
            <w:pPr>
              <w:pStyle w:val="TableParagraph"/>
              <w:spacing w:line="276" w:lineRule="exact"/>
              <w:ind w:left="166" w:right="144"/>
              <w:rPr>
                <w:sz w:val="24"/>
              </w:rPr>
            </w:pPr>
            <w:r>
              <w:rPr>
                <w:sz w:val="24"/>
              </w:rPr>
              <w:t>23</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62" w:right="336"/>
              <w:rPr>
                <w:sz w:val="24"/>
              </w:rPr>
            </w:pPr>
            <w:r>
              <w:rPr>
                <w:sz w:val="24"/>
              </w:rPr>
              <w:t>1.04</w:t>
            </w:r>
          </w:p>
        </w:tc>
        <w:tc>
          <w:tcPr>
            <w:tcW w:w="1234" w:type="dxa"/>
            <w:tcBorders>
              <w:top w:val="single" w:sz="6" w:space="0" w:color="000000"/>
              <w:left w:val="single" w:sz="6" w:space="0" w:color="000000"/>
              <w:bottom w:val="single" w:sz="6" w:space="0" w:color="000000"/>
            </w:tcBorders>
          </w:tcPr>
          <w:p>
            <w:pPr>
              <w:pStyle w:val="TableParagraph"/>
              <w:spacing w:line="276" w:lineRule="exact"/>
              <w:ind w:left="384"/>
              <w:jc w:val="left"/>
              <w:rPr>
                <w:sz w:val="24"/>
              </w:rPr>
            </w:pPr>
            <w:r>
              <w:rPr>
                <w:sz w:val="24"/>
              </w:rPr>
              <w:t>1.01</w:t>
            </w:r>
          </w:p>
        </w:tc>
        <w:tc>
          <w:tcPr>
            <w:tcW w:w="996" w:type="dxa"/>
            <w:tcBorders>
              <w:top w:val="single" w:sz="6" w:space="0" w:color="000000"/>
              <w:bottom w:val="single" w:sz="6" w:space="0" w:color="000000"/>
              <w:right w:val="single" w:sz="6" w:space="0" w:color="000000"/>
            </w:tcBorders>
          </w:tcPr>
          <w:p>
            <w:pPr>
              <w:pStyle w:val="TableParagraph"/>
              <w:spacing w:line="276" w:lineRule="exact"/>
              <w:ind w:left="237" w:right="213"/>
              <w:rPr>
                <w:sz w:val="24"/>
              </w:rPr>
            </w:pPr>
            <w:r>
              <w:rPr>
                <w:sz w:val="24"/>
              </w:rPr>
              <w:t>57</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13"/>
              <w:jc w:val="right"/>
              <w:rPr>
                <w:sz w:val="24"/>
              </w:rPr>
            </w:pPr>
            <w:r>
              <w:rPr>
                <w:sz w:val="24"/>
              </w:rPr>
              <w:t>14.85</w:t>
            </w:r>
          </w:p>
        </w:tc>
        <w:tc>
          <w:tcPr>
            <w:tcW w:w="1078" w:type="dxa"/>
            <w:tcBorders>
              <w:top w:val="single" w:sz="6" w:space="0" w:color="000000"/>
              <w:left w:val="single" w:sz="6" w:space="0" w:color="000000"/>
              <w:bottom w:val="single" w:sz="6" w:space="0" w:color="000000"/>
            </w:tcBorders>
          </w:tcPr>
          <w:p>
            <w:pPr>
              <w:pStyle w:val="TableParagraph"/>
              <w:spacing w:line="276" w:lineRule="exact"/>
              <w:ind w:left="229" w:right="186"/>
              <w:rPr>
                <w:sz w:val="24"/>
              </w:rPr>
            </w:pPr>
            <w:r>
              <w:rPr>
                <w:sz w:val="24"/>
              </w:rPr>
              <w:t>11.65</w:t>
            </w:r>
          </w:p>
        </w:tc>
        <w:tc>
          <w:tcPr>
            <w:tcW w:w="1408" w:type="dxa"/>
            <w:tcBorders>
              <w:top w:val="single" w:sz="6" w:space="0" w:color="000000"/>
              <w:bottom w:val="single" w:sz="6" w:space="0" w:color="000000"/>
              <w:right w:val="single" w:sz="6" w:space="0" w:color="000000"/>
            </w:tcBorders>
          </w:tcPr>
          <w:p>
            <w:pPr>
              <w:pStyle w:val="TableParagraph"/>
              <w:spacing w:line="276" w:lineRule="exact"/>
              <w:ind w:left="87" w:right="57"/>
              <w:rPr>
                <w:sz w:val="24"/>
              </w:rPr>
            </w:pPr>
            <w:r>
              <w:rPr>
                <w:sz w:val="24"/>
              </w:rPr>
              <w:t>91</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55"/>
              <w:jc w:val="right"/>
              <w:rPr>
                <w:sz w:val="24"/>
              </w:rPr>
            </w:pPr>
            <w:r>
              <w:rPr>
                <w:sz w:val="24"/>
              </w:rPr>
              <w:t>58.70</w:t>
            </w:r>
          </w:p>
        </w:tc>
        <w:tc>
          <w:tcPr>
            <w:tcW w:w="1138" w:type="dxa"/>
            <w:tcBorders>
              <w:top w:val="single" w:sz="6" w:space="0" w:color="000000"/>
              <w:left w:val="single" w:sz="6" w:space="0" w:color="000000"/>
              <w:bottom w:val="single" w:sz="6" w:space="0" w:color="000000"/>
            </w:tcBorders>
          </w:tcPr>
          <w:p>
            <w:pPr>
              <w:pStyle w:val="TableParagraph"/>
              <w:spacing w:line="276" w:lineRule="exact"/>
              <w:ind w:left="283"/>
              <w:jc w:val="left"/>
              <w:rPr>
                <w:sz w:val="24"/>
              </w:rPr>
            </w:pPr>
            <w:r>
              <w:rPr>
                <w:sz w:val="24"/>
              </w:rPr>
              <w:t>45.27</w:t>
            </w:r>
          </w:p>
        </w:tc>
      </w:tr>
      <w:tr>
        <w:trPr>
          <w:trHeight w:val="311" w:hRule="atLeast"/>
        </w:trPr>
        <w:tc>
          <w:tcPr>
            <w:tcW w:w="856" w:type="dxa"/>
            <w:tcBorders>
              <w:top w:val="single" w:sz="6" w:space="0" w:color="000000"/>
              <w:bottom w:val="single" w:sz="6" w:space="0" w:color="000000"/>
              <w:right w:val="single" w:sz="6" w:space="0" w:color="000000"/>
            </w:tcBorders>
          </w:tcPr>
          <w:p>
            <w:pPr>
              <w:pStyle w:val="TableParagraph"/>
              <w:ind w:left="166" w:right="144"/>
              <w:rPr>
                <w:sz w:val="24"/>
              </w:rPr>
            </w:pPr>
            <w:r>
              <w:rPr>
                <w:sz w:val="24"/>
              </w:rPr>
              <w:t>24</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ind w:left="362" w:right="336"/>
              <w:rPr>
                <w:sz w:val="24"/>
              </w:rPr>
            </w:pPr>
            <w:r>
              <w:rPr>
                <w:sz w:val="24"/>
              </w:rPr>
              <w:t>1.09</w:t>
            </w:r>
          </w:p>
        </w:tc>
        <w:tc>
          <w:tcPr>
            <w:tcW w:w="1234" w:type="dxa"/>
            <w:tcBorders>
              <w:top w:val="single" w:sz="6" w:space="0" w:color="000000"/>
              <w:left w:val="single" w:sz="6" w:space="0" w:color="000000"/>
              <w:bottom w:val="single" w:sz="6" w:space="0" w:color="000000"/>
            </w:tcBorders>
          </w:tcPr>
          <w:p>
            <w:pPr>
              <w:pStyle w:val="TableParagraph"/>
              <w:ind w:left="384"/>
              <w:jc w:val="left"/>
              <w:rPr>
                <w:sz w:val="24"/>
              </w:rPr>
            </w:pPr>
            <w:r>
              <w:rPr>
                <w:sz w:val="24"/>
              </w:rPr>
              <w:t>1.05</w:t>
            </w:r>
          </w:p>
        </w:tc>
        <w:tc>
          <w:tcPr>
            <w:tcW w:w="996" w:type="dxa"/>
            <w:tcBorders>
              <w:top w:val="single" w:sz="6" w:space="0" w:color="000000"/>
              <w:bottom w:val="single" w:sz="6" w:space="0" w:color="000000"/>
              <w:right w:val="single" w:sz="6" w:space="0" w:color="000000"/>
            </w:tcBorders>
          </w:tcPr>
          <w:p>
            <w:pPr>
              <w:pStyle w:val="TableParagraph"/>
              <w:ind w:left="237" w:right="213"/>
              <w:rPr>
                <w:sz w:val="24"/>
              </w:rPr>
            </w:pPr>
            <w:r>
              <w:rPr>
                <w:sz w:val="24"/>
              </w:rPr>
              <w:t>58</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ind w:right="213"/>
              <w:jc w:val="right"/>
              <w:rPr>
                <w:sz w:val="24"/>
              </w:rPr>
            </w:pPr>
            <w:r>
              <w:rPr>
                <w:sz w:val="24"/>
              </w:rPr>
              <w:t>16.21</w:t>
            </w:r>
          </w:p>
        </w:tc>
        <w:tc>
          <w:tcPr>
            <w:tcW w:w="1078" w:type="dxa"/>
            <w:tcBorders>
              <w:top w:val="single" w:sz="6" w:space="0" w:color="000000"/>
              <w:left w:val="single" w:sz="6" w:space="0" w:color="000000"/>
              <w:bottom w:val="single" w:sz="6" w:space="0" w:color="000000"/>
            </w:tcBorders>
          </w:tcPr>
          <w:p>
            <w:pPr>
              <w:pStyle w:val="TableParagraph"/>
              <w:ind w:left="229" w:right="186"/>
              <w:rPr>
                <w:sz w:val="24"/>
              </w:rPr>
            </w:pPr>
            <w:r>
              <w:rPr>
                <w:sz w:val="24"/>
              </w:rPr>
              <w:t>12.49</w:t>
            </w:r>
          </w:p>
        </w:tc>
        <w:tc>
          <w:tcPr>
            <w:tcW w:w="1408" w:type="dxa"/>
            <w:tcBorders>
              <w:top w:val="single" w:sz="6" w:space="0" w:color="000000"/>
              <w:bottom w:val="single" w:sz="6" w:space="0" w:color="000000"/>
              <w:right w:val="single" w:sz="6" w:space="0" w:color="000000"/>
            </w:tcBorders>
          </w:tcPr>
          <w:p>
            <w:pPr>
              <w:pStyle w:val="TableParagraph"/>
              <w:ind w:left="87" w:right="57"/>
              <w:rPr>
                <w:sz w:val="24"/>
              </w:rPr>
            </w:pPr>
            <w:r>
              <w:rPr>
                <w:sz w:val="24"/>
              </w:rPr>
              <w:t>92</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ind w:right="155"/>
              <w:jc w:val="right"/>
              <w:rPr>
                <w:sz w:val="24"/>
              </w:rPr>
            </w:pPr>
            <w:r>
              <w:rPr>
                <w:sz w:val="24"/>
              </w:rPr>
              <w:t>60.28</w:t>
            </w:r>
          </w:p>
        </w:tc>
        <w:tc>
          <w:tcPr>
            <w:tcW w:w="1138" w:type="dxa"/>
            <w:tcBorders>
              <w:top w:val="single" w:sz="6" w:space="0" w:color="000000"/>
              <w:left w:val="single" w:sz="6" w:space="0" w:color="000000"/>
              <w:bottom w:val="single" w:sz="6" w:space="0" w:color="000000"/>
            </w:tcBorders>
          </w:tcPr>
          <w:p>
            <w:pPr>
              <w:pStyle w:val="TableParagraph"/>
              <w:ind w:left="283"/>
              <w:jc w:val="left"/>
              <w:rPr>
                <w:sz w:val="24"/>
              </w:rPr>
            </w:pPr>
            <w:r>
              <w:rPr>
                <w:sz w:val="24"/>
              </w:rPr>
              <w:t>46.84</w:t>
            </w:r>
          </w:p>
        </w:tc>
      </w:tr>
      <w:tr>
        <w:trPr>
          <w:trHeight w:val="312" w:hRule="atLeast"/>
        </w:trPr>
        <w:tc>
          <w:tcPr>
            <w:tcW w:w="856" w:type="dxa"/>
            <w:tcBorders>
              <w:top w:val="single" w:sz="6" w:space="0" w:color="000000"/>
              <w:bottom w:val="single" w:sz="6" w:space="0" w:color="000000"/>
              <w:right w:val="single" w:sz="6" w:space="0" w:color="000000"/>
            </w:tcBorders>
          </w:tcPr>
          <w:p>
            <w:pPr>
              <w:pStyle w:val="TableParagraph"/>
              <w:spacing w:line="276" w:lineRule="exact"/>
              <w:ind w:left="166" w:right="144"/>
              <w:rPr>
                <w:sz w:val="24"/>
              </w:rPr>
            </w:pPr>
            <w:r>
              <w:rPr>
                <w:sz w:val="24"/>
              </w:rPr>
              <w:t>25</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62" w:right="336"/>
              <w:rPr>
                <w:sz w:val="24"/>
              </w:rPr>
            </w:pPr>
            <w:r>
              <w:rPr>
                <w:sz w:val="24"/>
              </w:rPr>
              <w:t>1.14</w:t>
            </w:r>
          </w:p>
        </w:tc>
        <w:tc>
          <w:tcPr>
            <w:tcW w:w="1234" w:type="dxa"/>
            <w:tcBorders>
              <w:top w:val="single" w:sz="6" w:space="0" w:color="000000"/>
              <w:left w:val="single" w:sz="6" w:space="0" w:color="000000"/>
              <w:bottom w:val="single" w:sz="6" w:space="0" w:color="000000"/>
            </w:tcBorders>
          </w:tcPr>
          <w:p>
            <w:pPr>
              <w:pStyle w:val="TableParagraph"/>
              <w:spacing w:line="276" w:lineRule="exact"/>
              <w:ind w:left="384"/>
              <w:jc w:val="left"/>
              <w:rPr>
                <w:sz w:val="24"/>
              </w:rPr>
            </w:pPr>
            <w:r>
              <w:rPr>
                <w:sz w:val="24"/>
              </w:rPr>
              <w:t>1.09</w:t>
            </w:r>
          </w:p>
        </w:tc>
        <w:tc>
          <w:tcPr>
            <w:tcW w:w="996" w:type="dxa"/>
            <w:tcBorders>
              <w:top w:val="single" w:sz="6" w:space="0" w:color="000000"/>
              <w:bottom w:val="single" w:sz="6" w:space="0" w:color="000000"/>
              <w:right w:val="single" w:sz="6" w:space="0" w:color="000000"/>
            </w:tcBorders>
          </w:tcPr>
          <w:p>
            <w:pPr>
              <w:pStyle w:val="TableParagraph"/>
              <w:spacing w:line="276" w:lineRule="exact"/>
              <w:ind w:left="237" w:right="213"/>
              <w:rPr>
                <w:sz w:val="24"/>
              </w:rPr>
            </w:pPr>
            <w:r>
              <w:rPr>
                <w:sz w:val="24"/>
              </w:rPr>
              <w:t>59</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13"/>
              <w:jc w:val="right"/>
              <w:rPr>
                <w:sz w:val="24"/>
              </w:rPr>
            </w:pPr>
            <w:r>
              <w:rPr>
                <w:sz w:val="24"/>
              </w:rPr>
              <w:t>17.97</w:t>
            </w:r>
          </w:p>
        </w:tc>
        <w:tc>
          <w:tcPr>
            <w:tcW w:w="1078" w:type="dxa"/>
            <w:tcBorders>
              <w:top w:val="single" w:sz="6" w:space="0" w:color="000000"/>
              <w:left w:val="single" w:sz="6" w:space="0" w:color="000000"/>
              <w:bottom w:val="single" w:sz="6" w:space="0" w:color="000000"/>
            </w:tcBorders>
          </w:tcPr>
          <w:p>
            <w:pPr>
              <w:pStyle w:val="TableParagraph"/>
              <w:spacing w:line="276" w:lineRule="exact"/>
              <w:ind w:left="229" w:right="186"/>
              <w:rPr>
                <w:sz w:val="24"/>
              </w:rPr>
            </w:pPr>
            <w:r>
              <w:rPr>
                <w:sz w:val="24"/>
              </w:rPr>
              <w:t>13.69</w:t>
            </w:r>
          </w:p>
        </w:tc>
        <w:tc>
          <w:tcPr>
            <w:tcW w:w="1408" w:type="dxa"/>
            <w:tcBorders>
              <w:top w:val="single" w:sz="6" w:space="0" w:color="000000"/>
              <w:bottom w:val="single" w:sz="6" w:space="0" w:color="000000"/>
              <w:right w:val="single" w:sz="6" w:space="0" w:color="000000"/>
            </w:tcBorders>
          </w:tcPr>
          <w:p>
            <w:pPr>
              <w:pStyle w:val="TableParagraph"/>
              <w:spacing w:line="276" w:lineRule="exact"/>
              <w:ind w:left="87" w:right="57"/>
              <w:rPr>
                <w:sz w:val="24"/>
              </w:rPr>
            </w:pPr>
            <w:r>
              <w:rPr>
                <w:sz w:val="24"/>
              </w:rPr>
              <w:t>93</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55"/>
              <w:jc w:val="right"/>
              <w:rPr>
                <w:sz w:val="24"/>
              </w:rPr>
            </w:pPr>
            <w:r>
              <w:rPr>
                <w:sz w:val="24"/>
              </w:rPr>
              <w:t>61.85</w:t>
            </w:r>
          </w:p>
        </w:tc>
        <w:tc>
          <w:tcPr>
            <w:tcW w:w="1138" w:type="dxa"/>
            <w:tcBorders>
              <w:top w:val="single" w:sz="6" w:space="0" w:color="000000"/>
              <w:left w:val="single" w:sz="6" w:space="0" w:color="000000"/>
              <w:bottom w:val="single" w:sz="6" w:space="0" w:color="000000"/>
            </w:tcBorders>
          </w:tcPr>
          <w:p>
            <w:pPr>
              <w:pStyle w:val="TableParagraph"/>
              <w:spacing w:line="276" w:lineRule="exact"/>
              <w:ind w:left="283"/>
              <w:jc w:val="left"/>
              <w:rPr>
                <w:sz w:val="24"/>
              </w:rPr>
            </w:pPr>
            <w:r>
              <w:rPr>
                <w:sz w:val="24"/>
              </w:rPr>
              <w:t>48.43</w:t>
            </w:r>
          </w:p>
        </w:tc>
      </w:tr>
      <w:tr>
        <w:trPr>
          <w:trHeight w:val="311" w:hRule="atLeast"/>
        </w:trPr>
        <w:tc>
          <w:tcPr>
            <w:tcW w:w="856" w:type="dxa"/>
            <w:tcBorders>
              <w:top w:val="single" w:sz="6" w:space="0" w:color="000000"/>
              <w:bottom w:val="single" w:sz="6" w:space="0" w:color="000000"/>
              <w:right w:val="single" w:sz="6" w:space="0" w:color="000000"/>
            </w:tcBorders>
          </w:tcPr>
          <w:p>
            <w:pPr>
              <w:pStyle w:val="TableParagraph"/>
              <w:ind w:left="166" w:right="144"/>
              <w:rPr>
                <w:sz w:val="24"/>
              </w:rPr>
            </w:pPr>
            <w:r>
              <w:rPr>
                <w:sz w:val="24"/>
              </w:rPr>
              <w:t>26</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ind w:left="362" w:right="336"/>
              <w:rPr>
                <w:sz w:val="24"/>
              </w:rPr>
            </w:pPr>
            <w:r>
              <w:rPr>
                <w:sz w:val="24"/>
              </w:rPr>
              <w:t>1.20</w:t>
            </w:r>
          </w:p>
        </w:tc>
        <w:tc>
          <w:tcPr>
            <w:tcW w:w="1234" w:type="dxa"/>
            <w:tcBorders>
              <w:top w:val="single" w:sz="6" w:space="0" w:color="000000"/>
              <w:left w:val="single" w:sz="6" w:space="0" w:color="000000"/>
              <w:bottom w:val="single" w:sz="6" w:space="0" w:color="000000"/>
            </w:tcBorders>
          </w:tcPr>
          <w:p>
            <w:pPr>
              <w:pStyle w:val="TableParagraph"/>
              <w:ind w:left="384"/>
              <w:jc w:val="left"/>
              <w:rPr>
                <w:sz w:val="24"/>
              </w:rPr>
            </w:pPr>
            <w:r>
              <w:rPr>
                <w:sz w:val="24"/>
              </w:rPr>
              <w:t>1.13</w:t>
            </w:r>
          </w:p>
        </w:tc>
        <w:tc>
          <w:tcPr>
            <w:tcW w:w="996" w:type="dxa"/>
            <w:tcBorders>
              <w:top w:val="single" w:sz="6" w:space="0" w:color="000000"/>
              <w:bottom w:val="single" w:sz="6" w:space="0" w:color="000000"/>
              <w:right w:val="single" w:sz="6" w:space="0" w:color="000000"/>
            </w:tcBorders>
          </w:tcPr>
          <w:p>
            <w:pPr>
              <w:pStyle w:val="TableParagraph"/>
              <w:ind w:left="237" w:right="213"/>
              <w:rPr>
                <w:sz w:val="24"/>
              </w:rPr>
            </w:pPr>
            <w:r>
              <w:rPr>
                <w:sz w:val="24"/>
              </w:rPr>
              <w:t>60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ind w:right="213"/>
              <w:jc w:val="right"/>
              <w:rPr>
                <w:sz w:val="24"/>
              </w:rPr>
            </w:pPr>
            <w:r>
              <w:rPr>
                <w:sz w:val="24"/>
              </w:rPr>
              <w:t>19.85</w:t>
            </w:r>
          </w:p>
        </w:tc>
        <w:tc>
          <w:tcPr>
            <w:tcW w:w="1078" w:type="dxa"/>
            <w:tcBorders>
              <w:top w:val="single" w:sz="6" w:space="0" w:color="000000"/>
              <w:left w:val="single" w:sz="6" w:space="0" w:color="000000"/>
              <w:bottom w:val="single" w:sz="6" w:space="0" w:color="000000"/>
            </w:tcBorders>
          </w:tcPr>
          <w:p>
            <w:pPr>
              <w:pStyle w:val="TableParagraph"/>
              <w:ind w:left="229" w:right="186"/>
              <w:rPr>
                <w:sz w:val="24"/>
              </w:rPr>
            </w:pPr>
            <w:r>
              <w:rPr>
                <w:sz w:val="24"/>
              </w:rPr>
              <w:t>15.02</w:t>
            </w:r>
          </w:p>
        </w:tc>
        <w:tc>
          <w:tcPr>
            <w:tcW w:w="1408" w:type="dxa"/>
            <w:tcBorders>
              <w:top w:val="single" w:sz="6" w:space="0" w:color="000000"/>
              <w:bottom w:val="single" w:sz="6" w:space="0" w:color="000000"/>
              <w:right w:val="single" w:sz="6" w:space="0" w:color="000000"/>
            </w:tcBorders>
          </w:tcPr>
          <w:p>
            <w:pPr>
              <w:pStyle w:val="TableParagraph"/>
              <w:ind w:left="87" w:right="57"/>
              <w:rPr>
                <w:sz w:val="24"/>
              </w:rPr>
            </w:pPr>
            <w:r>
              <w:rPr>
                <w:sz w:val="24"/>
              </w:rPr>
              <w:t>94</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ind w:right="155"/>
              <w:jc w:val="right"/>
              <w:rPr>
                <w:sz w:val="24"/>
              </w:rPr>
            </w:pPr>
            <w:r>
              <w:rPr>
                <w:sz w:val="24"/>
              </w:rPr>
              <w:t>63.43</w:t>
            </w:r>
          </w:p>
        </w:tc>
        <w:tc>
          <w:tcPr>
            <w:tcW w:w="1138" w:type="dxa"/>
            <w:tcBorders>
              <w:top w:val="single" w:sz="6" w:space="0" w:color="000000"/>
              <w:left w:val="single" w:sz="6" w:space="0" w:color="000000"/>
              <w:bottom w:val="single" w:sz="6" w:space="0" w:color="000000"/>
            </w:tcBorders>
          </w:tcPr>
          <w:p>
            <w:pPr>
              <w:pStyle w:val="TableParagraph"/>
              <w:ind w:left="283"/>
              <w:jc w:val="left"/>
              <w:rPr>
                <w:sz w:val="24"/>
              </w:rPr>
            </w:pPr>
            <w:r>
              <w:rPr>
                <w:sz w:val="24"/>
              </w:rPr>
              <w:t>50.01</w:t>
            </w:r>
          </w:p>
        </w:tc>
      </w:tr>
      <w:tr>
        <w:trPr>
          <w:trHeight w:val="312" w:hRule="atLeast"/>
        </w:trPr>
        <w:tc>
          <w:tcPr>
            <w:tcW w:w="856" w:type="dxa"/>
            <w:tcBorders>
              <w:top w:val="single" w:sz="6" w:space="0" w:color="000000"/>
              <w:bottom w:val="single" w:sz="6" w:space="0" w:color="000000"/>
              <w:right w:val="single" w:sz="6" w:space="0" w:color="000000"/>
            </w:tcBorders>
          </w:tcPr>
          <w:p>
            <w:pPr>
              <w:pStyle w:val="TableParagraph"/>
              <w:spacing w:line="276" w:lineRule="exact"/>
              <w:ind w:left="166" w:right="144"/>
              <w:rPr>
                <w:sz w:val="24"/>
              </w:rPr>
            </w:pPr>
            <w:r>
              <w:rPr>
                <w:sz w:val="24"/>
              </w:rPr>
              <w:t>27</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62" w:right="336"/>
              <w:rPr>
                <w:sz w:val="24"/>
              </w:rPr>
            </w:pPr>
            <w:r>
              <w:rPr>
                <w:sz w:val="24"/>
              </w:rPr>
              <w:t>1.26</w:t>
            </w:r>
          </w:p>
        </w:tc>
        <w:tc>
          <w:tcPr>
            <w:tcW w:w="1234" w:type="dxa"/>
            <w:tcBorders>
              <w:top w:val="single" w:sz="6" w:space="0" w:color="000000"/>
              <w:left w:val="single" w:sz="6" w:space="0" w:color="000000"/>
              <w:bottom w:val="single" w:sz="6" w:space="0" w:color="000000"/>
            </w:tcBorders>
          </w:tcPr>
          <w:p>
            <w:pPr>
              <w:pStyle w:val="TableParagraph"/>
              <w:spacing w:line="276" w:lineRule="exact"/>
              <w:ind w:left="384"/>
              <w:jc w:val="left"/>
              <w:rPr>
                <w:sz w:val="24"/>
              </w:rPr>
            </w:pPr>
            <w:r>
              <w:rPr>
                <w:sz w:val="24"/>
              </w:rPr>
              <w:t>1.18</w:t>
            </w:r>
          </w:p>
        </w:tc>
        <w:tc>
          <w:tcPr>
            <w:tcW w:w="996" w:type="dxa"/>
            <w:tcBorders>
              <w:top w:val="single" w:sz="6" w:space="0" w:color="000000"/>
              <w:bottom w:val="single" w:sz="6" w:space="0" w:color="000000"/>
              <w:right w:val="single" w:sz="6" w:space="0" w:color="000000"/>
            </w:tcBorders>
          </w:tcPr>
          <w:p>
            <w:pPr>
              <w:pStyle w:val="TableParagraph"/>
              <w:spacing w:line="276" w:lineRule="exact"/>
              <w:ind w:left="237" w:right="213"/>
              <w:rPr>
                <w:sz w:val="24"/>
              </w:rPr>
            </w:pPr>
            <w:r>
              <w:rPr>
                <w:sz w:val="24"/>
              </w:rPr>
              <w:t>61</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13"/>
              <w:jc w:val="right"/>
              <w:rPr>
                <w:sz w:val="24"/>
              </w:rPr>
            </w:pPr>
            <w:r>
              <w:rPr>
                <w:sz w:val="24"/>
              </w:rPr>
              <w:t>21.45</w:t>
            </w:r>
          </w:p>
        </w:tc>
        <w:tc>
          <w:tcPr>
            <w:tcW w:w="1078" w:type="dxa"/>
            <w:tcBorders>
              <w:top w:val="single" w:sz="6" w:space="0" w:color="000000"/>
              <w:left w:val="single" w:sz="6" w:space="0" w:color="000000"/>
              <w:bottom w:val="single" w:sz="6" w:space="0" w:color="000000"/>
            </w:tcBorders>
          </w:tcPr>
          <w:p>
            <w:pPr>
              <w:pStyle w:val="TableParagraph"/>
              <w:spacing w:line="276" w:lineRule="exact"/>
              <w:ind w:left="229" w:right="186"/>
              <w:rPr>
                <w:sz w:val="24"/>
              </w:rPr>
            </w:pPr>
            <w:r>
              <w:rPr>
                <w:sz w:val="24"/>
              </w:rPr>
              <w:t>16.68</w:t>
            </w:r>
          </w:p>
        </w:tc>
        <w:tc>
          <w:tcPr>
            <w:tcW w:w="1408" w:type="dxa"/>
            <w:tcBorders>
              <w:top w:val="single" w:sz="6" w:space="0" w:color="000000"/>
              <w:bottom w:val="single" w:sz="6" w:space="0" w:color="000000"/>
              <w:right w:val="single" w:sz="6" w:space="0" w:color="000000"/>
            </w:tcBorders>
          </w:tcPr>
          <w:p>
            <w:pPr>
              <w:pStyle w:val="TableParagraph"/>
              <w:spacing w:line="276" w:lineRule="exact"/>
              <w:ind w:left="87" w:right="57"/>
              <w:rPr>
                <w:sz w:val="24"/>
              </w:rPr>
            </w:pPr>
            <w:r>
              <w:rPr>
                <w:sz w:val="24"/>
              </w:rPr>
              <w:t>95</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55"/>
              <w:jc w:val="right"/>
              <w:rPr>
                <w:sz w:val="24"/>
              </w:rPr>
            </w:pPr>
            <w:r>
              <w:rPr>
                <w:sz w:val="24"/>
              </w:rPr>
              <w:t>65.00</w:t>
            </w:r>
          </w:p>
        </w:tc>
        <w:tc>
          <w:tcPr>
            <w:tcW w:w="1138" w:type="dxa"/>
            <w:tcBorders>
              <w:top w:val="single" w:sz="6" w:space="0" w:color="000000"/>
              <w:left w:val="single" w:sz="6" w:space="0" w:color="000000"/>
              <w:bottom w:val="single" w:sz="6" w:space="0" w:color="000000"/>
            </w:tcBorders>
          </w:tcPr>
          <w:p>
            <w:pPr>
              <w:pStyle w:val="TableParagraph"/>
              <w:spacing w:line="276" w:lineRule="exact"/>
              <w:ind w:left="283"/>
              <w:jc w:val="left"/>
              <w:rPr>
                <w:sz w:val="24"/>
              </w:rPr>
            </w:pPr>
            <w:r>
              <w:rPr>
                <w:sz w:val="24"/>
              </w:rPr>
              <w:t>51.58</w:t>
            </w:r>
          </w:p>
        </w:tc>
      </w:tr>
      <w:tr>
        <w:trPr>
          <w:trHeight w:val="311" w:hRule="atLeast"/>
        </w:trPr>
        <w:tc>
          <w:tcPr>
            <w:tcW w:w="856" w:type="dxa"/>
            <w:tcBorders>
              <w:top w:val="single" w:sz="6" w:space="0" w:color="000000"/>
              <w:bottom w:val="single" w:sz="6" w:space="0" w:color="000000"/>
              <w:right w:val="single" w:sz="6" w:space="0" w:color="000000"/>
            </w:tcBorders>
          </w:tcPr>
          <w:p>
            <w:pPr>
              <w:pStyle w:val="TableParagraph"/>
              <w:ind w:left="166" w:right="144"/>
              <w:rPr>
                <w:sz w:val="24"/>
              </w:rPr>
            </w:pPr>
            <w:r>
              <w:rPr>
                <w:sz w:val="24"/>
              </w:rPr>
              <w:t>28</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ind w:left="362" w:right="336"/>
              <w:rPr>
                <w:sz w:val="24"/>
              </w:rPr>
            </w:pPr>
            <w:r>
              <w:rPr>
                <w:sz w:val="24"/>
              </w:rPr>
              <w:t>1.30</w:t>
            </w:r>
          </w:p>
        </w:tc>
        <w:tc>
          <w:tcPr>
            <w:tcW w:w="1234" w:type="dxa"/>
            <w:tcBorders>
              <w:top w:val="single" w:sz="6" w:space="0" w:color="000000"/>
              <w:left w:val="single" w:sz="6" w:space="0" w:color="000000"/>
              <w:bottom w:val="single" w:sz="6" w:space="0" w:color="000000"/>
            </w:tcBorders>
          </w:tcPr>
          <w:p>
            <w:pPr>
              <w:pStyle w:val="TableParagraph"/>
              <w:ind w:left="384"/>
              <w:jc w:val="left"/>
              <w:rPr>
                <w:sz w:val="24"/>
              </w:rPr>
            </w:pPr>
            <w:r>
              <w:rPr>
                <w:sz w:val="24"/>
              </w:rPr>
              <w:t>1.26</w:t>
            </w:r>
          </w:p>
        </w:tc>
        <w:tc>
          <w:tcPr>
            <w:tcW w:w="996" w:type="dxa"/>
            <w:tcBorders>
              <w:top w:val="single" w:sz="6" w:space="0" w:color="000000"/>
              <w:bottom w:val="single" w:sz="6" w:space="0" w:color="000000"/>
              <w:right w:val="single" w:sz="6" w:space="0" w:color="000000"/>
            </w:tcBorders>
          </w:tcPr>
          <w:p>
            <w:pPr>
              <w:pStyle w:val="TableParagraph"/>
              <w:ind w:left="237" w:right="213"/>
              <w:rPr>
                <w:sz w:val="24"/>
              </w:rPr>
            </w:pPr>
            <w:r>
              <w:rPr>
                <w:sz w:val="24"/>
              </w:rPr>
              <w:t>62</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ind w:right="213"/>
              <w:jc w:val="right"/>
              <w:rPr>
                <w:sz w:val="24"/>
              </w:rPr>
            </w:pPr>
            <w:r>
              <w:rPr>
                <w:sz w:val="24"/>
              </w:rPr>
              <w:t>22.64</w:t>
            </w:r>
          </w:p>
        </w:tc>
        <w:tc>
          <w:tcPr>
            <w:tcW w:w="1078" w:type="dxa"/>
            <w:tcBorders>
              <w:top w:val="single" w:sz="6" w:space="0" w:color="000000"/>
              <w:left w:val="single" w:sz="6" w:space="0" w:color="000000"/>
              <w:bottom w:val="single" w:sz="6" w:space="0" w:color="000000"/>
            </w:tcBorders>
          </w:tcPr>
          <w:p>
            <w:pPr>
              <w:pStyle w:val="TableParagraph"/>
              <w:ind w:left="229" w:right="186"/>
              <w:rPr>
                <w:sz w:val="24"/>
              </w:rPr>
            </w:pPr>
            <w:r>
              <w:rPr>
                <w:sz w:val="24"/>
              </w:rPr>
              <w:t>17.40</w:t>
            </w:r>
          </w:p>
        </w:tc>
        <w:tc>
          <w:tcPr>
            <w:tcW w:w="1408" w:type="dxa"/>
            <w:tcBorders>
              <w:top w:val="single" w:sz="6" w:space="0" w:color="000000"/>
              <w:bottom w:val="single" w:sz="6" w:space="0" w:color="000000"/>
              <w:right w:val="single" w:sz="6" w:space="0" w:color="000000"/>
            </w:tcBorders>
          </w:tcPr>
          <w:p>
            <w:pPr>
              <w:pStyle w:val="TableParagraph"/>
              <w:ind w:left="87" w:right="57"/>
              <w:rPr>
                <w:sz w:val="24"/>
              </w:rPr>
            </w:pPr>
            <w:r>
              <w:rPr>
                <w:sz w:val="24"/>
              </w:rPr>
              <w:t>96</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ind w:right="155"/>
              <w:jc w:val="right"/>
              <w:rPr>
                <w:sz w:val="24"/>
              </w:rPr>
            </w:pPr>
            <w:r>
              <w:rPr>
                <w:sz w:val="24"/>
              </w:rPr>
              <w:t>66.57</w:t>
            </w:r>
          </w:p>
        </w:tc>
        <w:tc>
          <w:tcPr>
            <w:tcW w:w="1138" w:type="dxa"/>
            <w:tcBorders>
              <w:top w:val="single" w:sz="6" w:space="0" w:color="000000"/>
              <w:left w:val="single" w:sz="6" w:space="0" w:color="000000"/>
              <w:bottom w:val="single" w:sz="6" w:space="0" w:color="000000"/>
            </w:tcBorders>
          </w:tcPr>
          <w:p>
            <w:pPr>
              <w:pStyle w:val="TableParagraph"/>
              <w:ind w:left="283"/>
              <w:jc w:val="left"/>
              <w:rPr>
                <w:sz w:val="24"/>
              </w:rPr>
            </w:pPr>
            <w:r>
              <w:rPr>
                <w:sz w:val="24"/>
              </w:rPr>
              <w:t>53.16</w:t>
            </w:r>
          </w:p>
        </w:tc>
      </w:tr>
      <w:tr>
        <w:trPr>
          <w:trHeight w:val="312" w:hRule="atLeast"/>
        </w:trPr>
        <w:tc>
          <w:tcPr>
            <w:tcW w:w="856" w:type="dxa"/>
            <w:tcBorders>
              <w:top w:val="single" w:sz="6" w:space="0" w:color="000000"/>
              <w:bottom w:val="single" w:sz="6" w:space="0" w:color="000000"/>
              <w:right w:val="single" w:sz="6" w:space="0" w:color="000000"/>
            </w:tcBorders>
          </w:tcPr>
          <w:p>
            <w:pPr>
              <w:pStyle w:val="TableParagraph"/>
              <w:spacing w:line="276" w:lineRule="exact"/>
              <w:ind w:left="166" w:right="144"/>
              <w:rPr>
                <w:sz w:val="24"/>
              </w:rPr>
            </w:pPr>
            <w:r>
              <w:rPr>
                <w:sz w:val="24"/>
              </w:rPr>
              <w:t>29</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62" w:right="336"/>
              <w:rPr>
                <w:sz w:val="24"/>
              </w:rPr>
            </w:pPr>
            <w:r>
              <w:rPr>
                <w:sz w:val="24"/>
              </w:rPr>
              <w:t>1.38</w:t>
            </w:r>
          </w:p>
        </w:tc>
        <w:tc>
          <w:tcPr>
            <w:tcW w:w="1234" w:type="dxa"/>
            <w:tcBorders>
              <w:top w:val="single" w:sz="6" w:space="0" w:color="000000"/>
              <w:left w:val="single" w:sz="6" w:space="0" w:color="000000"/>
              <w:bottom w:val="single" w:sz="6" w:space="0" w:color="000000"/>
            </w:tcBorders>
          </w:tcPr>
          <w:p>
            <w:pPr>
              <w:pStyle w:val="TableParagraph"/>
              <w:spacing w:line="276" w:lineRule="exact"/>
              <w:ind w:left="384"/>
              <w:jc w:val="left"/>
              <w:rPr>
                <w:sz w:val="24"/>
              </w:rPr>
            </w:pPr>
            <w:r>
              <w:rPr>
                <w:sz w:val="24"/>
              </w:rPr>
              <w:t>1.33</w:t>
            </w:r>
          </w:p>
        </w:tc>
        <w:tc>
          <w:tcPr>
            <w:tcW w:w="996" w:type="dxa"/>
            <w:tcBorders>
              <w:top w:val="single" w:sz="6" w:space="0" w:color="000000"/>
              <w:bottom w:val="single" w:sz="6" w:space="0" w:color="000000"/>
              <w:right w:val="single" w:sz="6" w:space="0" w:color="000000"/>
            </w:tcBorders>
          </w:tcPr>
          <w:p>
            <w:pPr>
              <w:pStyle w:val="TableParagraph"/>
              <w:spacing w:line="276" w:lineRule="exact"/>
              <w:ind w:left="237" w:right="213"/>
              <w:rPr>
                <w:sz w:val="24"/>
              </w:rPr>
            </w:pPr>
            <w:r>
              <w:rPr>
                <w:sz w:val="24"/>
              </w:rPr>
              <w:t>63</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13"/>
              <w:jc w:val="right"/>
              <w:rPr>
                <w:sz w:val="24"/>
              </w:rPr>
            </w:pPr>
            <w:r>
              <w:rPr>
                <w:sz w:val="24"/>
              </w:rPr>
              <w:t>23.63</w:t>
            </w:r>
          </w:p>
        </w:tc>
        <w:tc>
          <w:tcPr>
            <w:tcW w:w="1078" w:type="dxa"/>
            <w:tcBorders>
              <w:top w:val="single" w:sz="6" w:space="0" w:color="000000"/>
              <w:left w:val="single" w:sz="6" w:space="0" w:color="000000"/>
              <w:bottom w:val="single" w:sz="6" w:space="0" w:color="000000"/>
            </w:tcBorders>
          </w:tcPr>
          <w:p>
            <w:pPr>
              <w:pStyle w:val="TableParagraph"/>
              <w:spacing w:line="276" w:lineRule="exact"/>
              <w:ind w:left="229" w:right="186"/>
              <w:rPr>
                <w:sz w:val="24"/>
              </w:rPr>
            </w:pPr>
            <w:r>
              <w:rPr>
                <w:sz w:val="24"/>
              </w:rPr>
              <w:t>17.92</w:t>
            </w:r>
          </w:p>
        </w:tc>
        <w:tc>
          <w:tcPr>
            <w:tcW w:w="1408" w:type="dxa"/>
            <w:tcBorders>
              <w:top w:val="single" w:sz="6" w:space="0" w:color="000000"/>
              <w:bottom w:val="single" w:sz="6" w:space="0" w:color="000000"/>
              <w:right w:val="single" w:sz="6" w:space="0" w:color="000000"/>
            </w:tcBorders>
          </w:tcPr>
          <w:p>
            <w:pPr>
              <w:pStyle w:val="TableParagraph"/>
              <w:spacing w:line="276" w:lineRule="exact"/>
              <w:ind w:left="87" w:right="57"/>
              <w:rPr>
                <w:sz w:val="24"/>
              </w:rPr>
            </w:pPr>
            <w:r>
              <w:rPr>
                <w:sz w:val="24"/>
              </w:rPr>
              <w:t>97</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55"/>
              <w:jc w:val="right"/>
              <w:rPr>
                <w:sz w:val="24"/>
              </w:rPr>
            </w:pPr>
            <w:r>
              <w:rPr>
                <w:sz w:val="24"/>
              </w:rPr>
              <w:t>68.15</w:t>
            </w:r>
          </w:p>
        </w:tc>
        <w:tc>
          <w:tcPr>
            <w:tcW w:w="1138" w:type="dxa"/>
            <w:tcBorders>
              <w:top w:val="single" w:sz="6" w:space="0" w:color="000000"/>
              <w:left w:val="single" w:sz="6" w:space="0" w:color="000000"/>
              <w:bottom w:val="single" w:sz="6" w:space="0" w:color="000000"/>
            </w:tcBorders>
          </w:tcPr>
          <w:p>
            <w:pPr>
              <w:pStyle w:val="TableParagraph"/>
              <w:spacing w:line="276" w:lineRule="exact"/>
              <w:ind w:left="283"/>
              <w:jc w:val="left"/>
              <w:rPr>
                <w:sz w:val="24"/>
              </w:rPr>
            </w:pPr>
            <w:r>
              <w:rPr>
                <w:sz w:val="24"/>
              </w:rPr>
              <w:t>54.76</w:t>
            </w:r>
          </w:p>
        </w:tc>
      </w:tr>
      <w:tr>
        <w:trPr>
          <w:trHeight w:val="311" w:hRule="atLeast"/>
        </w:trPr>
        <w:tc>
          <w:tcPr>
            <w:tcW w:w="856" w:type="dxa"/>
            <w:tcBorders>
              <w:top w:val="single" w:sz="6" w:space="0" w:color="000000"/>
              <w:bottom w:val="single" w:sz="6" w:space="0" w:color="000000"/>
              <w:right w:val="single" w:sz="6" w:space="0" w:color="000000"/>
            </w:tcBorders>
          </w:tcPr>
          <w:p>
            <w:pPr>
              <w:pStyle w:val="TableParagraph"/>
              <w:ind w:left="166" w:right="144"/>
              <w:rPr>
                <w:sz w:val="24"/>
              </w:rPr>
            </w:pPr>
            <w:r>
              <w:rPr>
                <w:sz w:val="24"/>
              </w:rPr>
              <w:t>30</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ind w:left="362" w:right="336"/>
              <w:rPr>
                <w:sz w:val="24"/>
              </w:rPr>
            </w:pPr>
            <w:r>
              <w:rPr>
                <w:sz w:val="24"/>
              </w:rPr>
              <w:t>1.44</w:t>
            </w:r>
          </w:p>
        </w:tc>
        <w:tc>
          <w:tcPr>
            <w:tcW w:w="1234" w:type="dxa"/>
            <w:tcBorders>
              <w:top w:val="single" w:sz="6" w:space="0" w:color="000000"/>
              <w:left w:val="single" w:sz="6" w:space="0" w:color="000000"/>
              <w:bottom w:val="single" w:sz="6" w:space="0" w:color="000000"/>
            </w:tcBorders>
          </w:tcPr>
          <w:p>
            <w:pPr>
              <w:pStyle w:val="TableParagraph"/>
              <w:ind w:left="384"/>
              <w:jc w:val="left"/>
              <w:rPr>
                <w:sz w:val="24"/>
              </w:rPr>
            </w:pPr>
            <w:r>
              <w:rPr>
                <w:sz w:val="24"/>
              </w:rPr>
              <w:t>1.43</w:t>
            </w:r>
          </w:p>
        </w:tc>
        <w:tc>
          <w:tcPr>
            <w:tcW w:w="996" w:type="dxa"/>
            <w:tcBorders>
              <w:top w:val="single" w:sz="6" w:space="0" w:color="000000"/>
              <w:bottom w:val="single" w:sz="6" w:space="0" w:color="000000"/>
              <w:right w:val="single" w:sz="6" w:space="0" w:color="000000"/>
            </w:tcBorders>
          </w:tcPr>
          <w:p>
            <w:pPr>
              <w:pStyle w:val="TableParagraph"/>
              <w:ind w:left="237" w:right="213"/>
              <w:rPr>
                <w:sz w:val="24"/>
              </w:rPr>
            </w:pPr>
            <w:r>
              <w:rPr>
                <w:sz w:val="24"/>
              </w:rPr>
              <w:t>64</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ind w:right="213"/>
              <w:jc w:val="right"/>
              <w:rPr>
                <w:sz w:val="24"/>
              </w:rPr>
            </w:pPr>
            <w:r>
              <w:rPr>
                <w:sz w:val="24"/>
              </w:rPr>
              <w:t>25.19</w:t>
            </w:r>
          </w:p>
        </w:tc>
        <w:tc>
          <w:tcPr>
            <w:tcW w:w="1078" w:type="dxa"/>
            <w:tcBorders>
              <w:top w:val="single" w:sz="6" w:space="0" w:color="000000"/>
              <w:left w:val="single" w:sz="6" w:space="0" w:color="000000"/>
              <w:bottom w:val="single" w:sz="6" w:space="0" w:color="000000"/>
            </w:tcBorders>
          </w:tcPr>
          <w:p>
            <w:pPr>
              <w:pStyle w:val="TableParagraph"/>
              <w:ind w:left="229" w:right="186"/>
              <w:rPr>
                <w:sz w:val="24"/>
              </w:rPr>
            </w:pPr>
            <w:r>
              <w:rPr>
                <w:sz w:val="24"/>
              </w:rPr>
              <w:t>18.88</w:t>
            </w:r>
          </w:p>
        </w:tc>
        <w:tc>
          <w:tcPr>
            <w:tcW w:w="1408" w:type="dxa"/>
            <w:tcBorders>
              <w:top w:val="single" w:sz="6" w:space="0" w:color="000000"/>
              <w:bottom w:val="single" w:sz="6" w:space="0" w:color="000000"/>
              <w:right w:val="single" w:sz="6" w:space="0" w:color="000000"/>
            </w:tcBorders>
          </w:tcPr>
          <w:p>
            <w:pPr>
              <w:pStyle w:val="TableParagraph"/>
              <w:ind w:left="87" w:right="57"/>
              <w:rPr>
                <w:sz w:val="24"/>
              </w:rPr>
            </w:pPr>
            <w:r>
              <w:rPr>
                <w:sz w:val="24"/>
              </w:rPr>
              <w:t>98</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ind w:right="155"/>
              <w:jc w:val="right"/>
              <w:rPr>
                <w:sz w:val="24"/>
              </w:rPr>
            </w:pPr>
            <w:r>
              <w:rPr>
                <w:sz w:val="24"/>
              </w:rPr>
              <w:t>69.72</w:t>
            </w:r>
          </w:p>
        </w:tc>
        <w:tc>
          <w:tcPr>
            <w:tcW w:w="1138" w:type="dxa"/>
            <w:tcBorders>
              <w:top w:val="single" w:sz="6" w:space="0" w:color="000000"/>
              <w:left w:val="single" w:sz="6" w:space="0" w:color="000000"/>
              <w:bottom w:val="single" w:sz="6" w:space="0" w:color="000000"/>
            </w:tcBorders>
          </w:tcPr>
          <w:p>
            <w:pPr>
              <w:pStyle w:val="TableParagraph"/>
              <w:ind w:left="283"/>
              <w:jc w:val="left"/>
              <w:rPr>
                <w:sz w:val="24"/>
              </w:rPr>
            </w:pPr>
            <w:r>
              <w:rPr>
                <w:sz w:val="24"/>
              </w:rPr>
              <w:t>56.33</w:t>
            </w:r>
          </w:p>
        </w:tc>
      </w:tr>
      <w:tr>
        <w:trPr>
          <w:trHeight w:val="312" w:hRule="atLeast"/>
        </w:trPr>
        <w:tc>
          <w:tcPr>
            <w:tcW w:w="856" w:type="dxa"/>
            <w:tcBorders>
              <w:top w:val="single" w:sz="6" w:space="0" w:color="000000"/>
              <w:bottom w:val="single" w:sz="6" w:space="0" w:color="000000"/>
              <w:right w:val="single" w:sz="6" w:space="0" w:color="000000"/>
            </w:tcBorders>
          </w:tcPr>
          <w:p>
            <w:pPr>
              <w:pStyle w:val="TableParagraph"/>
              <w:spacing w:line="276" w:lineRule="exact"/>
              <w:ind w:left="166" w:right="144"/>
              <w:rPr>
                <w:sz w:val="24"/>
              </w:rPr>
            </w:pPr>
            <w:r>
              <w:rPr>
                <w:sz w:val="24"/>
              </w:rPr>
              <w:t>31</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62" w:right="336"/>
              <w:rPr>
                <w:sz w:val="24"/>
              </w:rPr>
            </w:pPr>
            <w:r>
              <w:rPr>
                <w:sz w:val="24"/>
              </w:rPr>
              <w:t>1.51</w:t>
            </w:r>
          </w:p>
        </w:tc>
        <w:tc>
          <w:tcPr>
            <w:tcW w:w="1234" w:type="dxa"/>
            <w:tcBorders>
              <w:top w:val="single" w:sz="6" w:space="0" w:color="000000"/>
              <w:left w:val="single" w:sz="6" w:space="0" w:color="000000"/>
              <w:bottom w:val="single" w:sz="6" w:space="0" w:color="000000"/>
            </w:tcBorders>
          </w:tcPr>
          <w:p>
            <w:pPr>
              <w:pStyle w:val="TableParagraph"/>
              <w:spacing w:line="276" w:lineRule="exact"/>
              <w:ind w:left="384"/>
              <w:jc w:val="left"/>
              <w:rPr>
                <w:sz w:val="24"/>
              </w:rPr>
            </w:pPr>
            <w:r>
              <w:rPr>
                <w:sz w:val="24"/>
              </w:rPr>
              <w:t>1.53</w:t>
            </w:r>
          </w:p>
        </w:tc>
        <w:tc>
          <w:tcPr>
            <w:tcW w:w="996" w:type="dxa"/>
            <w:tcBorders>
              <w:top w:val="single" w:sz="6" w:space="0" w:color="000000"/>
              <w:bottom w:val="single" w:sz="6" w:space="0" w:color="000000"/>
              <w:right w:val="single" w:sz="6" w:space="0" w:color="000000"/>
            </w:tcBorders>
          </w:tcPr>
          <w:p>
            <w:pPr>
              <w:pStyle w:val="TableParagraph"/>
              <w:spacing w:line="276" w:lineRule="exact"/>
              <w:ind w:left="237" w:right="213"/>
              <w:rPr>
                <w:sz w:val="24"/>
              </w:rPr>
            </w:pPr>
            <w:r>
              <w:rPr>
                <w:sz w:val="24"/>
              </w:rPr>
              <w:t>65</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13"/>
              <w:jc w:val="right"/>
              <w:rPr>
                <w:sz w:val="24"/>
              </w:rPr>
            </w:pPr>
            <w:r>
              <w:rPr>
                <w:sz w:val="24"/>
              </w:rPr>
              <w:t>26.96</w:t>
            </w:r>
          </w:p>
        </w:tc>
        <w:tc>
          <w:tcPr>
            <w:tcW w:w="1078" w:type="dxa"/>
            <w:tcBorders>
              <w:top w:val="single" w:sz="6" w:space="0" w:color="000000"/>
              <w:left w:val="single" w:sz="6" w:space="0" w:color="000000"/>
              <w:bottom w:val="single" w:sz="6" w:space="0" w:color="000000"/>
            </w:tcBorders>
          </w:tcPr>
          <w:p>
            <w:pPr>
              <w:pStyle w:val="TableParagraph"/>
              <w:spacing w:line="276" w:lineRule="exact"/>
              <w:ind w:left="229" w:right="186"/>
              <w:rPr>
                <w:sz w:val="24"/>
              </w:rPr>
            </w:pPr>
            <w:r>
              <w:rPr>
                <w:sz w:val="24"/>
              </w:rPr>
              <w:t>20.20</w:t>
            </w:r>
          </w:p>
        </w:tc>
        <w:tc>
          <w:tcPr>
            <w:tcW w:w="1408" w:type="dxa"/>
            <w:tcBorders>
              <w:top w:val="single" w:sz="6" w:space="0" w:color="000000"/>
              <w:bottom w:val="single" w:sz="6" w:space="0" w:color="000000"/>
              <w:right w:val="single" w:sz="6" w:space="0" w:color="000000"/>
            </w:tcBorders>
          </w:tcPr>
          <w:p>
            <w:pPr>
              <w:pStyle w:val="TableParagraph"/>
              <w:spacing w:line="276" w:lineRule="exact"/>
              <w:ind w:left="87" w:right="57"/>
              <w:rPr>
                <w:sz w:val="24"/>
              </w:rPr>
            </w:pPr>
            <w:r>
              <w:rPr>
                <w:sz w:val="24"/>
              </w:rPr>
              <w:t>99</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55"/>
              <w:jc w:val="right"/>
              <w:rPr>
                <w:sz w:val="24"/>
              </w:rPr>
            </w:pPr>
            <w:r>
              <w:rPr>
                <w:sz w:val="24"/>
              </w:rPr>
              <w:t>71.31</w:t>
            </w:r>
          </w:p>
        </w:tc>
        <w:tc>
          <w:tcPr>
            <w:tcW w:w="1138" w:type="dxa"/>
            <w:tcBorders>
              <w:top w:val="single" w:sz="6" w:space="0" w:color="000000"/>
              <w:left w:val="single" w:sz="6" w:space="0" w:color="000000"/>
              <w:bottom w:val="single" w:sz="6" w:space="0" w:color="000000"/>
            </w:tcBorders>
          </w:tcPr>
          <w:p>
            <w:pPr>
              <w:pStyle w:val="TableParagraph"/>
              <w:spacing w:line="276" w:lineRule="exact"/>
              <w:ind w:left="283"/>
              <w:jc w:val="left"/>
              <w:rPr>
                <w:sz w:val="24"/>
              </w:rPr>
            </w:pPr>
            <w:r>
              <w:rPr>
                <w:sz w:val="24"/>
              </w:rPr>
              <w:t>57.92</w:t>
            </w:r>
          </w:p>
        </w:tc>
      </w:tr>
      <w:tr>
        <w:trPr>
          <w:trHeight w:val="311" w:hRule="atLeast"/>
        </w:trPr>
        <w:tc>
          <w:tcPr>
            <w:tcW w:w="856" w:type="dxa"/>
            <w:tcBorders>
              <w:top w:val="single" w:sz="6" w:space="0" w:color="000000"/>
              <w:bottom w:val="single" w:sz="6" w:space="0" w:color="000000"/>
              <w:right w:val="single" w:sz="6" w:space="0" w:color="000000"/>
            </w:tcBorders>
          </w:tcPr>
          <w:p>
            <w:pPr>
              <w:pStyle w:val="TableParagraph"/>
              <w:ind w:left="166" w:right="144"/>
              <w:rPr>
                <w:sz w:val="24"/>
              </w:rPr>
            </w:pPr>
            <w:r>
              <w:rPr>
                <w:sz w:val="24"/>
              </w:rPr>
              <w:t>32</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ind w:left="362" w:right="336"/>
              <w:rPr>
                <w:sz w:val="24"/>
              </w:rPr>
            </w:pPr>
            <w:r>
              <w:rPr>
                <w:sz w:val="24"/>
              </w:rPr>
              <w:t>1.57</w:t>
            </w:r>
          </w:p>
        </w:tc>
        <w:tc>
          <w:tcPr>
            <w:tcW w:w="1234" w:type="dxa"/>
            <w:tcBorders>
              <w:top w:val="single" w:sz="6" w:space="0" w:color="000000"/>
              <w:left w:val="single" w:sz="6" w:space="0" w:color="000000"/>
              <w:bottom w:val="single" w:sz="6" w:space="0" w:color="000000"/>
            </w:tcBorders>
          </w:tcPr>
          <w:p>
            <w:pPr>
              <w:pStyle w:val="TableParagraph"/>
              <w:ind w:left="384"/>
              <w:jc w:val="left"/>
              <w:rPr>
                <w:sz w:val="24"/>
              </w:rPr>
            </w:pPr>
            <w:r>
              <w:rPr>
                <w:sz w:val="24"/>
              </w:rPr>
              <w:t>1.66</w:t>
            </w:r>
          </w:p>
        </w:tc>
        <w:tc>
          <w:tcPr>
            <w:tcW w:w="996" w:type="dxa"/>
            <w:tcBorders>
              <w:top w:val="single" w:sz="6" w:space="0" w:color="000000"/>
              <w:bottom w:val="single" w:sz="6" w:space="0" w:color="000000"/>
              <w:right w:val="single" w:sz="6" w:space="0" w:color="000000"/>
            </w:tcBorders>
          </w:tcPr>
          <w:p>
            <w:pPr>
              <w:pStyle w:val="TableParagraph"/>
              <w:ind w:left="237" w:right="213"/>
              <w:rPr>
                <w:sz w:val="24"/>
              </w:rPr>
            </w:pPr>
            <w:r>
              <w:rPr>
                <w:sz w:val="24"/>
              </w:rPr>
              <w:t>66</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ind w:right="213"/>
              <w:jc w:val="right"/>
              <w:rPr>
                <w:sz w:val="24"/>
              </w:rPr>
            </w:pPr>
            <w:r>
              <w:rPr>
                <w:sz w:val="24"/>
              </w:rPr>
              <w:t>23.18</w:t>
            </w:r>
          </w:p>
        </w:tc>
        <w:tc>
          <w:tcPr>
            <w:tcW w:w="1078" w:type="dxa"/>
            <w:tcBorders>
              <w:top w:val="single" w:sz="6" w:space="0" w:color="000000"/>
              <w:left w:val="single" w:sz="6" w:space="0" w:color="000000"/>
              <w:bottom w:val="single" w:sz="6" w:space="0" w:color="000000"/>
            </w:tcBorders>
          </w:tcPr>
          <w:p>
            <w:pPr>
              <w:pStyle w:val="TableParagraph"/>
              <w:ind w:left="229" w:right="186"/>
              <w:rPr>
                <w:sz w:val="24"/>
              </w:rPr>
            </w:pPr>
            <w:r>
              <w:rPr>
                <w:sz w:val="24"/>
              </w:rPr>
              <w:t>15.24</w:t>
            </w:r>
          </w:p>
        </w:tc>
        <w:tc>
          <w:tcPr>
            <w:tcW w:w="1408" w:type="dxa"/>
            <w:tcBorders>
              <w:top w:val="single" w:sz="6" w:space="0" w:color="000000"/>
              <w:bottom w:val="single" w:sz="6" w:space="0" w:color="000000"/>
              <w:right w:val="single" w:sz="6" w:space="0" w:color="000000"/>
            </w:tcBorders>
          </w:tcPr>
          <w:p>
            <w:pPr>
              <w:pStyle w:val="TableParagraph"/>
              <w:ind w:left="87" w:right="57"/>
              <w:rPr>
                <w:sz w:val="24"/>
              </w:rPr>
            </w:pPr>
            <w:r>
              <w:rPr>
                <w:sz w:val="24"/>
              </w:rPr>
              <w:t>100 及以上</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ind w:right="155"/>
              <w:jc w:val="right"/>
              <w:rPr>
                <w:sz w:val="24"/>
              </w:rPr>
            </w:pPr>
            <w:r>
              <w:rPr>
                <w:sz w:val="24"/>
              </w:rPr>
              <w:t>72.89</w:t>
            </w:r>
          </w:p>
        </w:tc>
        <w:tc>
          <w:tcPr>
            <w:tcW w:w="1138" w:type="dxa"/>
            <w:tcBorders>
              <w:top w:val="single" w:sz="6" w:space="0" w:color="000000"/>
              <w:left w:val="single" w:sz="6" w:space="0" w:color="000000"/>
              <w:bottom w:val="single" w:sz="6" w:space="0" w:color="000000"/>
            </w:tcBorders>
          </w:tcPr>
          <w:p>
            <w:pPr>
              <w:pStyle w:val="TableParagraph"/>
              <w:ind w:left="283"/>
              <w:jc w:val="left"/>
              <w:rPr>
                <w:sz w:val="24"/>
              </w:rPr>
            </w:pPr>
            <w:r>
              <w:rPr>
                <w:sz w:val="24"/>
              </w:rPr>
              <w:t>59.50</w:t>
            </w:r>
          </w:p>
        </w:tc>
      </w:tr>
      <w:tr>
        <w:trPr>
          <w:trHeight w:val="312" w:hRule="atLeast"/>
        </w:trPr>
        <w:tc>
          <w:tcPr>
            <w:tcW w:w="856" w:type="dxa"/>
            <w:tcBorders>
              <w:top w:val="single" w:sz="6" w:space="0" w:color="000000"/>
              <w:right w:val="single" w:sz="6" w:space="0" w:color="000000"/>
            </w:tcBorders>
          </w:tcPr>
          <w:p>
            <w:pPr>
              <w:pStyle w:val="TableParagraph"/>
              <w:spacing w:line="276" w:lineRule="exact"/>
              <w:ind w:left="166" w:right="144"/>
              <w:rPr>
                <w:sz w:val="24"/>
              </w:rPr>
            </w:pPr>
            <w:r>
              <w:rPr>
                <w:sz w:val="24"/>
              </w:rPr>
              <w:t>33</w:t>
            </w:r>
          </w:p>
        </w:tc>
        <w:tc>
          <w:tcPr>
            <w:tcW w:w="1235" w:type="dxa"/>
            <w:tcBorders>
              <w:top w:val="single" w:sz="6" w:space="0" w:color="000000"/>
              <w:left w:val="single" w:sz="6" w:space="0" w:color="000000"/>
              <w:right w:val="single" w:sz="6" w:space="0" w:color="000000"/>
            </w:tcBorders>
          </w:tcPr>
          <w:p>
            <w:pPr>
              <w:pStyle w:val="TableParagraph"/>
              <w:spacing w:line="276" w:lineRule="exact"/>
              <w:ind w:left="362" w:right="336"/>
              <w:rPr>
                <w:sz w:val="24"/>
              </w:rPr>
            </w:pPr>
            <w:r>
              <w:rPr>
                <w:sz w:val="24"/>
              </w:rPr>
              <w:t>1.66</w:t>
            </w:r>
          </w:p>
        </w:tc>
        <w:tc>
          <w:tcPr>
            <w:tcW w:w="1234" w:type="dxa"/>
            <w:tcBorders>
              <w:top w:val="single" w:sz="6" w:space="0" w:color="000000"/>
              <w:left w:val="single" w:sz="6" w:space="0" w:color="000000"/>
            </w:tcBorders>
          </w:tcPr>
          <w:p>
            <w:pPr>
              <w:pStyle w:val="TableParagraph"/>
              <w:spacing w:line="276" w:lineRule="exact"/>
              <w:ind w:left="384"/>
              <w:jc w:val="left"/>
              <w:rPr>
                <w:sz w:val="24"/>
              </w:rPr>
            </w:pPr>
            <w:r>
              <w:rPr>
                <w:sz w:val="24"/>
              </w:rPr>
              <w:t>1.79</w:t>
            </w:r>
          </w:p>
        </w:tc>
        <w:tc>
          <w:tcPr>
            <w:tcW w:w="996" w:type="dxa"/>
            <w:tcBorders>
              <w:top w:val="single" w:sz="6" w:space="0" w:color="000000"/>
              <w:right w:val="single" w:sz="6" w:space="0" w:color="000000"/>
            </w:tcBorders>
          </w:tcPr>
          <w:p>
            <w:pPr>
              <w:pStyle w:val="TableParagraph"/>
              <w:spacing w:line="276" w:lineRule="exact"/>
              <w:ind w:left="237" w:right="213"/>
              <w:rPr>
                <w:sz w:val="24"/>
              </w:rPr>
            </w:pPr>
            <w:r>
              <w:rPr>
                <w:sz w:val="24"/>
              </w:rPr>
              <w:t>67</w:t>
            </w:r>
          </w:p>
        </w:tc>
        <w:tc>
          <w:tcPr>
            <w:tcW w:w="1079" w:type="dxa"/>
            <w:tcBorders>
              <w:top w:val="single" w:sz="6" w:space="0" w:color="000000"/>
              <w:left w:val="single" w:sz="6" w:space="0" w:color="000000"/>
              <w:right w:val="single" w:sz="6" w:space="0" w:color="000000"/>
            </w:tcBorders>
          </w:tcPr>
          <w:p>
            <w:pPr>
              <w:pStyle w:val="TableParagraph"/>
              <w:spacing w:line="276" w:lineRule="exact"/>
              <w:ind w:right="213"/>
              <w:jc w:val="right"/>
              <w:rPr>
                <w:sz w:val="24"/>
              </w:rPr>
            </w:pPr>
            <w:r>
              <w:rPr>
                <w:sz w:val="24"/>
              </w:rPr>
              <w:t>24.21</w:t>
            </w:r>
          </w:p>
        </w:tc>
        <w:tc>
          <w:tcPr>
            <w:tcW w:w="1078" w:type="dxa"/>
            <w:tcBorders>
              <w:top w:val="single" w:sz="6" w:space="0" w:color="000000"/>
              <w:left w:val="single" w:sz="6" w:space="0" w:color="000000"/>
            </w:tcBorders>
          </w:tcPr>
          <w:p>
            <w:pPr>
              <w:pStyle w:val="TableParagraph"/>
              <w:spacing w:line="276" w:lineRule="exact"/>
              <w:ind w:left="229" w:right="186"/>
              <w:rPr>
                <w:sz w:val="24"/>
              </w:rPr>
            </w:pPr>
            <w:r>
              <w:rPr>
                <w:sz w:val="24"/>
              </w:rPr>
              <w:t>15.76</w:t>
            </w:r>
          </w:p>
        </w:tc>
        <w:tc>
          <w:tcPr>
            <w:tcW w:w="1408" w:type="dxa"/>
            <w:tcBorders>
              <w:top w:val="single" w:sz="6" w:space="0" w:color="000000"/>
              <w:right w:val="single" w:sz="6" w:space="0" w:color="000000"/>
            </w:tcBorders>
          </w:tcPr>
          <w:p>
            <w:pPr>
              <w:pStyle w:val="TableParagraph"/>
              <w:spacing w:line="240" w:lineRule="auto"/>
              <w:jc w:val="left"/>
              <w:rPr>
                <w:rFonts w:ascii="Times New Roman"/>
                <w:sz w:val="22"/>
              </w:rPr>
            </w:pPr>
          </w:p>
        </w:tc>
        <w:tc>
          <w:tcPr>
            <w:tcW w:w="969" w:type="dxa"/>
            <w:tcBorders>
              <w:top w:val="single" w:sz="6" w:space="0" w:color="000000"/>
              <w:left w:val="single" w:sz="6" w:space="0" w:color="000000"/>
              <w:right w:val="single" w:sz="6" w:space="0" w:color="000000"/>
            </w:tcBorders>
          </w:tcPr>
          <w:p>
            <w:pPr>
              <w:pStyle w:val="TableParagraph"/>
              <w:spacing w:line="240" w:lineRule="auto"/>
              <w:jc w:val="left"/>
              <w:rPr>
                <w:rFonts w:ascii="Times New Roman"/>
                <w:sz w:val="22"/>
              </w:rPr>
            </w:pPr>
          </w:p>
        </w:tc>
        <w:tc>
          <w:tcPr>
            <w:tcW w:w="1138" w:type="dxa"/>
            <w:tcBorders>
              <w:top w:val="single" w:sz="6" w:space="0" w:color="000000"/>
              <w:left w:val="single" w:sz="6" w:space="0" w:color="000000"/>
            </w:tcBorders>
          </w:tcPr>
          <w:p>
            <w:pPr>
              <w:pStyle w:val="TableParagraph"/>
              <w:spacing w:line="240" w:lineRule="auto"/>
              <w:jc w:val="left"/>
              <w:rPr>
                <w:rFonts w:ascii="Times New Roman"/>
                <w:sz w:val="22"/>
              </w:rPr>
            </w:pPr>
          </w:p>
        </w:tc>
      </w:tr>
    </w:tbl>
    <w:sectPr>
      <w:pgSz w:w="11910" w:h="16840"/>
      <w:pgMar w:top="1200" w:bottom="280" w:left="7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upperRoman"/>
      <w:lvlText w:val="%1"/>
      <w:lvlJc w:val="left"/>
      <w:pPr>
        <w:ind w:left="2259" w:hanging="166"/>
        <w:jc w:val="left"/>
      </w:pPr>
      <w:rPr>
        <w:rFonts w:hint="default" w:ascii="宋体" w:hAnsi="宋体" w:eastAsia="宋体" w:cs="宋体"/>
        <w:w w:val="99"/>
        <w:sz w:val="22"/>
        <w:szCs w:val="22"/>
      </w:rPr>
    </w:lvl>
    <w:lvl w:ilvl="1">
      <w:start w:val="0"/>
      <w:numFmt w:val="bullet"/>
      <w:lvlText w:val="•"/>
      <w:lvlJc w:val="left"/>
      <w:pPr>
        <w:ind w:left="2964" w:hanging="166"/>
      </w:pPr>
      <w:rPr>
        <w:rFonts w:hint="default"/>
      </w:rPr>
    </w:lvl>
    <w:lvl w:ilvl="2">
      <w:start w:val="0"/>
      <w:numFmt w:val="bullet"/>
      <w:lvlText w:val="•"/>
      <w:lvlJc w:val="left"/>
      <w:pPr>
        <w:ind w:left="3668" w:hanging="166"/>
      </w:pPr>
      <w:rPr>
        <w:rFonts w:hint="default"/>
      </w:rPr>
    </w:lvl>
    <w:lvl w:ilvl="3">
      <w:start w:val="0"/>
      <w:numFmt w:val="bullet"/>
      <w:lvlText w:val="•"/>
      <w:lvlJc w:val="left"/>
      <w:pPr>
        <w:ind w:left="4373" w:hanging="166"/>
      </w:pPr>
      <w:rPr>
        <w:rFonts w:hint="default"/>
      </w:rPr>
    </w:lvl>
    <w:lvl w:ilvl="4">
      <w:start w:val="0"/>
      <w:numFmt w:val="bullet"/>
      <w:lvlText w:val="•"/>
      <w:lvlJc w:val="left"/>
      <w:pPr>
        <w:ind w:left="5077" w:hanging="166"/>
      </w:pPr>
      <w:rPr>
        <w:rFonts w:hint="default"/>
      </w:rPr>
    </w:lvl>
    <w:lvl w:ilvl="5">
      <w:start w:val="0"/>
      <w:numFmt w:val="bullet"/>
      <w:lvlText w:val="•"/>
      <w:lvlJc w:val="left"/>
      <w:pPr>
        <w:ind w:left="5782" w:hanging="166"/>
      </w:pPr>
      <w:rPr>
        <w:rFonts w:hint="default"/>
      </w:rPr>
    </w:lvl>
    <w:lvl w:ilvl="6">
      <w:start w:val="0"/>
      <w:numFmt w:val="bullet"/>
      <w:lvlText w:val="•"/>
      <w:lvlJc w:val="left"/>
      <w:pPr>
        <w:ind w:left="6486" w:hanging="166"/>
      </w:pPr>
      <w:rPr>
        <w:rFonts w:hint="default"/>
      </w:rPr>
    </w:lvl>
    <w:lvl w:ilvl="7">
      <w:start w:val="0"/>
      <w:numFmt w:val="bullet"/>
      <w:lvlText w:val="•"/>
      <w:lvlJc w:val="left"/>
      <w:pPr>
        <w:ind w:left="7191" w:hanging="166"/>
      </w:pPr>
      <w:rPr>
        <w:rFonts w:hint="default"/>
      </w:rPr>
    </w:lvl>
    <w:lvl w:ilvl="8">
      <w:start w:val="0"/>
      <w:numFmt w:val="bullet"/>
      <w:lvlText w:val="•"/>
      <w:lvlJc w:val="left"/>
      <w:pPr>
        <w:ind w:left="7895" w:hanging="166"/>
      </w:pPr>
      <w:rPr>
        <w:rFonts w:hint="default"/>
      </w:rPr>
    </w:lvl>
  </w:abstractNum>
  <w:abstractNum w:abstractNumId="7">
    <w:multiLevelType w:val="hybridMultilevel"/>
    <w:lvl w:ilvl="0">
      <w:start w:val="8"/>
      <w:numFmt w:val="decimal"/>
      <w:lvlText w:val="%1"/>
      <w:lvlJc w:val="left"/>
      <w:pPr>
        <w:ind w:left="901" w:hanging="744"/>
        <w:jc w:val="left"/>
      </w:pPr>
      <w:rPr>
        <w:rFonts w:hint="default"/>
      </w:rPr>
    </w:lvl>
    <w:lvl w:ilvl="1">
      <w:start w:val="15"/>
      <w:numFmt w:val="decimal"/>
      <w:lvlText w:val="%1.%2"/>
      <w:lvlJc w:val="left"/>
      <w:pPr>
        <w:ind w:left="901" w:hanging="744"/>
        <w:jc w:val="left"/>
      </w:pPr>
      <w:rPr>
        <w:rFonts w:hint="default" w:ascii="宋体" w:hAnsi="宋体" w:eastAsia="宋体" w:cs="宋体"/>
        <w:b/>
        <w:bCs/>
        <w:w w:val="99"/>
        <w:sz w:val="21"/>
        <w:szCs w:val="21"/>
      </w:rPr>
    </w:lvl>
    <w:lvl w:ilvl="2">
      <w:start w:val="0"/>
      <w:numFmt w:val="bullet"/>
      <w:lvlText w:val="•"/>
      <w:lvlJc w:val="left"/>
      <w:pPr>
        <w:ind w:left="2764" w:hanging="744"/>
      </w:pPr>
      <w:rPr>
        <w:rFonts w:hint="default"/>
      </w:rPr>
    </w:lvl>
    <w:lvl w:ilvl="3">
      <w:start w:val="0"/>
      <w:numFmt w:val="bullet"/>
      <w:lvlText w:val="•"/>
      <w:lvlJc w:val="left"/>
      <w:pPr>
        <w:ind w:left="3697" w:hanging="744"/>
      </w:pPr>
      <w:rPr>
        <w:rFonts w:hint="default"/>
      </w:rPr>
    </w:lvl>
    <w:lvl w:ilvl="4">
      <w:start w:val="0"/>
      <w:numFmt w:val="bullet"/>
      <w:lvlText w:val="•"/>
      <w:lvlJc w:val="left"/>
      <w:pPr>
        <w:ind w:left="4629" w:hanging="744"/>
      </w:pPr>
      <w:rPr>
        <w:rFonts w:hint="default"/>
      </w:rPr>
    </w:lvl>
    <w:lvl w:ilvl="5">
      <w:start w:val="0"/>
      <w:numFmt w:val="bullet"/>
      <w:lvlText w:val="•"/>
      <w:lvlJc w:val="left"/>
      <w:pPr>
        <w:ind w:left="5562" w:hanging="744"/>
      </w:pPr>
      <w:rPr>
        <w:rFonts w:hint="default"/>
      </w:rPr>
    </w:lvl>
    <w:lvl w:ilvl="6">
      <w:start w:val="0"/>
      <w:numFmt w:val="bullet"/>
      <w:lvlText w:val="•"/>
      <w:lvlJc w:val="left"/>
      <w:pPr>
        <w:ind w:left="6494" w:hanging="744"/>
      </w:pPr>
      <w:rPr>
        <w:rFonts w:hint="default"/>
      </w:rPr>
    </w:lvl>
    <w:lvl w:ilvl="7">
      <w:start w:val="0"/>
      <w:numFmt w:val="bullet"/>
      <w:lvlText w:val="•"/>
      <w:lvlJc w:val="left"/>
      <w:pPr>
        <w:ind w:left="7427" w:hanging="744"/>
      </w:pPr>
      <w:rPr>
        <w:rFonts w:hint="default"/>
      </w:rPr>
    </w:lvl>
    <w:lvl w:ilvl="8">
      <w:start w:val="0"/>
      <w:numFmt w:val="bullet"/>
      <w:lvlText w:val="•"/>
      <w:lvlJc w:val="left"/>
      <w:pPr>
        <w:ind w:left="8359" w:hanging="744"/>
      </w:pPr>
      <w:rPr>
        <w:rFonts w:hint="default"/>
      </w:rPr>
    </w:lvl>
  </w:abstractNum>
  <w:abstractNum w:abstractNumId="5">
    <w:multiLevelType w:val="hybridMultilevel"/>
    <w:lvl w:ilvl="0">
      <w:start w:val="8"/>
      <w:numFmt w:val="decimal"/>
      <w:lvlText w:val="%1"/>
      <w:lvlJc w:val="left"/>
      <w:pPr>
        <w:ind w:left="862" w:hanging="744"/>
        <w:jc w:val="left"/>
      </w:pPr>
      <w:rPr>
        <w:rFonts w:hint="default"/>
      </w:rPr>
    </w:lvl>
    <w:lvl w:ilvl="1">
      <w:start w:val="4"/>
      <w:numFmt w:val="decimal"/>
      <w:lvlText w:val="%1.%2"/>
      <w:lvlJc w:val="left"/>
      <w:pPr>
        <w:ind w:left="2848" w:hanging="744"/>
        <w:jc w:val="left"/>
      </w:pPr>
      <w:rPr>
        <w:rFonts w:hint="default" w:ascii="宋体" w:hAnsi="宋体" w:eastAsia="宋体" w:cs="宋体"/>
        <w:b/>
        <w:bCs/>
        <w:w w:val="99"/>
        <w:sz w:val="21"/>
        <w:szCs w:val="21"/>
      </w:rPr>
    </w:lvl>
    <w:lvl w:ilvl="2">
      <w:start w:val="0"/>
      <w:numFmt w:val="bullet"/>
      <w:lvlText w:val="•"/>
      <w:lvlJc w:val="left"/>
      <w:pPr>
        <w:ind w:left="3380" w:hanging="744"/>
      </w:pPr>
      <w:rPr>
        <w:rFonts w:hint="default"/>
      </w:rPr>
    </w:lvl>
    <w:lvl w:ilvl="3">
      <w:start w:val="0"/>
      <w:numFmt w:val="bullet"/>
      <w:lvlText w:val="•"/>
      <w:lvlJc w:val="left"/>
      <w:pPr>
        <w:ind w:left="3600" w:hanging="744"/>
      </w:pPr>
      <w:rPr>
        <w:rFonts w:hint="default"/>
      </w:rPr>
    </w:lvl>
    <w:lvl w:ilvl="4">
      <w:start w:val="0"/>
      <w:numFmt w:val="bullet"/>
      <w:lvlText w:val="•"/>
      <w:lvlJc w:val="left"/>
      <w:pPr>
        <w:ind w:left="4526" w:hanging="744"/>
      </w:pPr>
      <w:rPr>
        <w:rFonts w:hint="default"/>
      </w:rPr>
    </w:lvl>
    <w:lvl w:ilvl="5">
      <w:start w:val="0"/>
      <w:numFmt w:val="bullet"/>
      <w:lvlText w:val="•"/>
      <w:lvlJc w:val="left"/>
      <w:pPr>
        <w:ind w:left="5452" w:hanging="744"/>
      </w:pPr>
      <w:rPr>
        <w:rFonts w:hint="default"/>
      </w:rPr>
    </w:lvl>
    <w:lvl w:ilvl="6">
      <w:start w:val="0"/>
      <w:numFmt w:val="bullet"/>
      <w:lvlText w:val="•"/>
      <w:lvlJc w:val="left"/>
      <w:pPr>
        <w:ind w:left="6379" w:hanging="744"/>
      </w:pPr>
      <w:rPr>
        <w:rFonts w:hint="default"/>
      </w:rPr>
    </w:lvl>
    <w:lvl w:ilvl="7">
      <w:start w:val="0"/>
      <w:numFmt w:val="bullet"/>
      <w:lvlText w:val="•"/>
      <w:lvlJc w:val="left"/>
      <w:pPr>
        <w:ind w:left="7305" w:hanging="744"/>
      </w:pPr>
      <w:rPr>
        <w:rFonts w:hint="default"/>
      </w:rPr>
    </w:lvl>
    <w:lvl w:ilvl="8">
      <w:start w:val="0"/>
      <w:numFmt w:val="bullet"/>
      <w:lvlText w:val="•"/>
      <w:lvlJc w:val="left"/>
      <w:pPr>
        <w:ind w:left="8231" w:hanging="744"/>
      </w:pPr>
      <w:rPr>
        <w:rFonts w:hint="default"/>
      </w:rPr>
    </w:lvl>
  </w:abstractNum>
  <w:abstractNum w:abstractNumId="4">
    <w:multiLevelType w:val="hybridMultilevel"/>
    <w:lvl w:ilvl="0">
      <w:start w:val="4"/>
      <w:numFmt w:val="decimal"/>
      <w:lvlText w:val="%1"/>
      <w:lvlJc w:val="left"/>
      <w:pPr>
        <w:ind w:left="962" w:hanging="743"/>
        <w:jc w:val="left"/>
      </w:pPr>
      <w:rPr>
        <w:rFonts w:hint="default"/>
      </w:rPr>
    </w:lvl>
    <w:lvl w:ilvl="1">
      <w:start w:val="1"/>
      <w:numFmt w:val="decimal"/>
      <w:lvlText w:val="%1.%2"/>
      <w:lvlJc w:val="left"/>
      <w:pPr>
        <w:ind w:left="2947" w:hanging="743"/>
        <w:jc w:val="left"/>
      </w:pPr>
      <w:rPr>
        <w:rFonts w:hint="default" w:ascii="宋体" w:hAnsi="宋体" w:eastAsia="宋体" w:cs="宋体"/>
        <w:b/>
        <w:bCs/>
        <w:spacing w:val="0"/>
        <w:w w:val="99"/>
        <w:sz w:val="21"/>
        <w:szCs w:val="21"/>
      </w:rPr>
    </w:lvl>
    <w:lvl w:ilvl="2">
      <w:start w:val="0"/>
      <w:numFmt w:val="bullet"/>
      <w:lvlText w:val="•"/>
      <w:lvlJc w:val="left"/>
      <w:pPr>
        <w:ind w:left="3756" w:hanging="743"/>
      </w:pPr>
      <w:rPr>
        <w:rFonts w:hint="default"/>
      </w:rPr>
    </w:lvl>
    <w:lvl w:ilvl="3">
      <w:start w:val="0"/>
      <w:numFmt w:val="bullet"/>
      <w:lvlText w:val="•"/>
      <w:lvlJc w:val="left"/>
      <w:pPr>
        <w:ind w:left="4572" w:hanging="743"/>
      </w:pPr>
      <w:rPr>
        <w:rFonts w:hint="default"/>
      </w:rPr>
    </w:lvl>
    <w:lvl w:ilvl="4">
      <w:start w:val="0"/>
      <w:numFmt w:val="bullet"/>
      <w:lvlText w:val="•"/>
      <w:lvlJc w:val="left"/>
      <w:pPr>
        <w:ind w:left="5388" w:hanging="743"/>
      </w:pPr>
      <w:rPr>
        <w:rFonts w:hint="default"/>
      </w:rPr>
    </w:lvl>
    <w:lvl w:ilvl="5">
      <w:start w:val="0"/>
      <w:numFmt w:val="bullet"/>
      <w:lvlText w:val="•"/>
      <w:lvlJc w:val="left"/>
      <w:pPr>
        <w:ind w:left="6204" w:hanging="743"/>
      </w:pPr>
      <w:rPr>
        <w:rFonts w:hint="default"/>
      </w:rPr>
    </w:lvl>
    <w:lvl w:ilvl="6">
      <w:start w:val="0"/>
      <w:numFmt w:val="bullet"/>
      <w:lvlText w:val="•"/>
      <w:lvlJc w:val="left"/>
      <w:pPr>
        <w:ind w:left="7020" w:hanging="743"/>
      </w:pPr>
      <w:rPr>
        <w:rFonts w:hint="default"/>
      </w:rPr>
    </w:lvl>
    <w:lvl w:ilvl="7">
      <w:start w:val="0"/>
      <w:numFmt w:val="bullet"/>
      <w:lvlText w:val="•"/>
      <w:lvlJc w:val="left"/>
      <w:pPr>
        <w:ind w:left="7836" w:hanging="743"/>
      </w:pPr>
      <w:rPr>
        <w:rFonts w:hint="default"/>
      </w:rPr>
    </w:lvl>
    <w:lvl w:ilvl="8">
      <w:start w:val="0"/>
      <w:numFmt w:val="bullet"/>
      <w:lvlText w:val="•"/>
      <w:lvlJc w:val="left"/>
      <w:pPr>
        <w:ind w:left="8652" w:hanging="743"/>
      </w:pPr>
      <w:rPr>
        <w:rFonts w:hint="default"/>
      </w:rPr>
    </w:lvl>
  </w:abstractNum>
  <w:abstractNum w:abstractNumId="3">
    <w:multiLevelType w:val="hybridMultilevel"/>
    <w:lvl w:ilvl="0">
      <w:start w:val="3"/>
      <w:numFmt w:val="decimal"/>
      <w:lvlText w:val="%1"/>
      <w:lvlJc w:val="left"/>
      <w:pPr>
        <w:ind w:left="962" w:hanging="743"/>
        <w:jc w:val="left"/>
      </w:pPr>
      <w:rPr>
        <w:rFonts w:hint="default"/>
      </w:rPr>
    </w:lvl>
    <w:lvl w:ilvl="1">
      <w:start w:val="1"/>
      <w:numFmt w:val="decimal"/>
      <w:lvlText w:val="%1.%2"/>
      <w:lvlJc w:val="left"/>
      <w:pPr>
        <w:ind w:left="2948" w:hanging="743"/>
        <w:jc w:val="left"/>
      </w:pPr>
      <w:rPr>
        <w:rFonts w:hint="default" w:ascii="宋体" w:hAnsi="宋体" w:eastAsia="宋体" w:cs="宋体"/>
        <w:b/>
        <w:bCs/>
        <w:w w:val="99"/>
        <w:sz w:val="21"/>
        <w:szCs w:val="21"/>
      </w:rPr>
    </w:lvl>
    <w:lvl w:ilvl="2">
      <w:start w:val="0"/>
      <w:numFmt w:val="bullet"/>
      <w:lvlText w:val="•"/>
      <w:lvlJc w:val="left"/>
      <w:pPr>
        <w:ind w:left="3756" w:hanging="743"/>
      </w:pPr>
      <w:rPr>
        <w:rFonts w:hint="default"/>
      </w:rPr>
    </w:lvl>
    <w:lvl w:ilvl="3">
      <w:start w:val="0"/>
      <w:numFmt w:val="bullet"/>
      <w:lvlText w:val="•"/>
      <w:lvlJc w:val="left"/>
      <w:pPr>
        <w:ind w:left="4572" w:hanging="743"/>
      </w:pPr>
      <w:rPr>
        <w:rFonts w:hint="default"/>
      </w:rPr>
    </w:lvl>
    <w:lvl w:ilvl="4">
      <w:start w:val="0"/>
      <w:numFmt w:val="bullet"/>
      <w:lvlText w:val="•"/>
      <w:lvlJc w:val="left"/>
      <w:pPr>
        <w:ind w:left="5388" w:hanging="743"/>
      </w:pPr>
      <w:rPr>
        <w:rFonts w:hint="default"/>
      </w:rPr>
    </w:lvl>
    <w:lvl w:ilvl="5">
      <w:start w:val="0"/>
      <w:numFmt w:val="bullet"/>
      <w:lvlText w:val="•"/>
      <w:lvlJc w:val="left"/>
      <w:pPr>
        <w:ind w:left="6204" w:hanging="743"/>
      </w:pPr>
      <w:rPr>
        <w:rFonts w:hint="default"/>
      </w:rPr>
    </w:lvl>
    <w:lvl w:ilvl="6">
      <w:start w:val="0"/>
      <w:numFmt w:val="bullet"/>
      <w:lvlText w:val="•"/>
      <w:lvlJc w:val="left"/>
      <w:pPr>
        <w:ind w:left="7020" w:hanging="743"/>
      </w:pPr>
      <w:rPr>
        <w:rFonts w:hint="default"/>
      </w:rPr>
    </w:lvl>
    <w:lvl w:ilvl="7">
      <w:start w:val="0"/>
      <w:numFmt w:val="bullet"/>
      <w:lvlText w:val="•"/>
      <w:lvlJc w:val="left"/>
      <w:pPr>
        <w:ind w:left="7836" w:hanging="743"/>
      </w:pPr>
      <w:rPr>
        <w:rFonts w:hint="default"/>
      </w:rPr>
    </w:lvl>
    <w:lvl w:ilvl="8">
      <w:start w:val="0"/>
      <w:numFmt w:val="bullet"/>
      <w:lvlText w:val="•"/>
      <w:lvlJc w:val="left"/>
      <w:pPr>
        <w:ind w:left="8652" w:hanging="743"/>
      </w:pPr>
      <w:rPr>
        <w:rFonts w:hint="default"/>
      </w:rPr>
    </w:lvl>
  </w:abstractNum>
  <w:abstractNum w:abstractNumId="2">
    <w:multiLevelType w:val="hybridMultilevel"/>
    <w:lvl w:ilvl="0">
      <w:start w:val="2"/>
      <w:numFmt w:val="decimal"/>
      <w:lvlText w:val="%1"/>
      <w:lvlJc w:val="left"/>
      <w:pPr>
        <w:ind w:left="2948" w:hanging="743"/>
        <w:jc w:val="left"/>
      </w:pPr>
      <w:rPr>
        <w:rFonts w:hint="default"/>
      </w:rPr>
    </w:lvl>
    <w:lvl w:ilvl="1">
      <w:start w:val="1"/>
      <w:numFmt w:val="decimal"/>
      <w:lvlText w:val="%1.%2"/>
      <w:lvlJc w:val="left"/>
      <w:pPr>
        <w:ind w:left="2948" w:hanging="743"/>
        <w:jc w:val="right"/>
      </w:pPr>
      <w:rPr>
        <w:rFonts w:hint="default" w:ascii="宋体" w:hAnsi="宋体" w:eastAsia="宋体" w:cs="宋体"/>
        <w:b/>
        <w:bCs/>
        <w:spacing w:val="0"/>
        <w:w w:val="99"/>
        <w:sz w:val="21"/>
        <w:szCs w:val="21"/>
      </w:rPr>
    </w:lvl>
    <w:lvl w:ilvl="2">
      <w:start w:val="1"/>
      <w:numFmt w:val="decimal"/>
      <w:lvlText w:val="(%3)"/>
      <w:lvlJc w:val="left"/>
      <w:pPr>
        <w:ind w:left="3473" w:hanging="421"/>
        <w:jc w:val="left"/>
      </w:pPr>
      <w:rPr>
        <w:rFonts w:hint="default" w:ascii="黑体" w:hAnsi="黑体" w:eastAsia="黑体" w:cs="黑体"/>
        <w:spacing w:val="-2"/>
        <w:w w:val="100"/>
        <w:sz w:val="21"/>
        <w:szCs w:val="21"/>
      </w:rPr>
    </w:lvl>
    <w:lvl w:ilvl="3">
      <w:start w:val="0"/>
      <w:numFmt w:val="bullet"/>
      <w:lvlText w:val="•"/>
      <w:lvlJc w:val="left"/>
      <w:pPr>
        <w:ind w:left="4992" w:hanging="421"/>
      </w:pPr>
      <w:rPr>
        <w:rFonts w:hint="default"/>
      </w:rPr>
    </w:lvl>
    <w:lvl w:ilvl="4">
      <w:start w:val="0"/>
      <w:numFmt w:val="bullet"/>
      <w:lvlText w:val="•"/>
      <w:lvlJc w:val="left"/>
      <w:pPr>
        <w:ind w:left="5748" w:hanging="421"/>
      </w:pPr>
      <w:rPr>
        <w:rFonts w:hint="default"/>
      </w:rPr>
    </w:lvl>
    <w:lvl w:ilvl="5">
      <w:start w:val="0"/>
      <w:numFmt w:val="bullet"/>
      <w:lvlText w:val="•"/>
      <w:lvlJc w:val="left"/>
      <w:pPr>
        <w:ind w:left="6504" w:hanging="421"/>
      </w:pPr>
      <w:rPr>
        <w:rFonts w:hint="default"/>
      </w:rPr>
    </w:lvl>
    <w:lvl w:ilvl="6">
      <w:start w:val="0"/>
      <w:numFmt w:val="bullet"/>
      <w:lvlText w:val="•"/>
      <w:lvlJc w:val="left"/>
      <w:pPr>
        <w:ind w:left="7260" w:hanging="421"/>
      </w:pPr>
      <w:rPr>
        <w:rFonts w:hint="default"/>
      </w:rPr>
    </w:lvl>
    <w:lvl w:ilvl="7">
      <w:start w:val="0"/>
      <w:numFmt w:val="bullet"/>
      <w:lvlText w:val="•"/>
      <w:lvlJc w:val="left"/>
      <w:pPr>
        <w:ind w:left="8016" w:hanging="421"/>
      </w:pPr>
      <w:rPr>
        <w:rFonts w:hint="default"/>
      </w:rPr>
    </w:lvl>
    <w:lvl w:ilvl="8">
      <w:start w:val="0"/>
      <w:numFmt w:val="bullet"/>
      <w:lvlText w:val="•"/>
      <w:lvlJc w:val="left"/>
      <w:pPr>
        <w:ind w:left="8772" w:hanging="421"/>
      </w:pPr>
      <w:rPr>
        <w:rFonts w:hint="default"/>
      </w:rPr>
    </w:lvl>
  </w:abstractNum>
  <w:abstractNum w:abstractNumId="1">
    <w:multiLevelType w:val="hybridMultilevel"/>
    <w:lvl w:ilvl="0">
      <w:start w:val="1"/>
      <w:numFmt w:val="decimal"/>
      <w:lvlText w:val="%1"/>
      <w:lvlJc w:val="left"/>
      <w:pPr>
        <w:ind w:left="2948" w:hanging="743"/>
        <w:jc w:val="left"/>
      </w:pPr>
      <w:rPr>
        <w:rFonts w:hint="default"/>
      </w:rPr>
    </w:lvl>
    <w:lvl w:ilvl="1">
      <w:start w:val="1"/>
      <w:numFmt w:val="decimal"/>
      <w:lvlText w:val="%1.%2"/>
      <w:lvlJc w:val="left"/>
      <w:pPr>
        <w:ind w:left="2948" w:hanging="743"/>
        <w:jc w:val="left"/>
      </w:pPr>
      <w:rPr>
        <w:rFonts w:hint="default" w:ascii="宋体" w:hAnsi="宋体" w:eastAsia="宋体" w:cs="宋体"/>
        <w:b/>
        <w:bCs/>
        <w:w w:val="99"/>
        <w:sz w:val="21"/>
        <w:szCs w:val="21"/>
      </w:rPr>
    </w:lvl>
    <w:lvl w:ilvl="2">
      <w:start w:val="0"/>
      <w:numFmt w:val="bullet"/>
      <w:lvlText w:val="•"/>
      <w:lvlJc w:val="left"/>
      <w:pPr>
        <w:ind w:left="4408" w:hanging="743"/>
      </w:pPr>
      <w:rPr>
        <w:rFonts w:hint="default"/>
      </w:rPr>
    </w:lvl>
    <w:lvl w:ilvl="3">
      <w:start w:val="0"/>
      <w:numFmt w:val="bullet"/>
      <w:lvlText w:val="•"/>
      <w:lvlJc w:val="left"/>
      <w:pPr>
        <w:ind w:left="5143" w:hanging="743"/>
      </w:pPr>
      <w:rPr>
        <w:rFonts w:hint="default"/>
      </w:rPr>
    </w:lvl>
    <w:lvl w:ilvl="4">
      <w:start w:val="0"/>
      <w:numFmt w:val="bullet"/>
      <w:lvlText w:val="•"/>
      <w:lvlJc w:val="left"/>
      <w:pPr>
        <w:ind w:left="5877" w:hanging="743"/>
      </w:pPr>
      <w:rPr>
        <w:rFonts w:hint="default"/>
      </w:rPr>
    </w:lvl>
    <w:lvl w:ilvl="5">
      <w:start w:val="0"/>
      <w:numFmt w:val="bullet"/>
      <w:lvlText w:val="•"/>
      <w:lvlJc w:val="left"/>
      <w:pPr>
        <w:ind w:left="6612" w:hanging="743"/>
      </w:pPr>
      <w:rPr>
        <w:rFonts w:hint="default"/>
      </w:rPr>
    </w:lvl>
    <w:lvl w:ilvl="6">
      <w:start w:val="0"/>
      <w:numFmt w:val="bullet"/>
      <w:lvlText w:val="•"/>
      <w:lvlJc w:val="left"/>
      <w:pPr>
        <w:ind w:left="7346" w:hanging="743"/>
      </w:pPr>
      <w:rPr>
        <w:rFonts w:hint="default"/>
      </w:rPr>
    </w:lvl>
    <w:lvl w:ilvl="7">
      <w:start w:val="0"/>
      <w:numFmt w:val="bullet"/>
      <w:lvlText w:val="•"/>
      <w:lvlJc w:val="left"/>
      <w:pPr>
        <w:ind w:left="8081" w:hanging="743"/>
      </w:pPr>
      <w:rPr>
        <w:rFonts w:hint="default"/>
      </w:rPr>
    </w:lvl>
    <w:lvl w:ilvl="8">
      <w:start w:val="0"/>
      <w:numFmt w:val="bullet"/>
      <w:lvlText w:val="•"/>
      <w:lvlJc w:val="left"/>
      <w:pPr>
        <w:ind w:left="8815" w:hanging="743"/>
      </w:pPr>
      <w:rPr>
        <w:rFonts w:hint="default"/>
      </w:rPr>
    </w:lvl>
  </w:abstractNum>
  <w:abstractNum w:abstractNumId="0">
    <w:multiLevelType w:val="hybridMultilevel"/>
    <w:lvl w:ilvl="0">
      <w:start w:val="0"/>
      <w:numFmt w:val="bullet"/>
      <w:lvlText w:val=""/>
      <w:lvlJc w:val="left"/>
      <w:pPr>
        <w:ind w:left="1773" w:hanging="420"/>
      </w:pPr>
      <w:rPr>
        <w:rFonts w:hint="default" w:ascii="Wingdings" w:hAnsi="Wingdings" w:eastAsia="Wingdings" w:cs="Wingdings"/>
        <w:w w:val="100"/>
        <w:sz w:val="21"/>
        <w:szCs w:val="21"/>
      </w:rPr>
    </w:lvl>
    <w:lvl w:ilvl="1">
      <w:start w:val="0"/>
      <w:numFmt w:val="bullet"/>
      <w:lvlText w:val="•"/>
      <w:lvlJc w:val="left"/>
      <w:pPr>
        <w:ind w:left="2646" w:hanging="420"/>
      </w:pPr>
      <w:rPr>
        <w:rFonts w:hint="default"/>
      </w:rPr>
    </w:lvl>
    <w:lvl w:ilvl="2">
      <w:start w:val="0"/>
      <w:numFmt w:val="bullet"/>
      <w:lvlText w:val="•"/>
      <w:lvlJc w:val="left"/>
      <w:pPr>
        <w:ind w:left="3512" w:hanging="420"/>
      </w:pPr>
      <w:rPr>
        <w:rFonts w:hint="default"/>
      </w:rPr>
    </w:lvl>
    <w:lvl w:ilvl="3">
      <w:start w:val="0"/>
      <w:numFmt w:val="bullet"/>
      <w:lvlText w:val="•"/>
      <w:lvlJc w:val="left"/>
      <w:pPr>
        <w:ind w:left="4379" w:hanging="420"/>
      </w:pPr>
      <w:rPr>
        <w:rFonts w:hint="default"/>
      </w:rPr>
    </w:lvl>
    <w:lvl w:ilvl="4">
      <w:start w:val="0"/>
      <w:numFmt w:val="bullet"/>
      <w:lvlText w:val="•"/>
      <w:lvlJc w:val="left"/>
      <w:pPr>
        <w:ind w:left="5245" w:hanging="420"/>
      </w:pPr>
      <w:rPr>
        <w:rFonts w:hint="default"/>
      </w:rPr>
    </w:lvl>
    <w:lvl w:ilvl="5">
      <w:start w:val="0"/>
      <w:numFmt w:val="bullet"/>
      <w:lvlText w:val="•"/>
      <w:lvlJc w:val="left"/>
      <w:pPr>
        <w:ind w:left="6112" w:hanging="420"/>
      </w:pPr>
      <w:rPr>
        <w:rFonts w:hint="default"/>
      </w:rPr>
    </w:lvl>
    <w:lvl w:ilvl="6">
      <w:start w:val="0"/>
      <w:numFmt w:val="bullet"/>
      <w:lvlText w:val="•"/>
      <w:lvlJc w:val="left"/>
      <w:pPr>
        <w:ind w:left="6978" w:hanging="420"/>
      </w:pPr>
      <w:rPr>
        <w:rFonts w:hint="default"/>
      </w:rPr>
    </w:lvl>
    <w:lvl w:ilvl="7">
      <w:start w:val="0"/>
      <w:numFmt w:val="bullet"/>
      <w:lvlText w:val="•"/>
      <w:lvlJc w:val="left"/>
      <w:pPr>
        <w:ind w:left="7845" w:hanging="420"/>
      </w:pPr>
      <w:rPr>
        <w:rFonts w:hint="default"/>
      </w:rPr>
    </w:lvl>
    <w:lvl w:ilvl="8">
      <w:start w:val="0"/>
      <w:numFmt w:val="bullet"/>
      <w:lvlText w:val="•"/>
      <w:lvlJc w:val="left"/>
      <w:pPr>
        <w:ind w:left="8711" w:hanging="420"/>
      </w:pPr>
      <w:rPr>
        <w:rFonts w:hint="default"/>
      </w:rPr>
    </w:lvl>
  </w:abstractNum>
  <w:num w:numId="7">
    <w:abstractNumId w:val="6"/>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429"/>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53"/>
      <w:ind w:left="219"/>
      <w:outlineLvl w:val="2"/>
    </w:pPr>
    <w:rPr>
      <w:rFonts w:ascii="宋体" w:hAnsi="宋体" w:eastAsia="宋体" w:cs="宋体"/>
      <w:b/>
      <w:bCs/>
      <w:sz w:val="24"/>
      <w:szCs w:val="24"/>
    </w:rPr>
  </w:style>
  <w:style w:styleId="Heading3" w:type="paragraph">
    <w:name w:val="Heading 3"/>
    <w:basedOn w:val="Normal"/>
    <w:uiPriority w:val="1"/>
    <w:qFormat/>
    <w:pPr>
      <w:ind w:right="157"/>
      <w:jc w:val="center"/>
      <w:outlineLvl w:val="3"/>
    </w:pPr>
    <w:rPr>
      <w:rFonts w:ascii="宋体" w:hAnsi="宋体" w:eastAsia="宋体" w:cs="宋体"/>
      <w:sz w:val="24"/>
      <w:szCs w:val="24"/>
    </w:rPr>
  </w:style>
  <w:style w:styleId="Heading4" w:type="paragraph">
    <w:name w:val="Heading 4"/>
    <w:basedOn w:val="Normal"/>
    <w:uiPriority w:val="1"/>
    <w:qFormat/>
    <w:pPr>
      <w:ind w:left="1967"/>
      <w:outlineLvl w:val="4"/>
    </w:pPr>
    <w:rPr>
      <w:rFonts w:ascii="宋体" w:hAnsi="宋体" w:eastAsia="宋体" w:cs="宋体"/>
      <w:b/>
      <w:bCs/>
      <w:sz w:val="22"/>
      <w:szCs w:val="22"/>
    </w:rPr>
  </w:style>
  <w:style w:styleId="Heading5" w:type="paragraph">
    <w:name w:val="Heading 5"/>
    <w:basedOn w:val="Normal"/>
    <w:uiPriority w:val="1"/>
    <w:qFormat/>
    <w:pPr>
      <w:spacing w:before="24"/>
      <w:ind w:left="1968"/>
      <w:outlineLvl w:val="5"/>
    </w:pPr>
    <w:rPr>
      <w:rFonts w:ascii="宋体" w:hAnsi="宋体" w:eastAsia="宋体" w:cs="宋体"/>
      <w:sz w:val="22"/>
      <w:szCs w:val="22"/>
    </w:rPr>
  </w:style>
  <w:style w:styleId="Heading6" w:type="paragraph">
    <w:name w:val="Heading 6"/>
    <w:basedOn w:val="Normal"/>
    <w:uiPriority w:val="1"/>
    <w:qFormat/>
    <w:pPr>
      <w:ind w:left="1968"/>
      <w:outlineLvl w:val="6"/>
    </w:pPr>
    <w:rPr>
      <w:rFonts w:ascii="宋体" w:hAnsi="宋体" w:eastAsia="宋体" w:cs="宋体"/>
      <w:b/>
      <w:bCs/>
      <w:sz w:val="21"/>
      <w:szCs w:val="21"/>
    </w:rPr>
  </w:style>
  <w:style w:styleId="ListParagraph" w:type="paragraph">
    <w:name w:val="List Paragraph"/>
    <w:basedOn w:val="Normal"/>
    <w:uiPriority w:val="1"/>
    <w:qFormat/>
    <w:pPr>
      <w:ind w:left="1773" w:hanging="2729"/>
    </w:pPr>
    <w:rPr>
      <w:rFonts w:ascii="宋体" w:hAnsi="宋体" w:eastAsia="宋体" w:cs="宋体"/>
    </w:rPr>
  </w:style>
  <w:style w:styleId="TableParagraph" w:type="paragraph">
    <w:name w:val="Table Paragraph"/>
    <w:basedOn w:val="Normal"/>
    <w:uiPriority w:val="1"/>
    <w:qFormat/>
    <w:pPr>
      <w:spacing w:line="275" w:lineRule="exact"/>
      <w:jc w:val="center"/>
    </w:pPr>
    <w:rPr>
      <w:rFonts w:ascii="黑体" w:hAnsi="黑体" w:eastAsia="黑体" w:cs="黑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zhangqq</dc:creator>
  <dc:title>&lt;4D6963726F736F667420576F7264202D2031352D332EB9FABBAAB8BDBCD3CDF2C4DCCCE1C7B0B8F8B8B6D6D8B4F3BCB2B2A1B1A3CFD5CCF5BFEEA3A8D3D0B6FECEACC2EBA3A95FB9FABBAACAD9B7A25B323030395D3934BAC55F&gt;</dc:title>
  <dcterms:created xsi:type="dcterms:W3CDTF">2018-10-19T21:27:06Z</dcterms:created>
  <dcterms:modified xsi:type="dcterms:W3CDTF">2018-10-19T21:27:06Z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PScript5.dll Version 5.2.2</vt:lpwstr>
  </property>
  <property fmtid="{D5CDD505-2E9C-101B-9397-08002B2CF9AE}" pid="4" name="LastSaved">
    <vt:filetime>2018-10-19T00:00:00Z</vt:filetime>
  </property>
</Properties>
</file>