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الخطة الاستراتيجية المؤسسية</w:t>
      </w:r>
    </w:p>
    <w:p>
      <w:r>
        <w:t>الاستراتيجية: رؤية 2030 المؤسسية للتحول الرقمي والتميز التشغيلي.</w:t>
      </w:r>
    </w:p>
    <w:p>
      <w:r>
        <w:t>الأهداف الاستراتيجية: رفع كفاءة الخدمات الرقمية، تعزيز الأمن السيبراني.</w:t>
      </w:r>
    </w:p>
    <w:p>
      <w:r>
        <w:t>السياسات: سياسة أمن المعلومات، سياسة حوكمة تقنية المعلومات، سياسة إدارة المخاطر.</w:t>
      </w:r>
    </w:p>
    <w:p>
      <w:r>
        <w:t>الإجراءات: إجراء إدارة التغيير، إجراء الاستجابة للحوادث.</w:t>
      </w:r>
    </w:p>
    <w:p>
      <w:r>
        <w:t>مؤشرات الأداء: جاهزية الأنظمة 99.2%، زمن الاستجابة 42 دقيقة.</w:t>
      </w:r>
    </w:p>
    <w:p>
      <w:r>
        <w:t>الملاك: الإدارة التنفيذية، مكتب الحوكمة، إدارة الأمن السيبراني.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