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z963itlp5flk" w:id="0"/>
      <w:bookmarkEnd w:id="0"/>
      <w:r w:rsidDel="00000000" w:rsidR="00000000" w:rsidRPr="00000000">
        <w:rPr>
          <w:b w:val="1"/>
          <w:color w:val="000000"/>
          <w:sz w:val="26"/>
          <w:szCs w:val="26"/>
          <w:rtl w:val="0"/>
        </w:rPr>
        <w:t xml:space="preserve">Analyse SWOT</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Forces</w:t>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b w:val="1"/>
          <w:rtl w:val="0"/>
        </w:rPr>
        <w:t xml:space="preserve">Accessibilité multiplateforme</w:t>
      </w:r>
      <w:r w:rsidDel="00000000" w:rsidR="00000000" w:rsidRPr="00000000">
        <w:rPr>
          <w:rtl w:val="0"/>
        </w:rPr>
        <w:t xml:space="preserve"> : La plateforme propose divers points d'accès (application mobile, site web, service USSD), ce qui la rend inclusive pour différents types d'utilisateurs, y compris ceux dans les zones rurales avec un accès Internet limité.</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b w:val="1"/>
          <w:rtl w:val="0"/>
        </w:rPr>
        <w:t xml:space="preserve">Large gamme de services</w:t>
      </w:r>
      <w:r w:rsidDel="00000000" w:rsidR="00000000" w:rsidRPr="00000000">
        <w:rPr>
          <w:rtl w:val="0"/>
        </w:rPr>
        <w:t xml:space="preserve"> : En couvrant plusieurs métiers (mécaniciens, électriciens, plombiers, menuisiers, etc.), la plateforme devient une solution unique pour les clients recherchant différents types de services.</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rtl w:val="0"/>
        </w:rPr>
        <w:t xml:space="preserve">Transparence et confiance</w:t>
      </w:r>
      <w:r w:rsidDel="00000000" w:rsidR="00000000" w:rsidRPr="00000000">
        <w:rPr>
          <w:rtl w:val="0"/>
        </w:rPr>
        <w:t xml:space="preserve"> : Des fonctionnalités telles que les profils vérifiés, les avis clients et les évaluations contribuent à établir la confiance entre les artisans et les clients, répondant au problème courant de la dépendance aux recommandations personnelles.</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b w:val="1"/>
          <w:rtl w:val="0"/>
        </w:rPr>
        <w:t xml:space="preserve">Technologie inclusive</w:t>
      </w:r>
      <w:r w:rsidDel="00000000" w:rsidR="00000000" w:rsidRPr="00000000">
        <w:rPr>
          <w:rtl w:val="0"/>
        </w:rPr>
        <w:t xml:space="preserve"> : L'inclusion du service USSD pour les utilisateurs sans smartphones garantit l'accessibilité, en particulier en Afrique, où l'utilisation de téléphones basiques est encore répandue.</w:t>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b w:val="1"/>
          <w:rtl w:val="0"/>
        </w:rPr>
        <w:t xml:space="preserve">Scalabilité</w:t>
      </w:r>
      <w:r w:rsidDel="00000000" w:rsidR="00000000" w:rsidRPr="00000000">
        <w:rPr>
          <w:rtl w:val="0"/>
        </w:rPr>
        <w:t xml:space="preserve"> : La plateforme est évolutive, permettant une expansion facile dans de nouvelles régions et la possibilité d'ajouter davantage de services ou de fonctionnalités au besoin.</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Faiblesses</w:t>
      </w:r>
    </w:p>
    <w:p w:rsidR="00000000" w:rsidDel="00000000" w:rsidP="00000000" w:rsidRDefault="00000000" w:rsidRPr="00000000" w14:paraId="00000009">
      <w:pPr>
        <w:numPr>
          <w:ilvl w:val="0"/>
          <w:numId w:val="2"/>
        </w:numPr>
        <w:spacing w:after="0" w:afterAutospacing="0" w:before="240" w:lineRule="auto"/>
        <w:ind w:left="720" w:hanging="360"/>
      </w:pPr>
      <w:r w:rsidDel="00000000" w:rsidR="00000000" w:rsidRPr="00000000">
        <w:rPr>
          <w:b w:val="1"/>
          <w:rtl w:val="0"/>
        </w:rPr>
        <w:t xml:space="preserve">Résistance à l'adoption par les utilisateurs</w:t>
      </w:r>
      <w:r w:rsidDel="00000000" w:rsidR="00000000" w:rsidRPr="00000000">
        <w:rPr>
          <w:rtl w:val="0"/>
        </w:rPr>
        <w:t xml:space="preserve"> : De nombreuses personnes en Afrique s'appuient encore sur des recommandations personnelles, et les convaincre de passer à une plateforme numérique peut être difficile.</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b w:val="1"/>
          <w:rtl w:val="0"/>
        </w:rPr>
        <w:t xml:space="preserve">Barrière de confiance initiale</w:t>
      </w:r>
      <w:r w:rsidDel="00000000" w:rsidR="00000000" w:rsidRPr="00000000">
        <w:rPr>
          <w:rtl w:val="0"/>
        </w:rPr>
        <w:t xml:space="preserve"> : Les utilisateurs peuvent être réticents à faire confiance à une nouvelle plateforme sans crédibilité établie, surtout lorsqu'il s'agit de métiers qui reposent traditionnellement sur des interactions en face à face.</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b w:val="1"/>
          <w:rtl w:val="0"/>
        </w:rPr>
        <w:t xml:space="preserve">Coûts opérationnels</w:t>
      </w:r>
      <w:r w:rsidDel="00000000" w:rsidR="00000000" w:rsidRPr="00000000">
        <w:rPr>
          <w:rtl w:val="0"/>
        </w:rPr>
        <w:t xml:space="preserve"> : La maintenance continue de la plateforme, le support client, le marketing et la conformité légale pourraient entraîner des coûts opérationnels élevés, surtout au cours des premières étapes.</w:t>
      </w:r>
    </w:p>
    <w:p w:rsidR="00000000" w:rsidDel="00000000" w:rsidP="00000000" w:rsidRDefault="00000000" w:rsidRPr="00000000" w14:paraId="0000000C">
      <w:pPr>
        <w:numPr>
          <w:ilvl w:val="0"/>
          <w:numId w:val="2"/>
        </w:numPr>
        <w:spacing w:after="240" w:before="0" w:beforeAutospacing="0" w:lineRule="auto"/>
        <w:ind w:left="720" w:hanging="360"/>
      </w:pPr>
      <w:r w:rsidDel="00000000" w:rsidR="00000000" w:rsidRPr="00000000">
        <w:rPr>
          <w:b w:val="1"/>
          <w:rtl w:val="0"/>
        </w:rPr>
        <w:t xml:space="preserve">Dépendance aux réseaux Internet et mobiles</w:t>
      </w:r>
      <w:r w:rsidDel="00000000" w:rsidR="00000000" w:rsidRPr="00000000">
        <w:rPr>
          <w:rtl w:val="0"/>
        </w:rPr>
        <w:t xml:space="preserve"> : Dans certaines zones, une mauvaise connectivité Internet ou une infrastructure de réseau mobile limitée pourrait restreindre l'accès à l'application et au site web, malgré la fonctionnalité USSD.</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Opportunités</w:t>
      </w:r>
    </w:p>
    <w:p w:rsidR="00000000" w:rsidDel="00000000" w:rsidP="00000000" w:rsidRDefault="00000000" w:rsidRPr="00000000" w14:paraId="0000000E">
      <w:pPr>
        <w:numPr>
          <w:ilvl w:val="0"/>
          <w:numId w:val="4"/>
        </w:numPr>
        <w:spacing w:after="0" w:afterAutospacing="0" w:before="240" w:lineRule="auto"/>
        <w:ind w:left="720" w:hanging="360"/>
      </w:pPr>
      <w:r w:rsidDel="00000000" w:rsidR="00000000" w:rsidRPr="00000000">
        <w:rPr>
          <w:b w:val="1"/>
          <w:rtl w:val="0"/>
        </w:rPr>
        <w:t xml:space="preserve">Augmentation de l'utilisation des smartphones et de l'accès à Internet</w:t>
      </w:r>
      <w:r w:rsidDel="00000000" w:rsidR="00000000" w:rsidRPr="00000000">
        <w:rPr>
          <w:rtl w:val="0"/>
        </w:rPr>
        <w:t xml:space="preserve"> : Avec l'augmentation de l'utilisation des smartphones et de l'accès à Internet en Afrique, un plus grand nombre de personnes sont susceptibles de se tourner vers des solutions numériques pour des services quotidiens.</w:t>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b w:val="1"/>
          <w:rtl w:val="0"/>
        </w:rPr>
        <w:t xml:space="preserve">Partenariats avec des gouvernements et des ONG</w:t>
      </w:r>
      <w:r w:rsidDel="00000000" w:rsidR="00000000" w:rsidRPr="00000000">
        <w:rPr>
          <w:rtl w:val="0"/>
        </w:rPr>
        <w:t xml:space="preserve"> : Les gouvernements et les ONG axés sur la création d'emplois et le développement des compétences pourraient être intéressés à s'associer avec la plateforme pour soutenir les artisans et améliorer la prestation de services.</w:t>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b w:val="1"/>
          <w:rtl w:val="0"/>
        </w:rPr>
        <w:t xml:space="preserve">Expansion vers de nouveaux marchés</w:t>
      </w:r>
      <w:r w:rsidDel="00000000" w:rsidR="00000000" w:rsidRPr="00000000">
        <w:rPr>
          <w:rtl w:val="0"/>
        </w:rPr>
        <w:t xml:space="preserve"> : La plateforme pourrait être facilement étendue à d'autres régions d'Afrique ou offrir des services supplémentaires (par exemple, nettoyage à domicile, jardinage) pour attirer une clientèle plus large.</w:t>
      </w:r>
    </w:p>
    <w:p w:rsidR="00000000" w:rsidDel="00000000" w:rsidP="00000000" w:rsidRDefault="00000000" w:rsidRPr="00000000" w14:paraId="00000011">
      <w:pPr>
        <w:numPr>
          <w:ilvl w:val="0"/>
          <w:numId w:val="4"/>
        </w:numPr>
        <w:spacing w:after="0" w:afterAutospacing="0" w:before="0" w:beforeAutospacing="0" w:lineRule="auto"/>
        <w:ind w:left="720" w:hanging="360"/>
      </w:pPr>
      <w:r w:rsidDel="00000000" w:rsidR="00000000" w:rsidRPr="00000000">
        <w:rPr>
          <w:b w:val="1"/>
          <w:rtl w:val="0"/>
        </w:rPr>
        <w:t xml:space="preserve">Programmes de formation et de certification</w:t>
      </w:r>
      <w:r w:rsidDel="00000000" w:rsidR="00000000" w:rsidRPr="00000000">
        <w:rPr>
          <w:rtl w:val="0"/>
        </w:rPr>
        <w:t xml:space="preserve"> : S'associer à des organisations pour former et certifier les artisans pourrait augmenter la crédibilité de ceux qui sont répertoriés sur la plateforme, entraînant de meilleures expériences et confiance des clients.</w:t>
      </w:r>
    </w:p>
    <w:p w:rsidR="00000000" w:rsidDel="00000000" w:rsidP="00000000" w:rsidRDefault="00000000" w:rsidRPr="00000000" w14:paraId="00000012">
      <w:pPr>
        <w:numPr>
          <w:ilvl w:val="0"/>
          <w:numId w:val="4"/>
        </w:numPr>
        <w:spacing w:after="240" w:before="0" w:beforeAutospacing="0" w:lineRule="auto"/>
        <w:ind w:left="720" w:hanging="360"/>
      </w:pPr>
      <w:r w:rsidDel="00000000" w:rsidR="00000000" w:rsidRPr="00000000">
        <w:rPr>
          <w:b w:val="1"/>
          <w:rtl w:val="0"/>
        </w:rPr>
        <w:t xml:space="preserve">Services d'assurance et de garantie</w:t>
      </w:r>
      <w:r w:rsidDel="00000000" w:rsidR="00000000" w:rsidRPr="00000000">
        <w:rPr>
          <w:rtl w:val="0"/>
        </w:rPr>
        <w:t xml:space="preserve"> : L'ajout de services à valeur ajoutée comme l'assurance ou les garanties pour les tâches peut renforcer la confiance des clients et fournir des sources de revenus supplémentaires.</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Menaces</w:t>
      </w:r>
    </w:p>
    <w:p w:rsidR="00000000" w:rsidDel="00000000" w:rsidP="00000000" w:rsidRDefault="00000000" w:rsidRPr="00000000" w14:paraId="00000014">
      <w:pPr>
        <w:numPr>
          <w:ilvl w:val="0"/>
          <w:numId w:val="3"/>
        </w:numPr>
        <w:spacing w:after="0" w:afterAutospacing="0" w:before="240" w:lineRule="auto"/>
        <w:ind w:left="720" w:hanging="360"/>
      </w:pPr>
      <w:r w:rsidDel="00000000" w:rsidR="00000000" w:rsidRPr="00000000">
        <w:rPr>
          <w:b w:val="1"/>
          <w:rtl w:val="0"/>
        </w:rPr>
        <w:t xml:space="preserve">Concurrence des plateformes traditionnelles et émergentes</w:t>
      </w:r>
      <w:r w:rsidDel="00000000" w:rsidR="00000000" w:rsidRPr="00000000">
        <w:rPr>
          <w:rtl w:val="0"/>
        </w:rPr>
        <w:t xml:space="preserve"> : Les concurrents, qu'ils soient traditionnels (recommandations personnelles) ou émergents (autres plateformes numériques), peuvent représenter une menace. Les utilisateurs pourraient préférer les concurrents s'ils offrent des prix plus bas, de meilleures évaluations ou plus d'artisans.</w:t>
      </w:r>
    </w:p>
    <w:p w:rsidR="00000000" w:rsidDel="00000000" w:rsidP="00000000" w:rsidRDefault="00000000" w:rsidRPr="00000000" w14:paraId="00000015">
      <w:pPr>
        <w:numPr>
          <w:ilvl w:val="0"/>
          <w:numId w:val="3"/>
        </w:numPr>
        <w:spacing w:after="0" w:afterAutospacing="0" w:before="0" w:beforeAutospacing="0" w:lineRule="auto"/>
        <w:ind w:left="720" w:hanging="360"/>
      </w:pPr>
      <w:r w:rsidDel="00000000" w:rsidR="00000000" w:rsidRPr="00000000">
        <w:rPr>
          <w:b w:val="1"/>
          <w:rtl w:val="0"/>
        </w:rPr>
        <w:t xml:space="preserve">Changements réglementaires</w:t>
      </w:r>
      <w:r w:rsidDel="00000000" w:rsidR="00000000" w:rsidRPr="00000000">
        <w:rPr>
          <w:rtl w:val="0"/>
        </w:rPr>
        <w:t xml:space="preserve"> : Les modifications des lois du travail, des réglementations sur les transactions numériques ou des exigences de licence pour les artisans pourraient impacter les opérations et la scalabilité de la plateforme.</w:t>
      </w:r>
    </w:p>
    <w:p w:rsidR="00000000" w:rsidDel="00000000" w:rsidP="00000000" w:rsidRDefault="00000000" w:rsidRPr="00000000" w14:paraId="00000016">
      <w:pPr>
        <w:numPr>
          <w:ilvl w:val="0"/>
          <w:numId w:val="3"/>
        </w:numPr>
        <w:spacing w:after="0" w:afterAutospacing="0" w:before="0" w:beforeAutospacing="0" w:lineRule="auto"/>
        <w:ind w:left="720" w:hanging="360"/>
      </w:pPr>
      <w:r w:rsidDel="00000000" w:rsidR="00000000" w:rsidRPr="00000000">
        <w:rPr>
          <w:b w:val="1"/>
          <w:rtl w:val="0"/>
        </w:rPr>
        <w:t xml:space="preserve">Instabilité économique</w:t>
      </w:r>
      <w:r w:rsidDel="00000000" w:rsidR="00000000" w:rsidRPr="00000000">
        <w:rPr>
          <w:rtl w:val="0"/>
        </w:rPr>
        <w:t xml:space="preserve"> : Les fluctuations économiques, en particulier dans les régions à faible revenu, pourraient réduire le nombre de personnes capables de payer pour les services d'artisans, limitant ainsi le potentiel de croissance de la plateforme.</w:t>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b w:val="1"/>
          <w:rtl w:val="0"/>
        </w:rPr>
        <w:t xml:space="preserve">Risques liés à la confidentialité et à la sécurité des données</w:t>
      </w:r>
      <w:r w:rsidDel="00000000" w:rsidR="00000000" w:rsidRPr="00000000">
        <w:rPr>
          <w:rtl w:val="0"/>
        </w:rPr>
        <w:t xml:space="preserve"> : Toute violation de données ou non-conformité aux réglementations sur la confidentialité pourrait nuire à la réputation de la plateforme et dissuader les utilisateurs de l'utiliser.</w:t>
      </w:r>
    </w:p>
    <w:p w:rsidR="00000000" w:rsidDel="00000000" w:rsidP="00000000" w:rsidRDefault="00000000" w:rsidRPr="00000000" w14:paraId="00000018">
      <w:pPr>
        <w:numPr>
          <w:ilvl w:val="0"/>
          <w:numId w:val="3"/>
        </w:numPr>
        <w:spacing w:after="240" w:before="0" w:beforeAutospacing="0" w:lineRule="auto"/>
        <w:ind w:left="720" w:hanging="360"/>
      </w:pPr>
      <w:r w:rsidDel="00000000" w:rsidR="00000000" w:rsidRPr="00000000">
        <w:rPr>
          <w:b w:val="1"/>
          <w:rtl w:val="0"/>
        </w:rPr>
        <w:t xml:space="preserve">Dépendance aux réseaux mobiles</w:t>
      </w:r>
      <w:r w:rsidDel="00000000" w:rsidR="00000000" w:rsidRPr="00000000">
        <w:rPr>
          <w:rtl w:val="0"/>
        </w:rPr>
        <w:t xml:space="preserve"> : Une couverture réseau mobile médiocre ou instable dans certaines régions peut entraver l'efficacité du service USSD et affecter l'expérience utilisateur.</w:t>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