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26"/>
          <w:szCs w:val="26"/>
          <w:u w:val="single"/>
        </w:rPr>
      </w:pPr>
      <w:r w:rsidDel="00000000" w:rsidR="00000000" w:rsidRPr="00000000">
        <w:rPr>
          <w:b w:val="1"/>
          <w:sz w:val="26"/>
          <w:szCs w:val="26"/>
          <w:u w:val="single"/>
          <w:rtl w:val="0"/>
        </w:rPr>
        <w:t xml:space="preserve">PESTEL</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Politique</w:t>
      </w:r>
    </w:p>
    <w:p w:rsidR="00000000" w:rsidDel="00000000" w:rsidP="00000000" w:rsidRDefault="00000000" w:rsidRPr="00000000" w14:paraId="00000003">
      <w:pPr>
        <w:numPr>
          <w:ilvl w:val="0"/>
          <w:numId w:val="4"/>
        </w:numPr>
        <w:spacing w:after="0" w:afterAutospacing="0" w:before="240" w:lineRule="auto"/>
        <w:ind w:left="720" w:hanging="360"/>
      </w:pPr>
      <w:r w:rsidDel="00000000" w:rsidR="00000000" w:rsidRPr="00000000">
        <w:rPr>
          <w:b w:val="1"/>
          <w:rtl w:val="0"/>
        </w:rPr>
        <w:t xml:space="preserve">Réglementations sur les services</w:t>
      </w:r>
      <w:r w:rsidDel="00000000" w:rsidR="00000000" w:rsidRPr="00000000">
        <w:rPr>
          <w:rtl w:val="0"/>
        </w:rPr>
        <w:t xml:space="preserve"> : Certains pays africains ont des réglementations strictes concernant les entreprises de services, y compris les métiers comme la plomberie et l’électricité. Le respect des lois locales sur les licences et le travail est essentiel.</w:t>
      </w:r>
    </w:p>
    <w:p w:rsidR="00000000" w:rsidDel="00000000" w:rsidP="00000000" w:rsidRDefault="00000000" w:rsidRPr="00000000" w14:paraId="00000004">
      <w:pPr>
        <w:numPr>
          <w:ilvl w:val="0"/>
          <w:numId w:val="4"/>
        </w:numPr>
        <w:spacing w:after="0" w:afterAutospacing="0" w:before="0" w:beforeAutospacing="0" w:lineRule="auto"/>
        <w:ind w:left="720" w:hanging="360"/>
      </w:pPr>
      <w:r w:rsidDel="00000000" w:rsidR="00000000" w:rsidRPr="00000000">
        <w:rPr>
          <w:b w:val="1"/>
          <w:rtl w:val="0"/>
        </w:rPr>
        <w:t xml:space="preserve">Initiatives gouvernementales</w:t>
      </w:r>
      <w:r w:rsidDel="00000000" w:rsidR="00000000" w:rsidRPr="00000000">
        <w:rPr>
          <w:rtl w:val="0"/>
        </w:rPr>
        <w:t xml:space="preserve"> : Les gouvernements peuvent soutenir des plateformes qui fournissent des emplois et facilitent l’accès aux services essentiels, en offrant potentiellement des incitations ou des partenariats.</w:t>
      </w:r>
    </w:p>
    <w:p w:rsidR="00000000" w:rsidDel="00000000" w:rsidP="00000000" w:rsidRDefault="00000000" w:rsidRPr="00000000" w14:paraId="00000005">
      <w:pPr>
        <w:numPr>
          <w:ilvl w:val="0"/>
          <w:numId w:val="4"/>
        </w:numPr>
        <w:spacing w:after="240" w:before="0" w:beforeAutospacing="0" w:lineRule="auto"/>
        <w:ind w:left="720" w:hanging="360"/>
      </w:pPr>
      <w:r w:rsidDel="00000000" w:rsidR="00000000" w:rsidRPr="00000000">
        <w:rPr>
          <w:b w:val="1"/>
          <w:rtl w:val="0"/>
        </w:rPr>
        <w:t xml:space="preserve">Politique d'infrastructure</w:t>
      </w:r>
      <w:r w:rsidDel="00000000" w:rsidR="00000000" w:rsidRPr="00000000">
        <w:rPr>
          <w:rtl w:val="0"/>
        </w:rPr>
        <w:t xml:space="preserve"> : La disponibilité de réseaux mobiles fiables et d'électricité peut affecter l'accessibilité de la plateforme dans certaines régions, en fonction des investissements gouvernementaux dans les infrastructures.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Économique</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Opportunités d'emploi</w:t>
      </w:r>
      <w:r w:rsidDel="00000000" w:rsidR="00000000" w:rsidRPr="00000000">
        <w:rPr>
          <w:rtl w:val="0"/>
        </w:rPr>
        <w:t xml:space="preserve"> : Cette plateforme peut stimuler l'économie en offrant davantage d'opportunités de travail aux artisans, leur permettant de trouver du travail plus facilement et de manière plus constante.</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Accessibilité financière</w:t>
      </w:r>
      <w:r w:rsidDel="00000000" w:rsidR="00000000" w:rsidRPr="00000000">
        <w:rPr>
          <w:rtl w:val="0"/>
        </w:rPr>
        <w:t xml:space="preserve"> : Les conditions économiques varient considérablement, et les utilisateurs peuvent avoir des niveaux différents de volonté ou de capacité à payer pour les services. Un modèle de tarification par paliers pourrait s'adapter à divers niveaux de revenus.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Frais de transaction</w:t>
      </w:r>
      <w:r w:rsidDel="00000000" w:rsidR="00000000" w:rsidRPr="00000000">
        <w:rPr>
          <w:rtl w:val="0"/>
        </w:rPr>
        <w:t xml:space="preserve"> : Les fluctuations des monnaies locales et les frais de transaction pour les paiements en ligne ou mobiles peuvent impacter à la fois les artisans et les clients.</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Développement économique</w:t>
      </w:r>
      <w:r w:rsidDel="00000000" w:rsidR="00000000" w:rsidRPr="00000000">
        <w:rPr>
          <w:rtl w:val="0"/>
        </w:rPr>
        <w:t xml:space="preserve"> : La plateforme pourrait bénéficier de la croissance économique dans les zones où l'adoption des technologies augmente et où la classe moyenne se développe.</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Social</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b w:val="1"/>
          <w:rtl w:val="0"/>
        </w:rPr>
        <w:t xml:space="preserve">Confiance et transparence</w:t>
      </w:r>
      <w:r w:rsidDel="00000000" w:rsidR="00000000" w:rsidRPr="00000000">
        <w:rPr>
          <w:rtl w:val="0"/>
        </w:rPr>
        <w:t xml:space="preserve"> : Dans de nombreuses cultures africaines, la confiance joue un rôle crucial dans les relations commerciales. La plateforme, avec son système d’évaluations, de notations et d’artisans vérifiés, répond à ce besoin sociétal de confiance dans les transactions de services.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Références et bouche-à-oreille</w:t>
      </w:r>
      <w:r w:rsidDel="00000000" w:rsidR="00000000" w:rsidRPr="00000000">
        <w:rPr>
          <w:rtl w:val="0"/>
        </w:rPr>
        <w:t xml:space="preserve"> : La dépendance actuelle aux relations personnelles pourrait ralentir l'adoption, car les utilisateurs peuvent avoir besoin de temps pour avoir confiance en l'utilisation d'une plateforme numérique.</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Pénétration mobile</w:t>
      </w:r>
      <w:r w:rsidDel="00000000" w:rsidR="00000000" w:rsidRPr="00000000">
        <w:rPr>
          <w:rtl w:val="0"/>
        </w:rPr>
        <w:t xml:space="preserve"> : Avec la pénétration croissante des téléphones mobiles, en particulier des smartphones, de plus en plus de personnes sont ouvertes à l'utilisation d'applications mobiles pour les services. Cependant, l'inclusion du service USSD est cruciale pour les zones où l'adoption des smartphones est faible.</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Technologique</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Pénétration mobile et internet</w:t>
      </w:r>
      <w:r w:rsidDel="00000000" w:rsidR="00000000" w:rsidRPr="00000000">
        <w:rPr>
          <w:rtl w:val="0"/>
        </w:rPr>
        <w:t xml:space="preserve"> : Bien que l'utilisation des smartphones et d'internet soit en croissance, de nombreuses personnes dans les zones rurales dépendent encore des téléphones mobiles basiques. La solution USSD garantit l'inclusivité pour ces utilisateurs sans accès à internet.</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Adoption des plateformes numériques</w:t>
      </w:r>
      <w:r w:rsidDel="00000000" w:rsidR="00000000" w:rsidRPr="00000000">
        <w:rPr>
          <w:rtl w:val="0"/>
        </w:rPr>
        <w:t xml:space="preserve"> : Il existe une tendance croissante en Afrique à utiliser des applications mobiles et des plateformes numériques pour les services. Cela crée un environnement favorable au lancement de cette plateforme.</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Préoccupations en matière de sécurité</w:t>
      </w:r>
      <w:r w:rsidDel="00000000" w:rsidR="00000000" w:rsidRPr="00000000">
        <w:rPr>
          <w:rtl w:val="0"/>
        </w:rPr>
        <w:t xml:space="preserve"> : Compte tenu de l'augmentation des cybermenaces, garantir des paiements sécurisés et protéger les données des utilisateurs est essentiel pour instaurer la confiance dans la plateforme. Des technologies de sécurité avancées seront nécessaires.</w:t>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Infrastructure technologique</w:t>
      </w:r>
      <w:r w:rsidDel="00000000" w:rsidR="00000000" w:rsidRPr="00000000">
        <w:rPr>
          <w:rtl w:val="0"/>
        </w:rPr>
        <w:t xml:space="preserve"> : La stabilité et l'accessibilité des infrastructures technologiques (serveurs, réseaux mobiles, etc.) à travers diverses régions sont vitales pour la performance de la plateforme.</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Environnemental</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b w:val="1"/>
          <w:rtl w:val="0"/>
        </w:rPr>
        <w:t xml:space="preserve">Accessibilité urbaine vs rurale</w:t>
      </w:r>
      <w:r w:rsidDel="00000000" w:rsidR="00000000" w:rsidRPr="00000000">
        <w:rPr>
          <w:rtl w:val="0"/>
        </w:rPr>
        <w:t xml:space="preserve"> : Les facteurs environnementaux comme la répartition géographique (urbanisation et isolement rural) peuvent influencer la manière dont les artisans atteignent les clients. La plateforme doit tenir compte de ces différences.</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b w:val="1"/>
          <w:rtl w:val="0"/>
        </w:rPr>
        <w:t xml:space="preserve">Préoccupations environnementales</w:t>
      </w:r>
      <w:r w:rsidDel="00000000" w:rsidR="00000000" w:rsidRPr="00000000">
        <w:rPr>
          <w:rtl w:val="0"/>
        </w:rPr>
        <w:t xml:space="preserve"> : Avec une prise de conscience croissante des questions environnementales, certains métiers devront s’adapter à des pratiques durables. Cela pourrait ouvrir un marché pour des services éco-responsables ou des artisans possédant des qualifications « vertes ».</w:t>
      </w:r>
    </w:p>
    <w:p w:rsidR="00000000" w:rsidDel="00000000" w:rsidP="00000000" w:rsidRDefault="00000000" w:rsidRPr="00000000" w14:paraId="00000017">
      <w:pPr>
        <w:numPr>
          <w:ilvl w:val="0"/>
          <w:numId w:val="6"/>
        </w:numPr>
        <w:spacing w:after="240" w:before="0" w:beforeAutospacing="0" w:lineRule="auto"/>
        <w:ind w:left="720" w:hanging="360"/>
      </w:pPr>
      <w:r w:rsidDel="00000000" w:rsidR="00000000" w:rsidRPr="00000000">
        <w:rPr>
          <w:b w:val="1"/>
          <w:rtl w:val="0"/>
        </w:rPr>
        <w:t xml:space="preserve">Fiabilité énergétique</w:t>
      </w:r>
      <w:r w:rsidDel="00000000" w:rsidR="00000000" w:rsidRPr="00000000">
        <w:rPr>
          <w:rtl w:val="0"/>
        </w:rPr>
        <w:t xml:space="preserve"> : Dans certaines régions, la fiabilité de l'électricité peut poser problème. Cela peut affecter à la fois les artisans et les clients utilisant la plateforme, notamment le service USSD.</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Légal</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b w:val="1"/>
          <w:rtl w:val="0"/>
        </w:rPr>
        <w:t xml:space="preserve">Lois sur le travail</w:t>
      </w:r>
      <w:r w:rsidDel="00000000" w:rsidR="00000000" w:rsidRPr="00000000">
        <w:rPr>
          <w:rtl w:val="0"/>
        </w:rPr>
        <w:t xml:space="preserve"> : Le respect des lois du travail pour les artisans dans différents pays sera essentiel. La plateforme devra s'assurer que les artisans sont correctement licenciés et suivent les réglementations en vigueur.</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Réglementations sur la confidentialité des données</w:t>
      </w:r>
      <w:r w:rsidDel="00000000" w:rsidR="00000000" w:rsidRPr="00000000">
        <w:rPr>
          <w:rtl w:val="0"/>
        </w:rPr>
        <w:t xml:space="preserve"> : La conformité aux lois sur la protection des données, comme le RGPD (dans les pays concernés) ou ses équivalents locaux, sera cruciale pour garantir la confidentialité et la sécurité des informations des utilisateurs.</w:t>
      </w:r>
    </w:p>
    <w:p w:rsidR="00000000" w:rsidDel="00000000" w:rsidP="00000000" w:rsidRDefault="00000000" w:rsidRPr="00000000" w14:paraId="0000001B">
      <w:pPr>
        <w:numPr>
          <w:ilvl w:val="0"/>
          <w:numId w:val="5"/>
        </w:numPr>
        <w:spacing w:after="240" w:before="0" w:beforeAutospacing="0" w:lineRule="auto"/>
        <w:ind w:left="720" w:hanging="360"/>
      </w:pPr>
      <w:r w:rsidDel="00000000" w:rsidR="00000000" w:rsidRPr="00000000">
        <w:rPr>
          <w:b w:val="1"/>
          <w:rtl w:val="0"/>
        </w:rPr>
        <w:t xml:space="preserve">Accords contractuels</w:t>
      </w:r>
      <w:r w:rsidDel="00000000" w:rsidR="00000000" w:rsidRPr="00000000">
        <w:rPr>
          <w:rtl w:val="0"/>
        </w:rPr>
        <w:t xml:space="preserve"> : La plateforme doit établir des accords transparents entre les clients et les artisans afin d’éviter les litiges juridiques concernant les attentes de service ou les modalités de paiement.</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