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BEA" w:rsidRPr="00F03825" w:rsidRDefault="001D2BEA">
      <w:pPr>
        <w:rPr>
          <w:b/>
          <w:bCs/>
        </w:rPr>
      </w:pPr>
      <w:r w:rsidRPr="00F03825">
        <w:rPr>
          <w:b/>
          <w:bCs/>
        </w:rPr>
        <w:t>Getting Started on HID over GATT</w:t>
      </w:r>
    </w:p>
    <w:p w:rsidR="001D2BEA" w:rsidRDefault="001D2BEA">
      <w:r>
        <w:t>The HID over GATT maps USB HID to the GATT (Generic Attribute Profile), so we need to start with USB HID and we will learn on how to map it.</w:t>
      </w:r>
    </w:p>
    <w:p w:rsidR="001D2BEA" w:rsidRDefault="001D2BEA">
      <w:r>
        <w:t>The start point for USB HID is the USB HID Report Descriptor.</w:t>
      </w:r>
    </w:p>
    <w:p w:rsidR="001144F7" w:rsidRDefault="001144F7">
      <w:r>
        <w:t>The USB HID Report Descriptor describes the Reports that a device can send and receive. Most Reports have a Report ID in from the USB Report to identify the report.</w:t>
      </w:r>
    </w:p>
    <w:p w:rsidR="001144F7" w:rsidRDefault="001144F7" w:rsidP="001D2BEA">
      <w:pPr>
        <w:autoSpaceDE w:val="0"/>
        <w:autoSpaceDN w:val="0"/>
        <w:adjustRightInd w:val="0"/>
        <w:spacing w:after="0"/>
        <w:rPr>
          <w:rFonts w:cs="Arial,Bold"/>
          <w:lang w:bidi="ta-IN"/>
        </w:rPr>
      </w:pPr>
      <w:r>
        <w:t xml:space="preserve">The easiest way to get started on HID over GATT is to get the USB Report Descriptor of an existing </w:t>
      </w:r>
      <w:r w:rsidR="007F7326">
        <w:t xml:space="preserve">HID project. (For example you can use the </w:t>
      </w:r>
      <w:r>
        <w:t xml:space="preserve">nRF24LU1 project in the </w:t>
      </w:r>
      <w:proofErr w:type="spellStart"/>
      <w:r>
        <w:t>nRFReady</w:t>
      </w:r>
      <w:proofErr w:type="spellEnd"/>
      <w:r>
        <w:t xml:space="preserve"> Desktop</w:t>
      </w:r>
      <w:r w:rsidR="007F7326">
        <w:t>)</w:t>
      </w:r>
      <w:r>
        <w:t>.</w:t>
      </w:r>
      <w:r w:rsidRPr="001D2BEA">
        <w:t xml:space="preserve"> You can also use an existing </w:t>
      </w:r>
      <w:r w:rsidR="001D2BEA" w:rsidRPr="001D2BEA">
        <w:t xml:space="preserve">USB HID Report Descriptor from the </w:t>
      </w:r>
      <w:r w:rsidR="001D2BEA">
        <w:rPr>
          <w:rFonts w:cs="Arial,Bold"/>
          <w:lang w:bidi="ta-IN"/>
        </w:rPr>
        <w:t xml:space="preserve">Device Class Definition for Human Interface </w:t>
      </w:r>
      <w:r w:rsidR="001D2BEA" w:rsidRPr="001D2BEA">
        <w:rPr>
          <w:rFonts w:cs="Arial,Bold"/>
          <w:lang w:bidi="ta-IN"/>
        </w:rPr>
        <w:t>Devices (HID)</w:t>
      </w:r>
      <w:r w:rsidR="001D2BEA">
        <w:rPr>
          <w:rFonts w:cs="Arial,Bold"/>
          <w:lang w:bidi="ta-IN"/>
        </w:rPr>
        <w:t xml:space="preserve"> document as a start point.</w:t>
      </w:r>
    </w:p>
    <w:p w:rsidR="001D2BEA" w:rsidRDefault="001D2BEA" w:rsidP="001D2BEA">
      <w:pPr>
        <w:autoSpaceDE w:val="0"/>
        <w:autoSpaceDN w:val="0"/>
        <w:adjustRightInd w:val="0"/>
        <w:spacing w:after="0"/>
        <w:rPr>
          <w:rFonts w:cs="Arial,Bold"/>
          <w:lang w:bidi="ta-IN"/>
        </w:rPr>
      </w:pPr>
    </w:p>
    <w:p w:rsidR="001D2BEA" w:rsidRDefault="00B4703E" w:rsidP="001D2BEA">
      <w:pPr>
        <w:autoSpaceDE w:val="0"/>
        <w:autoSpaceDN w:val="0"/>
        <w:adjustRightInd w:val="0"/>
        <w:spacing w:after="0"/>
        <w:rPr>
          <w:rFonts w:cs="Arial,Bold"/>
          <w:lang w:bidi="ta-IN"/>
        </w:rPr>
      </w:pPr>
      <w:r>
        <w:rPr>
          <w:rFonts w:cs="Arial,Bold"/>
          <w:lang w:bidi="ta-IN"/>
        </w:rPr>
        <w:t>A snippet of the</w:t>
      </w:r>
      <w:r w:rsidR="00343AC4">
        <w:rPr>
          <w:rFonts w:cs="Arial,Bold"/>
          <w:lang w:bidi="ta-IN"/>
        </w:rPr>
        <w:t xml:space="preserve"> HID Report Descriptor </w:t>
      </w:r>
      <w:r>
        <w:rPr>
          <w:rFonts w:cs="Arial,Bold"/>
          <w:lang w:bidi="ta-IN"/>
        </w:rPr>
        <w:t xml:space="preserve">for the </w:t>
      </w:r>
      <w:proofErr w:type="spellStart"/>
      <w:r>
        <w:rPr>
          <w:rFonts w:cs="Arial,Bold"/>
          <w:lang w:bidi="ta-IN"/>
        </w:rPr>
        <w:t>nRFReady</w:t>
      </w:r>
      <w:proofErr w:type="spellEnd"/>
      <w:r>
        <w:rPr>
          <w:rFonts w:cs="Arial,Bold"/>
          <w:lang w:bidi="ta-IN"/>
        </w:rPr>
        <w:t xml:space="preserve"> desktop </w:t>
      </w:r>
      <w:r w:rsidR="00343AC4">
        <w:rPr>
          <w:rFonts w:cs="Arial,Bold"/>
          <w:lang w:bidi="ta-IN"/>
        </w:rPr>
        <w:t xml:space="preserve">is </w:t>
      </w:r>
      <w:r>
        <w:rPr>
          <w:rFonts w:cs="Arial,Bold"/>
          <w:lang w:bidi="ta-IN"/>
        </w:rPr>
        <w:t xml:space="preserve">shown </w:t>
      </w:r>
      <w:r w:rsidR="00343AC4">
        <w:rPr>
          <w:rFonts w:cs="Arial,Bold"/>
          <w:lang w:bidi="ta-IN"/>
        </w:rPr>
        <w:t>below</w:t>
      </w:r>
    </w:p>
    <w:p w:rsidR="00343AC4" w:rsidRDefault="00343AC4" w:rsidP="001D2BEA">
      <w:pPr>
        <w:autoSpaceDE w:val="0"/>
        <w:autoSpaceDN w:val="0"/>
        <w:adjustRightInd w:val="0"/>
        <w:spacing w:after="0"/>
        <w:rPr>
          <w:rFonts w:cs="Arial,Bold"/>
          <w:lang w:bidi="ta-IN"/>
        </w:rPr>
      </w:pP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0x05, 0x01,                        //     Usage Page (Generic Desktop)</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0x09, 0x02,                        //     Usage (Mouse)</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0xA1, 0x01,                        //     Collection (Application)</w:t>
      </w:r>
    </w:p>
    <w:p w:rsidR="00B4703E" w:rsidRPr="00B4703E" w:rsidRDefault="00B4703E" w:rsidP="00B4703E">
      <w:pPr>
        <w:autoSpaceDE w:val="0"/>
        <w:autoSpaceDN w:val="0"/>
        <w:adjustRightInd w:val="0"/>
        <w:spacing w:after="0"/>
        <w:rPr>
          <w:rFonts w:cs="Arial,Bold"/>
          <w:sz w:val="18"/>
          <w:szCs w:val="18"/>
          <w:lang w:bidi="ta-IN"/>
        </w:rPr>
      </w:pP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 Report ID 1: Mouse buttons + scroll/pan</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28" style="position:absolute;margin-left:-14.2pt;margin-top:1.15pt;width:234.75pt;height:10.4pt;z-index:251661312" arcsize="10923f" fillcolor="#4f81bd [3204]">
            <v:fill opacity="36045f"/>
          </v:roundrect>
        </w:pict>
      </w:r>
      <w:r w:rsidR="00B4703E" w:rsidRPr="00B4703E">
        <w:rPr>
          <w:rFonts w:cs="Arial,Bold"/>
          <w:sz w:val="18"/>
          <w:szCs w:val="18"/>
          <w:lang w:bidi="ta-IN"/>
        </w:rPr>
        <w:t xml:space="preserve">0x85, 0x01,                        //     Report Id 1 </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0x09, 0x01,                        //     Usage (Pointer)</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0xA1, 0x00,                        //     Collection (Physical)</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3" style="position:absolute;margin-left:-1.7pt;margin-top:.5pt;width:239.1pt;height:20.15pt;z-index:251666432" arcsize="10923f" fillcolor="#c0504d [3205]">
            <v:fill opacity="36045f"/>
          </v:roundrect>
        </w:pict>
      </w:r>
      <w:r w:rsidR="00B4703E" w:rsidRPr="00B4703E">
        <w:rPr>
          <w:rFonts w:cs="Arial,Bold"/>
          <w:sz w:val="18"/>
          <w:szCs w:val="18"/>
          <w:lang w:bidi="ta-IN"/>
        </w:rPr>
        <w:t xml:space="preserve">0x95, 0x05,              </w:t>
      </w:r>
      <w:r w:rsidR="0097152B">
        <w:rPr>
          <w:rFonts w:cs="Arial,Bold"/>
          <w:sz w:val="18"/>
          <w:szCs w:val="18"/>
          <w:lang w:bidi="ta-IN"/>
        </w:rPr>
        <w:t xml:space="preserve">          //     Report Count (5</w:t>
      </w:r>
      <w:r w:rsidR="00B4703E" w:rsidRPr="00B4703E">
        <w:rPr>
          <w:rFonts w:cs="Arial,Bold"/>
          <w:sz w:val="18"/>
          <w:szCs w:val="18"/>
          <w:lang w:bidi="ta-IN"/>
        </w:rPr>
        <w:t>)</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0x75, 0x01,                        //     Report Size (1)</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0x05, 0x09,                        //     Usage Page (Buttons)</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0x19, 0x01,                        //     Usage Minimum (01)</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0x29, 0x05,                        //     Usage Maximum (05)</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0x15, 0x00,                        //     Logical Minimum (0)</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0x25, 0x01,                        //     Logical Maximum (1)</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1" style="position:absolute;margin-left:-2.2pt;margin-top:1.15pt;width:239.1pt;height:10.4pt;z-index:251664384" arcsize="10923f" fillcolor="#ffc000">
            <v:fill opacity="36045f"/>
          </v:roundrect>
        </w:pict>
      </w:r>
      <w:r w:rsidR="00B4703E" w:rsidRPr="00B4703E">
        <w:rPr>
          <w:rFonts w:cs="Arial,Bold"/>
          <w:sz w:val="18"/>
          <w:szCs w:val="18"/>
          <w:lang w:bidi="ta-IN"/>
        </w:rPr>
        <w:t>0x81, 0x02,                        //     Input (Data, Variable, Absolute)</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2" style="position:absolute;margin-left:-.2pt;margin-top:1.6pt;width:239.1pt;height:20.15pt;z-index:251665408" arcsize="10923f" fillcolor="#c0504d [3205]">
            <v:fill opacity="36045f"/>
          </v:roundrect>
        </w:pict>
      </w:r>
      <w:r w:rsidR="00B4703E" w:rsidRPr="00B4703E">
        <w:rPr>
          <w:rFonts w:cs="Arial,Bold"/>
          <w:sz w:val="18"/>
          <w:szCs w:val="18"/>
          <w:lang w:bidi="ta-IN"/>
        </w:rPr>
        <w:t>0x95, 0x01,                        //     Report Count (1)</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0x75, 0x03,                        //     Report Size (3)</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5" style="position:absolute;margin-left:-1.2pt;margin-top:1pt;width:239.1pt;height:10.4pt;z-index:251668480" arcsize="10923f" fillcolor="#ffc000">
            <v:fill opacity="36045f"/>
          </v:roundrect>
        </w:pict>
      </w:r>
      <w:r w:rsidR="00B4703E" w:rsidRPr="00B4703E">
        <w:rPr>
          <w:rFonts w:cs="Arial,Bold"/>
          <w:sz w:val="18"/>
          <w:szCs w:val="18"/>
          <w:lang w:bidi="ta-IN"/>
        </w:rPr>
        <w:t>0x81, 0x01,                        //     Input (Constant) for padding</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4" style="position:absolute;margin-left:-1.7pt;margin-top:1.45pt;width:239.1pt;height:20.15pt;z-index:251667456" arcsize="10923f" fillcolor="#c0504d [3205]">
            <v:fill opacity="36045f"/>
          </v:roundrect>
        </w:pict>
      </w:r>
      <w:r w:rsidR="00B4703E" w:rsidRPr="00B4703E">
        <w:rPr>
          <w:rFonts w:cs="Arial,Bold"/>
          <w:sz w:val="18"/>
          <w:szCs w:val="18"/>
          <w:lang w:bidi="ta-IN"/>
        </w:rPr>
        <w:t>0x75, 0x08,                        //     Report Size (8)</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0x95, 0x01,                        //     Report Count (1)</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0x05, 0x01,                        //     Usage Page (Generic Desktop)</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0x09, 0x38,                        //     USAGE (Wheel)</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0x15, 0x81,                        //     Logical Minimum (-127)</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7" style="position:absolute;margin-left:-.2pt;margin-top:10.2pt;width:239.1pt;height:10.4pt;z-index:251670528" arcsize="10923f" fillcolor="#ffc000">
            <v:fill opacity="36045f"/>
          </v:roundrect>
        </w:pict>
      </w:r>
      <w:r w:rsidR="00B4703E" w:rsidRPr="00B4703E">
        <w:rPr>
          <w:rFonts w:cs="Arial,Bold"/>
          <w:sz w:val="18"/>
          <w:szCs w:val="18"/>
          <w:lang w:bidi="ta-IN"/>
        </w:rPr>
        <w:t>0x25, 0x7F,                        //     Logical Maximum (127)</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 xml:space="preserve">0x81, 0x06,                        //     Input (Data, Variable, Relative) </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0x05, 0x0C,                        //     Usage Page (Consumer)</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0x0</w:t>
      </w:r>
      <w:r w:rsidR="000B1C4E">
        <w:rPr>
          <w:rFonts w:cs="Arial,Bold"/>
          <w:sz w:val="18"/>
          <w:szCs w:val="18"/>
          <w:lang w:bidi="ta-IN"/>
        </w:rPr>
        <w:t xml:space="preserve">A, 0x38, 0x02,            </w:t>
      </w:r>
      <w:r w:rsidRPr="00B4703E">
        <w:rPr>
          <w:rFonts w:cs="Arial,Bold"/>
          <w:sz w:val="18"/>
          <w:szCs w:val="18"/>
          <w:lang w:bidi="ta-IN"/>
        </w:rPr>
        <w:t xml:space="preserve">//     Usage (AC Pan) </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8" style="position:absolute;margin-left:-.2pt;margin-top:.25pt;width:249.6pt;height:10.25pt;z-index:251671552" arcsize="10923f" fillcolor="#c0504d [3205]">
            <v:fill opacity="36045f"/>
          </v:roundrect>
        </w:pict>
      </w:r>
      <w:r w:rsidR="00B4703E" w:rsidRPr="00B4703E">
        <w:rPr>
          <w:rFonts w:cs="Arial,Bold"/>
          <w:sz w:val="18"/>
          <w:szCs w:val="18"/>
          <w:lang w:bidi="ta-IN"/>
        </w:rPr>
        <w:t>0x95, 0x01,                        //     Report Count (1)</w:t>
      </w:r>
    </w:p>
    <w:p w:rsidR="00B4703E" w:rsidRPr="00B4703E" w:rsidRDefault="008E79BE" w:rsidP="00B4703E">
      <w:pPr>
        <w:autoSpaceDE w:val="0"/>
        <w:autoSpaceDN w:val="0"/>
        <w:adjustRightInd w:val="0"/>
        <w:spacing w:after="0"/>
        <w:rPr>
          <w:rFonts w:cs="Arial,Bold"/>
          <w:sz w:val="18"/>
          <w:szCs w:val="18"/>
          <w:lang w:bidi="ta-IN"/>
        </w:rPr>
      </w:pPr>
      <w:r>
        <w:rPr>
          <w:rFonts w:ascii="CourierNewPSMT" w:hAnsi="CourierNewPSMT" w:cs="CourierNewPSMT"/>
          <w:noProof/>
          <w:sz w:val="16"/>
          <w:szCs w:val="16"/>
          <w:lang w:bidi="ta-IN"/>
        </w:rPr>
        <w:pict>
          <v:roundrect id="_x0000_s1036" style="position:absolute;margin-left:.3pt;margin-top:-.05pt;width:251.05pt;height:10.4pt;z-index:251669504" arcsize="10923f" fillcolor="#ffc000">
            <v:fill opacity="36045f"/>
          </v:roundrect>
        </w:pict>
      </w:r>
      <w:r w:rsidR="00B4703E" w:rsidRPr="00B4703E">
        <w:rPr>
          <w:rFonts w:cs="Arial,Bold"/>
          <w:sz w:val="18"/>
          <w:szCs w:val="18"/>
          <w:lang w:bidi="ta-IN"/>
        </w:rPr>
        <w:t>0x81, 0x06,                        //     Input (</w:t>
      </w:r>
      <w:proofErr w:type="spellStart"/>
      <w:r w:rsidR="00B4703E" w:rsidRPr="00B4703E">
        <w:rPr>
          <w:rFonts w:cs="Arial,Bold"/>
          <w:sz w:val="18"/>
          <w:szCs w:val="18"/>
          <w:lang w:bidi="ta-IN"/>
        </w:rPr>
        <w:t>Data</w:t>
      </w:r>
      <w:proofErr w:type="gramStart"/>
      <w:r w:rsidR="00B4703E" w:rsidRPr="00B4703E">
        <w:rPr>
          <w:rFonts w:cs="Arial,Bold"/>
          <w:sz w:val="18"/>
          <w:szCs w:val="18"/>
          <w:lang w:bidi="ta-IN"/>
        </w:rPr>
        <w:t>,Value,Relative,Bit</w:t>
      </w:r>
      <w:proofErr w:type="spellEnd"/>
      <w:proofErr w:type="gramEnd"/>
      <w:r w:rsidR="00B4703E" w:rsidRPr="00B4703E">
        <w:rPr>
          <w:rFonts w:cs="Arial,Bold"/>
          <w:sz w:val="18"/>
          <w:szCs w:val="18"/>
          <w:lang w:bidi="ta-IN"/>
        </w:rPr>
        <w:t xml:space="preserve"> Field)</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 xml:space="preserve">0xC0,                              </w:t>
      </w:r>
      <w:r w:rsidR="000B1C4E">
        <w:rPr>
          <w:rFonts w:cs="Arial,Bold"/>
          <w:sz w:val="18"/>
          <w:szCs w:val="18"/>
          <w:lang w:bidi="ta-IN"/>
        </w:rPr>
        <w:t xml:space="preserve">     </w:t>
      </w:r>
      <w:r w:rsidRPr="00B4703E">
        <w:rPr>
          <w:rFonts w:cs="Arial,Bold"/>
          <w:sz w:val="18"/>
          <w:szCs w:val="18"/>
          <w:lang w:bidi="ta-IN"/>
        </w:rPr>
        <w:t>//     End Collection (Physical)</w:t>
      </w:r>
    </w:p>
    <w:p w:rsidR="00B4703E" w:rsidRPr="00B4703E" w:rsidRDefault="00B4703E" w:rsidP="00B4703E">
      <w:pPr>
        <w:autoSpaceDE w:val="0"/>
        <w:autoSpaceDN w:val="0"/>
        <w:adjustRightInd w:val="0"/>
        <w:spacing w:after="0"/>
        <w:rPr>
          <w:rFonts w:cs="Arial,Bold"/>
          <w:sz w:val="18"/>
          <w:szCs w:val="18"/>
          <w:lang w:bidi="ta-IN"/>
        </w:rPr>
      </w:pPr>
      <w:r w:rsidRPr="00B4703E">
        <w:rPr>
          <w:rFonts w:cs="Arial,Bold"/>
          <w:sz w:val="18"/>
          <w:szCs w:val="18"/>
          <w:lang w:bidi="ta-IN"/>
        </w:rPr>
        <w:t xml:space="preserve">0xC0,                              </w:t>
      </w:r>
      <w:r w:rsidR="0097152B">
        <w:rPr>
          <w:rFonts w:cs="Arial,Bold"/>
          <w:sz w:val="18"/>
          <w:szCs w:val="18"/>
          <w:lang w:bidi="ta-IN"/>
        </w:rPr>
        <w:t xml:space="preserve">   </w:t>
      </w:r>
      <w:r w:rsidRPr="00B4703E">
        <w:rPr>
          <w:rFonts w:cs="Arial,Bold"/>
          <w:sz w:val="18"/>
          <w:szCs w:val="18"/>
          <w:lang w:bidi="ta-IN"/>
        </w:rPr>
        <w:t>// End Collection (Application)</w:t>
      </w:r>
    </w:p>
    <w:p w:rsidR="00B4703E" w:rsidRDefault="00B4703E" w:rsidP="00B4703E">
      <w:pPr>
        <w:autoSpaceDE w:val="0"/>
        <w:autoSpaceDN w:val="0"/>
        <w:adjustRightInd w:val="0"/>
        <w:spacing w:after="0"/>
        <w:rPr>
          <w:rFonts w:cs="Arial,Bold"/>
          <w:lang w:bidi="ta-IN"/>
        </w:rPr>
      </w:pPr>
    </w:p>
    <w:p w:rsidR="00961D9F" w:rsidRDefault="00961D9F" w:rsidP="00B4703E">
      <w:pPr>
        <w:autoSpaceDE w:val="0"/>
        <w:autoSpaceDN w:val="0"/>
        <w:adjustRightInd w:val="0"/>
        <w:spacing w:after="0"/>
        <w:rPr>
          <w:rFonts w:cs="Arial,Bold"/>
          <w:lang w:bidi="ta-IN"/>
        </w:rPr>
      </w:pPr>
      <w:r>
        <w:rPr>
          <w:rFonts w:cs="Arial,Bold"/>
          <w:lang w:bidi="ta-IN"/>
        </w:rPr>
        <w:t xml:space="preserve">We now need to identify the </w:t>
      </w:r>
      <w:r w:rsidRPr="00961D9F">
        <w:rPr>
          <w:rFonts w:cs="Arial,Bold"/>
          <w:highlight w:val="yellow"/>
          <w:lang w:bidi="ta-IN"/>
        </w:rPr>
        <w:t>number</w:t>
      </w:r>
      <w:r>
        <w:rPr>
          <w:rFonts w:cs="Arial,Bold"/>
          <w:lang w:bidi="ta-IN"/>
        </w:rPr>
        <w:t xml:space="preserve"> of Reports in this Report Descriptor.  The </w:t>
      </w:r>
      <w:r w:rsidRPr="00961D9F">
        <w:rPr>
          <w:rFonts w:cs="Arial,Bold"/>
          <w:highlight w:val="yellow"/>
          <w:lang w:bidi="ta-IN"/>
        </w:rPr>
        <w:t>Report ID</w:t>
      </w:r>
      <w:r w:rsidR="00CD7A21">
        <w:rPr>
          <w:rFonts w:cs="Arial,Bold"/>
          <w:lang w:bidi="ta-IN"/>
        </w:rPr>
        <w:t xml:space="preserve"> </w:t>
      </w:r>
      <w:r>
        <w:rPr>
          <w:rFonts w:cs="Arial,Bold"/>
          <w:lang w:bidi="ta-IN"/>
        </w:rPr>
        <w:t xml:space="preserve">(If the Report ID exists for a specific report) of the Reports and the </w:t>
      </w:r>
      <w:r w:rsidRPr="00961D9F">
        <w:rPr>
          <w:rFonts w:cs="Arial,Bold"/>
          <w:highlight w:val="yellow"/>
          <w:lang w:bidi="ta-IN"/>
        </w:rPr>
        <w:t>size</w:t>
      </w:r>
      <w:r>
        <w:rPr>
          <w:rFonts w:cs="Arial,Bold"/>
          <w:lang w:bidi="ta-IN"/>
        </w:rPr>
        <w:t xml:space="preserve"> of </w:t>
      </w:r>
      <w:r>
        <w:rPr>
          <w:rFonts w:cs="Arial,Bold"/>
          <w:lang w:bidi="ta-IN"/>
        </w:rPr>
        <w:lastRenderedPageBreak/>
        <w:t xml:space="preserve">the Reports and the </w:t>
      </w:r>
      <w:r w:rsidRPr="00961D9F">
        <w:rPr>
          <w:rFonts w:cs="Arial,Bold"/>
          <w:highlight w:val="yellow"/>
          <w:lang w:bidi="ta-IN"/>
        </w:rPr>
        <w:t>type</w:t>
      </w:r>
      <w:r>
        <w:rPr>
          <w:rFonts w:cs="Arial,Bold"/>
          <w:lang w:bidi="ta-IN"/>
        </w:rPr>
        <w:t xml:space="preserve"> of the Reports.  </w:t>
      </w:r>
      <w:r>
        <w:rPr>
          <w:rFonts w:cs="Arial,Bold"/>
          <w:lang w:bidi="ta-IN"/>
        </w:rPr>
        <w:br/>
        <w:t>Reports can be of 3 types i.e. Input, Output and Feature.</w:t>
      </w:r>
    </w:p>
    <w:p w:rsidR="00961D9F" w:rsidRDefault="00961D9F" w:rsidP="00B4703E">
      <w:pPr>
        <w:autoSpaceDE w:val="0"/>
        <w:autoSpaceDN w:val="0"/>
        <w:adjustRightInd w:val="0"/>
        <w:spacing w:after="0"/>
        <w:rPr>
          <w:rFonts w:cs="Arial,Bold"/>
          <w:lang w:bidi="ta-IN"/>
        </w:rPr>
      </w:pPr>
    </w:p>
    <w:p w:rsidR="00343AC4" w:rsidRDefault="00E77C4D">
      <w:r>
        <w:t>Th</w:t>
      </w:r>
      <w:r w:rsidR="000B1C4E">
        <w:t>is Report Descriptor describes 1 Report</w:t>
      </w:r>
      <w:r w:rsidR="0097152B">
        <w:t xml:space="preserve">. </w:t>
      </w:r>
      <w:r w:rsidR="000B1C4E">
        <w:t>The type of the Report is Input.</w:t>
      </w:r>
      <w:r w:rsidR="000A4ED7">
        <w:t xml:space="preserve"> The Report ID of the Report is 1. The size of the Report is </w:t>
      </w:r>
      <w:r w:rsidR="00961D9F">
        <w:t xml:space="preserve">3 bytes (5bits + 3 bits + 8 bits + 8bits). </w:t>
      </w:r>
    </w:p>
    <w:p w:rsidR="00863691" w:rsidRDefault="00863691">
      <w:r>
        <w:t>This Report sends the button state of the mouse</w:t>
      </w:r>
      <w:r w:rsidR="00CD7A21">
        <w:t>, t</w:t>
      </w:r>
      <w:r>
        <w:t xml:space="preserve">he Scroll wheel state of the mouse and the </w:t>
      </w:r>
      <w:r w:rsidR="00CD7A21">
        <w:t>Horizontal pan of the mouse.</w:t>
      </w:r>
    </w:p>
    <w:p w:rsidR="00863691" w:rsidRDefault="00863691">
      <w:r>
        <w:t>This summarizes the information that is required from the USB Report Descriptor.</w:t>
      </w:r>
    </w:p>
    <w:tbl>
      <w:tblPr>
        <w:tblStyle w:val="TableGrid"/>
        <w:tblW w:w="0" w:type="auto"/>
        <w:tblLook w:val="04A0" w:firstRow="1" w:lastRow="0" w:firstColumn="1" w:lastColumn="0" w:noHBand="0" w:noVBand="1"/>
      </w:tblPr>
      <w:tblGrid>
        <w:gridCol w:w="1422"/>
        <w:gridCol w:w="1580"/>
        <w:gridCol w:w="1590"/>
        <w:gridCol w:w="1421"/>
      </w:tblGrid>
      <w:tr w:rsidR="00CD7A21" w:rsidTr="00CD7A21">
        <w:tc>
          <w:tcPr>
            <w:tcW w:w="1422" w:type="dxa"/>
          </w:tcPr>
          <w:p w:rsidR="00CD7A21" w:rsidRDefault="00CD7A21">
            <w:r>
              <w:t>Report Number</w:t>
            </w:r>
          </w:p>
        </w:tc>
        <w:tc>
          <w:tcPr>
            <w:tcW w:w="1580" w:type="dxa"/>
          </w:tcPr>
          <w:p w:rsidR="00CD7A21" w:rsidRDefault="00CD7A21">
            <w:r>
              <w:t>Report ID</w:t>
            </w:r>
          </w:p>
        </w:tc>
        <w:tc>
          <w:tcPr>
            <w:tcW w:w="1590" w:type="dxa"/>
          </w:tcPr>
          <w:p w:rsidR="00CD7A21" w:rsidRDefault="00CD7A21">
            <w:r>
              <w:t>Report Size (Bytes)</w:t>
            </w:r>
          </w:p>
        </w:tc>
        <w:tc>
          <w:tcPr>
            <w:tcW w:w="1421" w:type="dxa"/>
          </w:tcPr>
          <w:p w:rsidR="00CD7A21" w:rsidRDefault="00CD7A21">
            <w:r>
              <w:t>Report Type</w:t>
            </w:r>
          </w:p>
        </w:tc>
      </w:tr>
      <w:tr w:rsidR="00CD7A21" w:rsidTr="00CD7A21">
        <w:tc>
          <w:tcPr>
            <w:tcW w:w="1422" w:type="dxa"/>
          </w:tcPr>
          <w:p w:rsidR="00CD7A21" w:rsidRDefault="00CD7A21">
            <w:r>
              <w:t>1</w:t>
            </w:r>
          </w:p>
        </w:tc>
        <w:tc>
          <w:tcPr>
            <w:tcW w:w="1580" w:type="dxa"/>
          </w:tcPr>
          <w:p w:rsidR="00CD7A21" w:rsidRDefault="00CD7A21">
            <w:r>
              <w:t>1</w:t>
            </w:r>
          </w:p>
        </w:tc>
        <w:tc>
          <w:tcPr>
            <w:tcW w:w="1590" w:type="dxa"/>
          </w:tcPr>
          <w:p w:rsidR="00CD7A21" w:rsidRDefault="00CD7A21">
            <w:r>
              <w:t>3</w:t>
            </w:r>
          </w:p>
        </w:tc>
        <w:tc>
          <w:tcPr>
            <w:tcW w:w="1421" w:type="dxa"/>
          </w:tcPr>
          <w:p w:rsidR="00CD7A21" w:rsidRDefault="00CD7A21">
            <w:r>
              <w:t>Input</w:t>
            </w:r>
          </w:p>
        </w:tc>
      </w:tr>
    </w:tbl>
    <w:p w:rsidR="00863691" w:rsidRDefault="00863691"/>
    <w:p w:rsidR="00872451" w:rsidRPr="00CE19B7" w:rsidRDefault="003E36A1">
      <w:pPr>
        <w:rPr>
          <w:b/>
          <w:bCs/>
        </w:rPr>
      </w:pPr>
      <w:r w:rsidRPr="00CE19B7">
        <w:rPr>
          <w:b/>
          <w:bCs/>
        </w:rPr>
        <w:t>The</w:t>
      </w:r>
      <w:r w:rsidR="00872451" w:rsidRPr="00CE19B7">
        <w:rPr>
          <w:b/>
          <w:bCs/>
        </w:rPr>
        <w:t xml:space="preserve"> HID over GATT Service</w:t>
      </w:r>
    </w:p>
    <w:p w:rsidR="00872451" w:rsidRDefault="00872451">
      <w:r>
        <w:t xml:space="preserve">The </w:t>
      </w:r>
      <w:r w:rsidR="00DA6C60">
        <w:t xml:space="preserve">Characteristic and Characteristic Descriptors of the </w:t>
      </w:r>
      <w:r>
        <w:t xml:space="preserve">HID over GATT </w:t>
      </w:r>
      <w:r w:rsidR="00DA6C60">
        <w:t>Service</w:t>
      </w:r>
    </w:p>
    <w:tbl>
      <w:tblPr>
        <w:tblStyle w:val="TableGrid"/>
        <w:tblW w:w="9108" w:type="dxa"/>
        <w:tblLook w:val="04A0" w:firstRow="1" w:lastRow="0" w:firstColumn="1" w:lastColumn="0" w:noHBand="0" w:noVBand="1"/>
      </w:tblPr>
      <w:tblGrid>
        <w:gridCol w:w="720"/>
        <w:gridCol w:w="2718"/>
        <w:gridCol w:w="720"/>
        <w:gridCol w:w="4950"/>
      </w:tblGrid>
      <w:tr w:rsidR="00872451" w:rsidTr="000F1066">
        <w:tc>
          <w:tcPr>
            <w:tcW w:w="3438" w:type="dxa"/>
            <w:gridSpan w:val="2"/>
          </w:tcPr>
          <w:p w:rsidR="00872451" w:rsidRPr="00324C0C" w:rsidRDefault="00872451">
            <w:pPr>
              <w:rPr>
                <w:sz w:val="20"/>
                <w:szCs w:val="20"/>
              </w:rPr>
            </w:pPr>
            <w:r w:rsidRPr="00324C0C">
              <w:rPr>
                <w:sz w:val="20"/>
                <w:szCs w:val="20"/>
              </w:rPr>
              <w:t>Characteristic</w:t>
            </w:r>
          </w:p>
        </w:tc>
        <w:tc>
          <w:tcPr>
            <w:tcW w:w="5670" w:type="dxa"/>
            <w:gridSpan w:val="2"/>
          </w:tcPr>
          <w:p w:rsidR="00872451" w:rsidRPr="00324C0C" w:rsidRDefault="00872451">
            <w:pPr>
              <w:rPr>
                <w:sz w:val="20"/>
                <w:szCs w:val="20"/>
              </w:rPr>
            </w:pPr>
            <w:r w:rsidRPr="00324C0C">
              <w:rPr>
                <w:sz w:val="20"/>
                <w:szCs w:val="20"/>
              </w:rPr>
              <w:t>Description</w:t>
            </w:r>
          </w:p>
        </w:tc>
      </w:tr>
      <w:tr w:rsidR="00872451" w:rsidTr="000F1066">
        <w:tc>
          <w:tcPr>
            <w:tcW w:w="3438" w:type="dxa"/>
            <w:gridSpan w:val="2"/>
          </w:tcPr>
          <w:p w:rsidR="00872451" w:rsidRPr="00324C0C" w:rsidRDefault="002B56D2" w:rsidP="002B56D2">
            <w:pPr>
              <w:rPr>
                <w:sz w:val="20"/>
                <w:szCs w:val="20"/>
              </w:rPr>
            </w:pPr>
            <w:r w:rsidRPr="00324C0C">
              <w:rPr>
                <w:sz w:val="20"/>
                <w:szCs w:val="20"/>
              </w:rPr>
              <w:t>Report Map</w:t>
            </w:r>
          </w:p>
        </w:tc>
        <w:tc>
          <w:tcPr>
            <w:tcW w:w="5670" w:type="dxa"/>
            <w:gridSpan w:val="2"/>
          </w:tcPr>
          <w:p w:rsidR="00872451" w:rsidRPr="00324C0C" w:rsidRDefault="002B56D2">
            <w:pPr>
              <w:rPr>
                <w:sz w:val="20"/>
                <w:szCs w:val="20"/>
              </w:rPr>
            </w:pPr>
            <w:r w:rsidRPr="00324C0C">
              <w:rPr>
                <w:sz w:val="20"/>
                <w:szCs w:val="20"/>
              </w:rPr>
              <w:t>Mandatory, Contains the USB HID Report Descriptor</w:t>
            </w:r>
          </w:p>
        </w:tc>
      </w:tr>
      <w:tr w:rsidR="00872451" w:rsidTr="000F1066">
        <w:tc>
          <w:tcPr>
            <w:tcW w:w="3438" w:type="dxa"/>
            <w:gridSpan w:val="2"/>
          </w:tcPr>
          <w:p w:rsidR="00872451" w:rsidRPr="00324C0C" w:rsidRDefault="002B56D2">
            <w:pPr>
              <w:rPr>
                <w:sz w:val="20"/>
                <w:szCs w:val="20"/>
              </w:rPr>
            </w:pPr>
            <w:r w:rsidRPr="00324C0C">
              <w:rPr>
                <w:sz w:val="20"/>
                <w:szCs w:val="20"/>
              </w:rPr>
              <w:t>HID Information</w:t>
            </w:r>
          </w:p>
        </w:tc>
        <w:tc>
          <w:tcPr>
            <w:tcW w:w="5670" w:type="dxa"/>
            <w:gridSpan w:val="2"/>
          </w:tcPr>
          <w:p w:rsidR="00872451" w:rsidRPr="00324C0C" w:rsidRDefault="002B56D2">
            <w:pPr>
              <w:rPr>
                <w:sz w:val="20"/>
                <w:szCs w:val="20"/>
              </w:rPr>
            </w:pPr>
            <w:r w:rsidRPr="00324C0C">
              <w:rPr>
                <w:sz w:val="20"/>
                <w:szCs w:val="20"/>
              </w:rPr>
              <w:t>Mandatory, HID version number, RemoteWake and NormallyConnectable settings</w:t>
            </w:r>
          </w:p>
        </w:tc>
      </w:tr>
      <w:tr w:rsidR="00872451" w:rsidTr="000F1066">
        <w:tc>
          <w:tcPr>
            <w:tcW w:w="3438" w:type="dxa"/>
            <w:gridSpan w:val="2"/>
          </w:tcPr>
          <w:p w:rsidR="00872451" w:rsidRPr="00324C0C" w:rsidRDefault="002B56D2">
            <w:pPr>
              <w:rPr>
                <w:sz w:val="20"/>
                <w:szCs w:val="20"/>
              </w:rPr>
            </w:pPr>
            <w:r w:rsidRPr="00324C0C">
              <w:rPr>
                <w:sz w:val="20"/>
                <w:szCs w:val="20"/>
              </w:rPr>
              <w:t>HID Control Point</w:t>
            </w:r>
          </w:p>
        </w:tc>
        <w:tc>
          <w:tcPr>
            <w:tcW w:w="5670" w:type="dxa"/>
            <w:gridSpan w:val="2"/>
          </w:tcPr>
          <w:p w:rsidR="00872451" w:rsidRPr="00324C0C" w:rsidRDefault="00B544DE">
            <w:pPr>
              <w:rPr>
                <w:sz w:val="20"/>
                <w:szCs w:val="20"/>
              </w:rPr>
            </w:pPr>
            <w:r w:rsidRPr="00324C0C">
              <w:rPr>
                <w:sz w:val="20"/>
                <w:szCs w:val="20"/>
              </w:rPr>
              <w:t xml:space="preserve">Mandatory, </w:t>
            </w:r>
            <w:r w:rsidR="002B56D2" w:rsidRPr="00324C0C">
              <w:rPr>
                <w:sz w:val="20"/>
                <w:szCs w:val="20"/>
              </w:rPr>
              <w:t>Used by the HID Host(PC) to communicate the suspend state of the PC</w:t>
            </w:r>
          </w:p>
        </w:tc>
      </w:tr>
      <w:tr w:rsidR="00872451" w:rsidTr="000F1066">
        <w:tc>
          <w:tcPr>
            <w:tcW w:w="3438" w:type="dxa"/>
            <w:gridSpan w:val="2"/>
          </w:tcPr>
          <w:p w:rsidR="00872451" w:rsidRPr="00324C0C" w:rsidRDefault="0003636E">
            <w:pPr>
              <w:rPr>
                <w:sz w:val="20"/>
                <w:szCs w:val="20"/>
              </w:rPr>
            </w:pPr>
            <w:r w:rsidRPr="00324C0C">
              <w:rPr>
                <w:sz w:val="20"/>
                <w:szCs w:val="20"/>
              </w:rPr>
              <w:t>Report</w:t>
            </w:r>
          </w:p>
        </w:tc>
        <w:tc>
          <w:tcPr>
            <w:tcW w:w="5670" w:type="dxa"/>
            <w:gridSpan w:val="2"/>
          </w:tcPr>
          <w:p w:rsidR="00A635A6" w:rsidRPr="00324C0C" w:rsidRDefault="0003636E" w:rsidP="0003636E">
            <w:pPr>
              <w:rPr>
                <w:sz w:val="20"/>
                <w:szCs w:val="20"/>
              </w:rPr>
            </w:pPr>
            <w:r w:rsidRPr="00324C0C">
              <w:rPr>
                <w:sz w:val="20"/>
                <w:szCs w:val="20"/>
              </w:rPr>
              <w:t>Optional, In our example above we have 1 Report so we have only one Report Characteristic. It is possible to have more than one Report Characteristic in a HID over GATT Service.</w:t>
            </w:r>
          </w:p>
        </w:tc>
      </w:tr>
      <w:tr w:rsidR="000F1066" w:rsidTr="000F1066">
        <w:trPr>
          <w:gridBefore w:val="1"/>
          <w:wBefore w:w="720" w:type="dxa"/>
        </w:trPr>
        <w:tc>
          <w:tcPr>
            <w:tcW w:w="3438" w:type="dxa"/>
            <w:gridSpan w:val="2"/>
          </w:tcPr>
          <w:p w:rsidR="000F1066" w:rsidRPr="00324C0C" w:rsidRDefault="000F1066">
            <w:pPr>
              <w:rPr>
                <w:sz w:val="20"/>
                <w:szCs w:val="20"/>
              </w:rPr>
            </w:pPr>
            <w:r w:rsidRPr="00324C0C">
              <w:rPr>
                <w:sz w:val="20"/>
                <w:szCs w:val="20"/>
              </w:rPr>
              <w:t>Report Reference Characteristic Descriptor</w:t>
            </w:r>
          </w:p>
        </w:tc>
        <w:tc>
          <w:tcPr>
            <w:tcW w:w="4950" w:type="dxa"/>
          </w:tcPr>
          <w:p w:rsidR="000F1066" w:rsidRPr="00324C0C" w:rsidRDefault="000F1066" w:rsidP="0003636E">
            <w:pPr>
              <w:rPr>
                <w:sz w:val="20"/>
                <w:szCs w:val="20"/>
              </w:rPr>
            </w:pPr>
            <w:r w:rsidRPr="00324C0C">
              <w:rPr>
                <w:sz w:val="20"/>
                <w:szCs w:val="20"/>
              </w:rPr>
              <w:t>Every Report has a Report Reference Characteristic Descriptor which contains the Report ID and Report Type.</w:t>
            </w:r>
          </w:p>
          <w:p w:rsidR="000F1066" w:rsidRPr="00324C0C" w:rsidRDefault="000F1066" w:rsidP="0003636E">
            <w:pPr>
              <w:rPr>
                <w:sz w:val="20"/>
                <w:szCs w:val="20"/>
              </w:rPr>
            </w:pPr>
            <w:r w:rsidRPr="00324C0C">
              <w:rPr>
                <w:sz w:val="20"/>
                <w:szCs w:val="20"/>
              </w:rPr>
              <w:t>For the above example: Report ID is 1 and the Report Type is Input</w:t>
            </w:r>
            <w:r w:rsidR="00477DDF" w:rsidRPr="00324C0C">
              <w:rPr>
                <w:sz w:val="20"/>
                <w:szCs w:val="20"/>
              </w:rPr>
              <w:t xml:space="preserve"> (0x01)</w:t>
            </w:r>
            <w:r w:rsidR="00677C6A" w:rsidRPr="00324C0C">
              <w:rPr>
                <w:sz w:val="20"/>
                <w:szCs w:val="20"/>
              </w:rPr>
              <w:t>.</w:t>
            </w:r>
          </w:p>
          <w:p w:rsidR="00677C6A" w:rsidRPr="00324C0C" w:rsidRDefault="00677C6A" w:rsidP="0003636E">
            <w:pPr>
              <w:rPr>
                <w:sz w:val="20"/>
                <w:szCs w:val="20"/>
              </w:rPr>
            </w:pPr>
            <w:r w:rsidRPr="00324C0C">
              <w:rPr>
                <w:sz w:val="20"/>
                <w:szCs w:val="20"/>
              </w:rPr>
              <w:t>Input    = 0x01</w:t>
            </w:r>
          </w:p>
          <w:p w:rsidR="00677C6A" w:rsidRPr="00324C0C" w:rsidRDefault="00677C6A" w:rsidP="0003636E">
            <w:pPr>
              <w:rPr>
                <w:sz w:val="20"/>
                <w:szCs w:val="20"/>
              </w:rPr>
            </w:pPr>
            <w:r w:rsidRPr="00324C0C">
              <w:rPr>
                <w:sz w:val="20"/>
                <w:szCs w:val="20"/>
              </w:rPr>
              <w:t>Output = 0x02</w:t>
            </w:r>
          </w:p>
          <w:p w:rsidR="00677C6A" w:rsidRPr="00324C0C" w:rsidRDefault="00677C6A" w:rsidP="0003636E">
            <w:pPr>
              <w:rPr>
                <w:sz w:val="20"/>
                <w:szCs w:val="20"/>
              </w:rPr>
            </w:pPr>
            <w:r w:rsidRPr="00324C0C">
              <w:rPr>
                <w:sz w:val="20"/>
                <w:szCs w:val="20"/>
              </w:rPr>
              <w:t>Feature=0x03</w:t>
            </w:r>
          </w:p>
          <w:p w:rsidR="00652AB1" w:rsidRPr="00324C0C" w:rsidRDefault="00652AB1" w:rsidP="0003636E">
            <w:pPr>
              <w:rPr>
                <w:sz w:val="20"/>
                <w:szCs w:val="20"/>
              </w:rPr>
            </w:pPr>
            <w:r w:rsidRPr="00324C0C">
              <w:rPr>
                <w:sz w:val="20"/>
                <w:szCs w:val="20"/>
              </w:rPr>
              <w:t xml:space="preserve">So the Initial value of the Report Reference should be </w:t>
            </w:r>
            <w:proofErr w:type="gramStart"/>
            <w:r w:rsidRPr="00324C0C">
              <w:rPr>
                <w:sz w:val="20"/>
                <w:szCs w:val="20"/>
              </w:rPr>
              <w:t>0x0101</w:t>
            </w:r>
            <w:proofErr w:type="gramEnd"/>
            <w:r w:rsidRPr="00324C0C">
              <w:rPr>
                <w:sz w:val="20"/>
                <w:szCs w:val="20"/>
              </w:rPr>
              <w:t xml:space="preserve"> and the size should be 2 bytes.</w:t>
            </w:r>
          </w:p>
        </w:tc>
      </w:tr>
      <w:tr w:rsidR="00872451" w:rsidTr="000F1066">
        <w:tc>
          <w:tcPr>
            <w:tcW w:w="3438" w:type="dxa"/>
            <w:gridSpan w:val="2"/>
          </w:tcPr>
          <w:p w:rsidR="00872451" w:rsidRPr="00324C0C" w:rsidRDefault="0003636E">
            <w:pPr>
              <w:rPr>
                <w:sz w:val="20"/>
                <w:szCs w:val="20"/>
              </w:rPr>
            </w:pPr>
            <w:r w:rsidRPr="00324C0C">
              <w:rPr>
                <w:sz w:val="20"/>
                <w:szCs w:val="20"/>
              </w:rPr>
              <w:t>Protocol Mode</w:t>
            </w:r>
          </w:p>
        </w:tc>
        <w:tc>
          <w:tcPr>
            <w:tcW w:w="5670" w:type="dxa"/>
            <w:gridSpan w:val="2"/>
          </w:tcPr>
          <w:p w:rsidR="00872451" w:rsidRPr="00324C0C" w:rsidRDefault="00CE19B7">
            <w:pPr>
              <w:rPr>
                <w:sz w:val="20"/>
                <w:szCs w:val="20"/>
              </w:rPr>
            </w:pPr>
            <w:r w:rsidRPr="00324C0C">
              <w:rPr>
                <w:sz w:val="20"/>
                <w:szCs w:val="20"/>
              </w:rPr>
              <w:t>O</w:t>
            </w:r>
            <w:r w:rsidR="0003636E" w:rsidRPr="00324C0C">
              <w:rPr>
                <w:sz w:val="20"/>
                <w:szCs w:val="20"/>
              </w:rPr>
              <w:t xml:space="preserve">nly for HID devices that are mandated </w:t>
            </w:r>
            <w:r w:rsidR="00E54240" w:rsidRPr="00324C0C">
              <w:rPr>
                <w:sz w:val="20"/>
                <w:szCs w:val="20"/>
              </w:rPr>
              <w:t>to support “Boot” mode. Keyboard and Mouse are required to support “Boot” mode.</w:t>
            </w:r>
          </w:p>
          <w:p w:rsidR="00E54240" w:rsidRPr="00324C0C" w:rsidRDefault="00E54240">
            <w:pPr>
              <w:rPr>
                <w:sz w:val="20"/>
                <w:szCs w:val="20"/>
              </w:rPr>
            </w:pPr>
            <w:r w:rsidRPr="00324C0C">
              <w:rPr>
                <w:sz w:val="20"/>
                <w:szCs w:val="20"/>
              </w:rPr>
              <w:t>Default mode of a HID Device is “Report” mode.</w:t>
            </w:r>
          </w:p>
          <w:p w:rsidR="00E54240" w:rsidRPr="00324C0C" w:rsidRDefault="00E54240">
            <w:pPr>
              <w:rPr>
                <w:sz w:val="20"/>
                <w:szCs w:val="20"/>
              </w:rPr>
            </w:pPr>
            <w:r w:rsidRPr="00324C0C">
              <w:rPr>
                <w:sz w:val="20"/>
                <w:szCs w:val="20"/>
              </w:rPr>
              <w:t>Default mode is set every time a HID Device connects to a HID Host.</w:t>
            </w:r>
          </w:p>
        </w:tc>
      </w:tr>
      <w:tr w:rsidR="00872451" w:rsidTr="000F1066">
        <w:tc>
          <w:tcPr>
            <w:tcW w:w="3438" w:type="dxa"/>
            <w:gridSpan w:val="2"/>
          </w:tcPr>
          <w:p w:rsidR="00872451" w:rsidRPr="00324C0C" w:rsidRDefault="00E54240">
            <w:pPr>
              <w:rPr>
                <w:sz w:val="20"/>
                <w:szCs w:val="20"/>
              </w:rPr>
            </w:pPr>
            <w:r w:rsidRPr="00324C0C">
              <w:rPr>
                <w:sz w:val="20"/>
                <w:szCs w:val="20"/>
              </w:rPr>
              <w:t>Boot Keyboard Input Report</w:t>
            </w:r>
          </w:p>
        </w:tc>
        <w:tc>
          <w:tcPr>
            <w:tcW w:w="5670" w:type="dxa"/>
            <w:gridSpan w:val="2"/>
          </w:tcPr>
          <w:p w:rsidR="00872451" w:rsidRPr="00324C0C" w:rsidRDefault="00CE19B7" w:rsidP="00CE19B7">
            <w:pPr>
              <w:rPr>
                <w:sz w:val="20"/>
                <w:szCs w:val="20"/>
              </w:rPr>
            </w:pPr>
            <w:r w:rsidRPr="00324C0C">
              <w:rPr>
                <w:sz w:val="20"/>
                <w:szCs w:val="20"/>
              </w:rPr>
              <w:t xml:space="preserve">Only for a Keyboard. </w:t>
            </w:r>
            <w:r w:rsidR="00E54240" w:rsidRPr="00324C0C">
              <w:rPr>
                <w:sz w:val="20"/>
                <w:szCs w:val="20"/>
              </w:rPr>
              <w:t xml:space="preserve">Report for the “Boot” keyboard keys </w:t>
            </w:r>
          </w:p>
        </w:tc>
      </w:tr>
      <w:tr w:rsidR="00872451" w:rsidTr="000F1066">
        <w:tc>
          <w:tcPr>
            <w:tcW w:w="3438" w:type="dxa"/>
            <w:gridSpan w:val="2"/>
          </w:tcPr>
          <w:p w:rsidR="00872451" w:rsidRPr="00324C0C" w:rsidRDefault="00E54240">
            <w:pPr>
              <w:rPr>
                <w:sz w:val="20"/>
                <w:szCs w:val="20"/>
              </w:rPr>
            </w:pPr>
            <w:r w:rsidRPr="00324C0C">
              <w:rPr>
                <w:sz w:val="20"/>
                <w:szCs w:val="20"/>
              </w:rPr>
              <w:t>Boot Keyboard Output Report</w:t>
            </w:r>
          </w:p>
        </w:tc>
        <w:tc>
          <w:tcPr>
            <w:tcW w:w="5670" w:type="dxa"/>
            <w:gridSpan w:val="2"/>
          </w:tcPr>
          <w:p w:rsidR="00872451" w:rsidRPr="00324C0C" w:rsidRDefault="00CE19B7">
            <w:pPr>
              <w:rPr>
                <w:sz w:val="20"/>
                <w:szCs w:val="20"/>
              </w:rPr>
            </w:pPr>
            <w:r w:rsidRPr="00324C0C">
              <w:rPr>
                <w:sz w:val="20"/>
                <w:szCs w:val="20"/>
              </w:rPr>
              <w:t xml:space="preserve">Only for a Keyboard. </w:t>
            </w:r>
            <w:r w:rsidR="00E54240" w:rsidRPr="00324C0C">
              <w:rPr>
                <w:sz w:val="20"/>
                <w:szCs w:val="20"/>
              </w:rPr>
              <w:t>Report for the “Boot” keyboard LEDs</w:t>
            </w:r>
          </w:p>
        </w:tc>
      </w:tr>
      <w:tr w:rsidR="00872451" w:rsidTr="000F1066">
        <w:tc>
          <w:tcPr>
            <w:tcW w:w="3438" w:type="dxa"/>
            <w:gridSpan w:val="2"/>
          </w:tcPr>
          <w:p w:rsidR="00872451" w:rsidRPr="00324C0C" w:rsidRDefault="00E54240">
            <w:pPr>
              <w:rPr>
                <w:sz w:val="20"/>
                <w:szCs w:val="20"/>
              </w:rPr>
            </w:pPr>
            <w:r w:rsidRPr="00324C0C">
              <w:rPr>
                <w:sz w:val="20"/>
                <w:szCs w:val="20"/>
              </w:rPr>
              <w:t>Boot Mouse Input Report</w:t>
            </w:r>
          </w:p>
        </w:tc>
        <w:tc>
          <w:tcPr>
            <w:tcW w:w="5670" w:type="dxa"/>
            <w:gridSpan w:val="2"/>
          </w:tcPr>
          <w:p w:rsidR="00872451" w:rsidRPr="00324C0C" w:rsidRDefault="00CE19B7" w:rsidP="00CE19B7">
            <w:pPr>
              <w:rPr>
                <w:sz w:val="20"/>
                <w:szCs w:val="20"/>
              </w:rPr>
            </w:pPr>
            <w:r w:rsidRPr="00324C0C">
              <w:rPr>
                <w:sz w:val="20"/>
                <w:szCs w:val="20"/>
              </w:rPr>
              <w:t xml:space="preserve">Only for a Mouse. </w:t>
            </w:r>
            <w:r w:rsidR="00E54240" w:rsidRPr="00324C0C">
              <w:rPr>
                <w:sz w:val="20"/>
                <w:szCs w:val="20"/>
              </w:rPr>
              <w:t xml:space="preserve">Report for the “Boot” mouse buttons and movement </w:t>
            </w:r>
          </w:p>
        </w:tc>
      </w:tr>
    </w:tbl>
    <w:p w:rsidR="00872451" w:rsidRDefault="00872451"/>
    <w:p w:rsidR="008F05D4" w:rsidRDefault="008F05D4">
      <w:r>
        <w:lastRenderedPageBreak/>
        <w:t>RemoteWake: The HID Device can act as a wakeup for the HID Host (Like a keyboard or mouse for a PC)</w:t>
      </w:r>
    </w:p>
    <w:p w:rsidR="008F05D4" w:rsidRDefault="008F05D4">
      <w:r>
        <w:t>NormallyConnectable: The HID Device will advertise even when there is no activity on it. (This is used so that the HID Host can connect before human activity to reduce the perceived latency of the keyboard or mouse).</w:t>
      </w:r>
    </w:p>
    <w:p w:rsidR="008E79BE" w:rsidRDefault="002846B6">
      <w:r>
        <w:t xml:space="preserve">Refer to the </w:t>
      </w:r>
      <w:hyperlink r:id="rId5" w:history="1">
        <w:r w:rsidR="002B56D2" w:rsidRPr="005F7117">
          <w:rPr>
            <w:rStyle w:val="Hyperlink"/>
          </w:rPr>
          <w:t>http://developer.bluetooth.org/gatt/services/Pages/ServiceViewer.aspx?u=org.bluetooth.service.human_interface_device.xml</w:t>
        </w:r>
      </w:hyperlink>
      <w:r>
        <w:t xml:space="preserve"> for more details.</w:t>
      </w:r>
    </w:p>
    <w:p w:rsidR="000D4E2E" w:rsidRDefault="008E79BE">
      <w:r>
        <w:t>&lt;Scroll to continue reading…&gt;</w:t>
      </w:r>
      <w:bookmarkStart w:id="0" w:name="_GoBack"/>
      <w:bookmarkEnd w:id="0"/>
      <w:r w:rsidR="00BB4DB1">
        <w:br w:type="page"/>
      </w:r>
      <w:r w:rsidR="00D62CAD" w:rsidRPr="00D62CAD">
        <w:rPr>
          <w:b/>
          <w:bCs/>
        </w:rPr>
        <w:lastRenderedPageBreak/>
        <w:t>U</w:t>
      </w:r>
      <w:r w:rsidR="00051CBC" w:rsidRPr="00D62CAD">
        <w:rPr>
          <w:b/>
          <w:bCs/>
        </w:rPr>
        <w:t xml:space="preserve">sing the </w:t>
      </w:r>
      <w:r w:rsidR="000D4E2E" w:rsidRPr="00D62CAD">
        <w:rPr>
          <w:b/>
          <w:bCs/>
        </w:rPr>
        <w:t xml:space="preserve">HID </w:t>
      </w:r>
      <w:r w:rsidR="002846B6" w:rsidRPr="00D62CAD">
        <w:rPr>
          <w:b/>
          <w:bCs/>
        </w:rPr>
        <w:t xml:space="preserve">over GATT </w:t>
      </w:r>
      <w:r w:rsidR="000D4E2E" w:rsidRPr="00D62CAD">
        <w:rPr>
          <w:b/>
          <w:bCs/>
        </w:rPr>
        <w:t>Service</w:t>
      </w:r>
    </w:p>
    <w:p w:rsidR="00D62CAD" w:rsidRDefault="00D62CAD">
      <w:r>
        <w:t>Use</w:t>
      </w:r>
      <w:r w:rsidR="00D1590D">
        <w:t xml:space="preserve"> </w:t>
      </w:r>
      <w:r>
        <w:t xml:space="preserve">the </w:t>
      </w:r>
      <w:r w:rsidR="00D1590D">
        <w:t xml:space="preserve">HID over GATT Service Template which is in the </w:t>
      </w:r>
      <w:proofErr w:type="spellStart"/>
      <w:r w:rsidR="00D1590D">
        <w:t>nRFgo</w:t>
      </w:r>
      <w:proofErr w:type="spellEnd"/>
      <w:r w:rsidR="00D1590D">
        <w:t xml:space="preserve"> Studio.</w:t>
      </w:r>
      <w:r>
        <w:t xml:space="preserve"> </w:t>
      </w:r>
    </w:p>
    <w:p w:rsidR="00051CBC" w:rsidRDefault="00900DA8">
      <w:r>
        <w:t>USB Report Descriptor for the device</w:t>
      </w:r>
    </w:p>
    <w:p w:rsidR="00053E89" w:rsidRDefault="00900DA8" w:rsidP="00053E89">
      <w:pPr>
        <w:jc w:val="both"/>
      </w:pPr>
      <w:r>
        <w:t xml:space="preserve">The </w:t>
      </w:r>
      <w:r w:rsidR="00D62CAD">
        <w:t xml:space="preserve">USB </w:t>
      </w:r>
      <w:r>
        <w:t>Report Descriptor for the device should be created first</w:t>
      </w:r>
      <w:r w:rsidR="00D62CAD">
        <w:t xml:space="preserve"> or taken from an existing device</w:t>
      </w:r>
      <w:r>
        <w:t xml:space="preserve">. This should be valid USB </w:t>
      </w:r>
      <w:r w:rsidR="00D62CAD">
        <w:t xml:space="preserve">HID </w:t>
      </w:r>
      <w:r>
        <w:t xml:space="preserve">Report Descriptor. The size of the Report Descriptor should not exceed 512 bytes for a HID Service. Multiple </w:t>
      </w:r>
      <w:r w:rsidR="007F50A6">
        <w:t xml:space="preserve">instances of the </w:t>
      </w:r>
      <w:r>
        <w:t xml:space="preserve">HID </w:t>
      </w:r>
      <w:r w:rsidR="007F50A6">
        <w:t xml:space="preserve">over GATT Service </w:t>
      </w:r>
      <w:r>
        <w:t xml:space="preserve">can be created if the device being created requires Report Descriptors that are more than 512 bytes. The </w:t>
      </w:r>
      <w:r w:rsidR="006B6451">
        <w:t xml:space="preserve">USB </w:t>
      </w:r>
      <w:r>
        <w:t xml:space="preserve">Report Descriptor is placed in the </w:t>
      </w:r>
      <w:r w:rsidR="006B6451">
        <w:t xml:space="preserve">initial value of the </w:t>
      </w:r>
      <w:r>
        <w:t>Report Map Characteristic of a HID over GATT Service.</w:t>
      </w:r>
    </w:p>
    <w:p w:rsidR="00900DA8" w:rsidRDefault="007F50A6" w:rsidP="00053E89">
      <w:pPr>
        <w:jc w:val="both"/>
      </w:pPr>
      <w:r>
        <w:t>Reports for the Report Descriptor</w:t>
      </w:r>
    </w:p>
    <w:p w:rsidR="00426977" w:rsidRDefault="007F50A6" w:rsidP="006B6451">
      <w:pPr>
        <w:jc w:val="both"/>
      </w:pPr>
      <w:r>
        <w:t xml:space="preserve">The Reports that are present within the Report Descriptor are </w:t>
      </w:r>
      <w:r w:rsidR="006B6451">
        <w:t>listed;</w:t>
      </w:r>
      <w:r w:rsidR="00647CE2">
        <w:t xml:space="preserve"> the Report ID and Report Type for each of the Reports need to be </w:t>
      </w:r>
      <w:r w:rsidR="00426977">
        <w:t>identified</w:t>
      </w:r>
      <w:r>
        <w:t>. A Report Characteristic is created for each Report described in the Report Descriptor, except when a Report is mapped to a GATT Characteristic that already exists in a separate GATT Service.</w:t>
      </w:r>
      <w:r w:rsidR="000813C7">
        <w:t xml:space="preserve"> Set the size of the Report </w:t>
      </w:r>
    </w:p>
    <w:p w:rsidR="00426977" w:rsidRDefault="00FC7034" w:rsidP="006B6451">
      <w:pPr>
        <w:jc w:val="both"/>
      </w:pPr>
      <w:r>
        <w:t xml:space="preserve">A Report Reference Characteristic Descriptor is added for every Report Characteristic and for GATT Characteristics that exist in a separate GATT Services. </w:t>
      </w:r>
      <w:r w:rsidR="00426977">
        <w:t xml:space="preserve"> The Report Reference Characteristic has the Report ID and Report Type. </w:t>
      </w:r>
    </w:p>
    <w:p w:rsidR="007F50A6" w:rsidRDefault="006B6451">
      <w:r>
        <w:t xml:space="preserve"> </w:t>
      </w:r>
      <w:r w:rsidR="00647CE2">
        <w:br w:type="page"/>
      </w:r>
    </w:p>
    <w:p w:rsidR="00D7006E" w:rsidRDefault="00D7006E">
      <w:r>
        <w:t xml:space="preserve">Getting started with the HID over GATT Service using </w:t>
      </w:r>
      <w:proofErr w:type="spellStart"/>
      <w:r>
        <w:t>nRFgo</w:t>
      </w:r>
      <w:proofErr w:type="spellEnd"/>
      <w:r>
        <w:t xml:space="preserve"> Studio</w:t>
      </w:r>
      <w:r w:rsidR="000813C7" w:rsidRPr="00FC7034">
        <w:object w:dxaOrig="504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40.3pt" o:ole="">
            <v:imagedata r:id="rId6" o:title=""/>
          </v:shape>
          <o:OLEObject Type="Embed" ProgID="Package" ShapeID="_x0000_i1025" DrawAspect="Content" ObjectID="_1416924203" r:id="rId7"/>
        </w:object>
      </w:r>
    </w:p>
    <w:p w:rsidR="002F7DBE" w:rsidRDefault="00051CBC">
      <w:r>
        <w:t xml:space="preserve">Use the HID over GATT Service provided in the </w:t>
      </w:r>
      <w:proofErr w:type="spellStart"/>
      <w:r>
        <w:t>nRFgo</w:t>
      </w:r>
      <w:proofErr w:type="spellEnd"/>
      <w:r>
        <w:t xml:space="preserve"> studio Service Templates to get started. Click on the “nRF8001 configuration”. Select the “nRF8001 D/DX” in the Device. Drag the “HID over GATT Service” and drop it under the “Local” tab. See the attached QuickTime video on how to do this.</w:t>
      </w:r>
    </w:p>
    <w:p w:rsidR="00553AA7" w:rsidRDefault="000813C7">
      <w:r>
        <w:t>Initialize the values for HID Report Map.</w:t>
      </w:r>
    </w:p>
    <w:p w:rsidR="000813C7" w:rsidRDefault="008E79BE">
      <w:r>
        <w:rPr>
          <w:noProof/>
        </w:rPr>
        <w:pict>
          <v:shapetype id="_x0000_t202" coordsize="21600,21600" o:spt="202" path="m,l,21600r21600,l21600,xe">
            <v:stroke joinstyle="miter"/>
            <v:path gradientshapeok="t" o:connecttype="rect"/>
          </v:shapetype>
          <v:shape id="_x0000_s1041" type="#_x0000_t202" style="position:absolute;margin-left:9.35pt;margin-top:227.75pt;width:202.05pt;height:19.4pt;z-index:251675648;mso-position-horizontal-relative:text;mso-position-vertical-relative:text" stroked="f">
            <v:textbox style="mso-fit-shape-to-text:t" inset="0,0,0,0">
              <w:txbxContent>
                <w:p w:rsidR="00F75945" w:rsidRPr="00F75945" w:rsidRDefault="00F75945" w:rsidP="00F75945">
                  <w:pPr>
                    <w:pStyle w:val="Caption"/>
                    <w:rPr>
                      <w:noProof/>
                      <w:sz w:val="22"/>
                      <w:szCs w:val="22"/>
                    </w:rPr>
                  </w:pPr>
                  <w:r w:rsidRPr="00F75945">
                    <w:rPr>
                      <w:sz w:val="16"/>
                      <w:szCs w:val="16"/>
                    </w:rPr>
                    <w:t xml:space="preserve">Figure </w:t>
                  </w:r>
                  <w:r w:rsidRPr="00F75945">
                    <w:rPr>
                      <w:sz w:val="16"/>
                      <w:szCs w:val="16"/>
                    </w:rPr>
                    <w:fldChar w:fldCharType="begin"/>
                  </w:r>
                  <w:r w:rsidRPr="00F75945">
                    <w:rPr>
                      <w:sz w:val="16"/>
                      <w:szCs w:val="16"/>
                    </w:rPr>
                    <w:instrText xml:space="preserve"> SEQ Figure \* ARABIC </w:instrText>
                  </w:r>
                  <w:r w:rsidRPr="00F75945">
                    <w:rPr>
                      <w:sz w:val="16"/>
                      <w:szCs w:val="16"/>
                    </w:rPr>
                    <w:fldChar w:fldCharType="separate"/>
                  </w:r>
                  <w:r>
                    <w:rPr>
                      <w:noProof/>
                      <w:sz w:val="16"/>
                      <w:szCs w:val="16"/>
                    </w:rPr>
                    <w:t>1</w:t>
                  </w:r>
                  <w:r w:rsidRPr="00F75945">
                    <w:rPr>
                      <w:sz w:val="16"/>
                      <w:szCs w:val="16"/>
                    </w:rPr>
                    <w:fldChar w:fldCharType="end"/>
                  </w:r>
                  <w:r w:rsidRPr="00F75945">
                    <w:rPr>
                      <w:sz w:val="16"/>
                      <w:szCs w:val="16"/>
                    </w:rPr>
                    <w:t xml:space="preserve"> Initialize the values for the HID Report Map</w:t>
                  </w:r>
                </w:p>
              </w:txbxContent>
            </v:textbox>
            <w10:wrap type="square"/>
          </v:shape>
        </w:pict>
      </w:r>
      <w:r w:rsidR="00F75945">
        <w:rPr>
          <w:noProof/>
          <w:lang w:bidi="ta-IN"/>
        </w:rPr>
        <w:drawing>
          <wp:anchor distT="0" distB="0" distL="114300" distR="114300" simplePos="0" relativeHeight="251659264" behindDoc="0" locked="0" layoutInCell="1" allowOverlap="1" wp14:anchorId="499E1EC9" wp14:editId="520FDC3C">
            <wp:simplePos x="0" y="0"/>
            <wp:positionH relativeFrom="column">
              <wp:posOffset>53975</wp:posOffset>
            </wp:positionH>
            <wp:positionV relativeFrom="paragraph">
              <wp:posOffset>45085</wp:posOffset>
            </wp:positionV>
            <wp:extent cx="2566035" cy="2824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6035" cy="2824480"/>
                    </a:xfrm>
                    <a:prstGeom prst="rect">
                      <a:avLst/>
                    </a:prstGeom>
                  </pic:spPr>
                </pic:pic>
              </a:graphicData>
            </a:graphic>
            <wp14:sizeRelH relativeFrom="page">
              <wp14:pctWidth>0</wp14:pctWidth>
            </wp14:sizeRelH>
            <wp14:sizeRelV relativeFrom="page">
              <wp14:pctHeight>0</wp14:pctHeight>
            </wp14:sizeRelV>
          </wp:anchor>
        </w:drawing>
      </w:r>
      <w:r w:rsidR="00553AA7">
        <w:br w:type="page"/>
      </w:r>
      <w:r w:rsidR="00553AA7">
        <w:lastRenderedPageBreak/>
        <w:t>Adding an new Report to a HID over GATT Service</w:t>
      </w:r>
    </w:p>
    <w:p w:rsidR="00BD78F9" w:rsidRDefault="00BD78F9">
      <w:r>
        <w:t>Add Reports to the HID over GATT Service in the nRF8001 configuration to match the number of Reports as described in the Report Descriptor.</w:t>
      </w:r>
    </w:p>
    <w:p w:rsidR="006307BE" w:rsidRDefault="008E79BE">
      <w:r>
        <w:rPr>
          <w:noProof/>
        </w:rPr>
        <w:pict>
          <v:shape id="_x0000_s1044" type="#_x0000_t75" style="position:absolute;margin-left:4.75pt;margin-top:19.2pt;width:143.05pt;height:40.3pt;z-index:251681792;mso-position-horizontal-relative:text;mso-position-vertical-relative:text">
            <v:imagedata r:id="rId9" o:title=""/>
            <w10:wrap type="square"/>
          </v:shape>
          <o:OLEObject Type="Embed" ProgID="Package" ShapeID="_x0000_s1044" DrawAspect="Content" ObjectID="_1416924204" r:id="rId10"/>
        </w:pict>
      </w:r>
    </w:p>
    <w:p w:rsidR="00BD78F9" w:rsidRDefault="00BD78F9"/>
    <w:p w:rsidR="006307BE" w:rsidRDefault="00E942AE">
      <w:r>
        <w:rPr>
          <w:noProof/>
          <w:lang w:bidi="ta-IN"/>
        </w:rPr>
        <w:drawing>
          <wp:anchor distT="0" distB="0" distL="114300" distR="114300" simplePos="0" relativeHeight="251672576" behindDoc="0" locked="0" layoutInCell="1" allowOverlap="1" wp14:anchorId="51280791" wp14:editId="07B72FEE">
            <wp:simplePos x="0" y="0"/>
            <wp:positionH relativeFrom="column">
              <wp:posOffset>-2049780</wp:posOffset>
            </wp:positionH>
            <wp:positionV relativeFrom="paragraph">
              <wp:posOffset>193040</wp:posOffset>
            </wp:positionV>
            <wp:extent cx="2602865" cy="2865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02865" cy="2865120"/>
                    </a:xfrm>
                    <a:prstGeom prst="rect">
                      <a:avLst/>
                    </a:prstGeom>
                  </pic:spPr>
                </pic:pic>
              </a:graphicData>
            </a:graphic>
            <wp14:sizeRelH relativeFrom="page">
              <wp14:pctWidth>0</wp14:pctWidth>
            </wp14:sizeRelH>
            <wp14:sizeRelV relativeFrom="page">
              <wp14:pctHeight>0</wp14:pctHeight>
            </wp14:sizeRelV>
          </wp:anchor>
        </w:drawing>
      </w:r>
    </w:p>
    <w:p w:rsidR="00E942AE" w:rsidRDefault="00E942AE"/>
    <w:p w:rsidR="00E942AE" w:rsidRDefault="00E942AE"/>
    <w:p w:rsidR="00E942AE" w:rsidRDefault="00E942AE"/>
    <w:p w:rsidR="00E942AE" w:rsidRDefault="00E942AE"/>
    <w:p w:rsidR="00E942AE" w:rsidRDefault="00E942AE"/>
    <w:p w:rsidR="00E942AE" w:rsidRDefault="00E942AE"/>
    <w:p w:rsidR="00E942AE" w:rsidRDefault="00E942AE"/>
    <w:p w:rsidR="00E942AE" w:rsidRDefault="008E79BE">
      <w:r>
        <w:rPr>
          <w:noProof/>
        </w:rPr>
        <w:pict>
          <v:shape id="_x0000_s1043" type="#_x0000_t202" style="position:absolute;margin-left:-214.85pt;margin-top:34.7pt;width:221.3pt;height:19.4pt;z-index:251679744;mso-position-horizontal-relative:text;mso-position-vertical-relative:text" stroked="f">
            <v:textbox style="mso-fit-shape-to-text:t" inset="0,0,0,0">
              <w:txbxContent>
                <w:p w:rsidR="00F75945" w:rsidRPr="006307BE" w:rsidRDefault="00F75945" w:rsidP="00F75945">
                  <w:pPr>
                    <w:pStyle w:val="Caption"/>
                    <w:rPr>
                      <w:noProof/>
                      <w:sz w:val="22"/>
                      <w:szCs w:val="22"/>
                    </w:rPr>
                  </w:pPr>
                  <w:r w:rsidRPr="006307BE">
                    <w:rPr>
                      <w:sz w:val="16"/>
                      <w:szCs w:val="16"/>
                    </w:rPr>
                    <w:t xml:space="preserve">Figure </w:t>
                  </w:r>
                  <w:r w:rsidRPr="006307BE">
                    <w:rPr>
                      <w:sz w:val="16"/>
                      <w:szCs w:val="16"/>
                    </w:rPr>
                    <w:fldChar w:fldCharType="begin"/>
                  </w:r>
                  <w:r w:rsidRPr="006307BE">
                    <w:rPr>
                      <w:sz w:val="16"/>
                      <w:szCs w:val="16"/>
                    </w:rPr>
                    <w:instrText xml:space="preserve"> SEQ Figure \* ARABIC </w:instrText>
                  </w:r>
                  <w:r w:rsidRPr="006307BE">
                    <w:rPr>
                      <w:sz w:val="16"/>
                      <w:szCs w:val="16"/>
                    </w:rPr>
                    <w:fldChar w:fldCharType="separate"/>
                  </w:r>
                  <w:r w:rsidRPr="006307BE">
                    <w:rPr>
                      <w:noProof/>
                      <w:sz w:val="16"/>
                      <w:szCs w:val="16"/>
                    </w:rPr>
                    <w:t>2</w:t>
                  </w:r>
                  <w:r w:rsidRPr="006307BE">
                    <w:rPr>
                      <w:sz w:val="16"/>
                      <w:szCs w:val="16"/>
                    </w:rPr>
                    <w:fldChar w:fldCharType="end"/>
                  </w:r>
                  <w:r w:rsidRPr="006307BE">
                    <w:rPr>
                      <w:sz w:val="16"/>
                      <w:szCs w:val="16"/>
                    </w:rPr>
                    <w:t xml:space="preserve"> Set the Max data length to the size of the Report</w:t>
                  </w:r>
                </w:p>
              </w:txbxContent>
            </v:textbox>
            <w10:wrap type="square"/>
          </v:shape>
        </w:pict>
      </w:r>
    </w:p>
    <w:p w:rsidR="00BC4C63" w:rsidRDefault="00BC4C63"/>
    <w:p w:rsidR="00BC4C63" w:rsidRDefault="00BC4C63"/>
    <w:p w:rsidR="007C263A" w:rsidRDefault="007C263A">
      <w:r>
        <w:t xml:space="preserve">Edit the </w:t>
      </w:r>
      <w:r w:rsidR="00F75945">
        <w:t xml:space="preserve">default value in the </w:t>
      </w:r>
      <w:r>
        <w:t xml:space="preserve">Report Reference Characteristic </w:t>
      </w:r>
      <w:r w:rsidR="006307BE">
        <w:t>to have the correct Report ID and Report Type.</w:t>
      </w:r>
      <w:r w:rsidR="00BC4C63">
        <w:t xml:space="preserve"> Select use fixed length</w:t>
      </w:r>
      <w:r w:rsidR="00A1574B">
        <w:t xml:space="preserve"> since the size is always fixed to 2 bytes</w:t>
      </w:r>
      <w:r w:rsidR="00BC4C63">
        <w:t>.</w:t>
      </w:r>
    </w:p>
    <w:p w:rsidR="00051CBC" w:rsidRPr="00051CBC" w:rsidRDefault="00BC4C63">
      <w:r>
        <w:rPr>
          <w:noProof/>
          <w:lang w:bidi="ta-IN"/>
        </w:rPr>
        <w:drawing>
          <wp:anchor distT="0" distB="0" distL="114300" distR="114300" simplePos="0" relativeHeight="251673600" behindDoc="0" locked="0" layoutInCell="1" allowOverlap="1" wp14:anchorId="3E37EB62" wp14:editId="024DD257">
            <wp:simplePos x="0" y="0"/>
            <wp:positionH relativeFrom="column">
              <wp:posOffset>2637155</wp:posOffset>
            </wp:positionH>
            <wp:positionV relativeFrom="paragraph">
              <wp:posOffset>271145</wp:posOffset>
            </wp:positionV>
            <wp:extent cx="3089910" cy="27184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718435"/>
                    </a:xfrm>
                    <a:prstGeom prst="rect">
                      <a:avLst/>
                    </a:prstGeom>
                  </pic:spPr>
                </pic:pic>
              </a:graphicData>
            </a:graphic>
            <wp14:sizeRelH relativeFrom="page">
              <wp14:pctWidth>0</wp14:pctWidth>
            </wp14:sizeRelH>
            <wp14:sizeRelV relativeFrom="page">
              <wp14:pctHeight>0</wp14:pctHeight>
            </wp14:sizeRelV>
          </wp:anchor>
        </w:drawing>
      </w:r>
      <w:r>
        <w:rPr>
          <w:noProof/>
          <w:lang w:bidi="ta-IN"/>
        </w:rPr>
        <w:drawing>
          <wp:anchor distT="0" distB="0" distL="114300" distR="114300" simplePos="0" relativeHeight="251677696" behindDoc="0" locked="0" layoutInCell="1" allowOverlap="1" wp14:anchorId="42DA26C9" wp14:editId="460EBB65">
            <wp:simplePos x="0" y="0"/>
            <wp:positionH relativeFrom="column">
              <wp:posOffset>-181610</wp:posOffset>
            </wp:positionH>
            <wp:positionV relativeFrom="paragraph">
              <wp:posOffset>24130</wp:posOffset>
            </wp:positionV>
            <wp:extent cx="2694305" cy="2965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94305" cy="2965450"/>
                    </a:xfrm>
                    <a:prstGeom prst="rect">
                      <a:avLst/>
                    </a:prstGeom>
                  </pic:spPr>
                </pic:pic>
              </a:graphicData>
            </a:graphic>
            <wp14:sizeRelH relativeFrom="page">
              <wp14:pctWidth>0</wp14:pctWidth>
            </wp14:sizeRelH>
            <wp14:sizeRelV relativeFrom="page">
              <wp14:pctHeight>0</wp14:pctHeight>
            </wp14:sizeRelV>
          </wp:anchor>
        </w:drawing>
      </w:r>
      <w:r w:rsidR="00F75945">
        <w:br w:type="page"/>
      </w:r>
      <w:r w:rsidR="00FE53C7">
        <w:lastRenderedPageBreak/>
        <w:t>Setting the GATT Appearance Characteristic</w:t>
      </w:r>
    </w:p>
    <w:p w:rsidR="00051CBC" w:rsidRDefault="000813C7">
      <w:r w:rsidRPr="000813C7">
        <w:rPr>
          <w:noProof/>
          <w:lang w:bidi="ta-IN"/>
        </w:rPr>
        <w:t xml:space="preserve">  </w:t>
      </w:r>
      <w:r w:rsidR="007C263A">
        <w:rPr>
          <w:noProof/>
          <w:lang w:bidi="ta-IN"/>
        </w:rPr>
        <w:t>&lt;&lt;To be added&gt;&gt;</w:t>
      </w:r>
    </w:p>
    <w:sectPr w:rsidR="00051CBC" w:rsidSect="00575F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575F59"/>
    <w:rsid w:val="0003636E"/>
    <w:rsid w:val="00051CBC"/>
    <w:rsid w:val="00053E89"/>
    <w:rsid w:val="000813C7"/>
    <w:rsid w:val="000A4ED7"/>
    <w:rsid w:val="000B1C4E"/>
    <w:rsid w:val="000D4E2E"/>
    <w:rsid w:val="000F1066"/>
    <w:rsid w:val="001144F7"/>
    <w:rsid w:val="001D2BEA"/>
    <w:rsid w:val="002846B6"/>
    <w:rsid w:val="002B56D2"/>
    <w:rsid w:val="002F7DBE"/>
    <w:rsid w:val="00324C0C"/>
    <w:rsid w:val="00343AC4"/>
    <w:rsid w:val="003E36A1"/>
    <w:rsid w:val="003F103F"/>
    <w:rsid w:val="00426977"/>
    <w:rsid w:val="00477DDF"/>
    <w:rsid w:val="00553AA7"/>
    <w:rsid w:val="00573BC5"/>
    <w:rsid w:val="00575F59"/>
    <w:rsid w:val="006307BE"/>
    <w:rsid w:val="00647CE2"/>
    <w:rsid w:val="00652AB1"/>
    <w:rsid w:val="00672541"/>
    <w:rsid w:val="00677C6A"/>
    <w:rsid w:val="006B6451"/>
    <w:rsid w:val="007C263A"/>
    <w:rsid w:val="007C7A49"/>
    <w:rsid w:val="007F50A6"/>
    <w:rsid w:val="007F7326"/>
    <w:rsid w:val="00863691"/>
    <w:rsid w:val="00872451"/>
    <w:rsid w:val="008E79BE"/>
    <w:rsid w:val="008F05D4"/>
    <w:rsid w:val="00900DA8"/>
    <w:rsid w:val="00961D9F"/>
    <w:rsid w:val="0097152B"/>
    <w:rsid w:val="00A1574B"/>
    <w:rsid w:val="00A16103"/>
    <w:rsid w:val="00A635A6"/>
    <w:rsid w:val="00B16A56"/>
    <w:rsid w:val="00B4703E"/>
    <w:rsid w:val="00B5377B"/>
    <w:rsid w:val="00B544DE"/>
    <w:rsid w:val="00BB4DB1"/>
    <w:rsid w:val="00BC4C63"/>
    <w:rsid w:val="00BD78F9"/>
    <w:rsid w:val="00CC3EAA"/>
    <w:rsid w:val="00CD7A21"/>
    <w:rsid w:val="00CE19B7"/>
    <w:rsid w:val="00D1590D"/>
    <w:rsid w:val="00D62CAD"/>
    <w:rsid w:val="00D7006E"/>
    <w:rsid w:val="00DA6C60"/>
    <w:rsid w:val="00DA731E"/>
    <w:rsid w:val="00DF3BDF"/>
    <w:rsid w:val="00E46A69"/>
    <w:rsid w:val="00E54240"/>
    <w:rsid w:val="00E77C4D"/>
    <w:rsid w:val="00E942AE"/>
    <w:rsid w:val="00F03825"/>
    <w:rsid w:val="00F75945"/>
    <w:rsid w:val="00FC7034"/>
    <w:rsid w:val="00FE53C7"/>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319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846B6"/>
    <w:rPr>
      <w:color w:val="0000FF" w:themeColor="hyperlink"/>
      <w:u w:val="single"/>
    </w:rPr>
  </w:style>
  <w:style w:type="paragraph" w:styleId="BalloonText">
    <w:name w:val="Balloon Text"/>
    <w:basedOn w:val="Normal"/>
    <w:link w:val="BalloonTextChar"/>
    <w:uiPriority w:val="99"/>
    <w:semiHidden/>
    <w:unhideWhenUsed/>
    <w:rsid w:val="004269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977"/>
    <w:rPr>
      <w:rFonts w:ascii="Tahoma" w:hAnsi="Tahoma" w:cs="Tahoma"/>
      <w:sz w:val="16"/>
      <w:szCs w:val="16"/>
    </w:rPr>
  </w:style>
  <w:style w:type="paragraph" w:styleId="Caption">
    <w:name w:val="caption"/>
    <w:basedOn w:val="Normal"/>
    <w:next w:val="Normal"/>
    <w:uiPriority w:val="35"/>
    <w:unhideWhenUsed/>
    <w:qFormat/>
    <w:rsid w:val="00F75945"/>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developer.bluetooth.org/gatt/services/Pages/ServiceViewer.aspx?u=org.bluetooth.service.human_interface_device.xml" TargetMode="Externa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Nordic Semiconductor ASA</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Edwin, David</cp:lastModifiedBy>
  <cp:revision>57</cp:revision>
  <dcterms:created xsi:type="dcterms:W3CDTF">2012-02-13T06:26:00Z</dcterms:created>
  <dcterms:modified xsi:type="dcterms:W3CDTF">2012-12-13T16:17:00Z</dcterms:modified>
</cp:coreProperties>
</file>