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Een touchpoint is eigenlijk elke vorm van interactie die je klant met jou heeft, van het eerste tot het laatste contact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Reclame op tv youtube en van influencers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het product moet opvallen tussen de andere producten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goeie klanten service en goed contact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met gratis verzending of iets erbij voor gratis zodat de klant overgehaalt 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goede klantenservice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deel 2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filmpje 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hoe ze reageren op verandering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 ---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 ---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1 winkelwagens weggehaald voor shopping butlers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 ze reageren verrast op dat de winkelwagens weg zijn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 aandacht en actie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een routesysteem dat je naar het product brengt, mooie schilderijen rond het pand, iets voor de kinderen om wat te doen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filmpje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een niet grappige sketch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de man denkt dat hij een 5 sterren maaltijd krijgt maar het is meer een gaarkeuken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SEA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netjes zijn, goede klantenservice, iets extra’s bieden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filmpje 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Opeens wordt alles frans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Ze worden er op een of andere magische manier blij van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het begin awereness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52525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Gratis vouchers, korting en goeie service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52525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