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65BE" w:rsidRPr="00B47B42" w:rsidRDefault="00B47B42">
      <w:pPr>
        <w:rPr>
          <w:sz w:val="32"/>
          <w:szCs w:val="32"/>
          <w:lang w:val="fr-BE"/>
        </w:rPr>
      </w:pPr>
      <w:bookmarkStart w:id="0" w:name="_GoBack"/>
      <w:bookmarkEnd w:id="0"/>
      <w:r w:rsidRPr="00B47B42">
        <w:rPr>
          <w:sz w:val="32"/>
          <w:szCs w:val="32"/>
          <w:lang w:val="fr-BE"/>
        </w:rPr>
        <w:t>Métrique d’évaluation</w:t>
      </w:r>
    </w:p>
    <w:p w:rsidR="00B47B42" w:rsidRPr="00B47B42" w:rsidRDefault="00B47B42">
      <w:pPr>
        <w:rPr>
          <w:b/>
          <w:sz w:val="24"/>
          <w:szCs w:val="24"/>
          <w:lang w:val="fr-BE"/>
        </w:rPr>
      </w:pPr>
      <w:r w:rsidRPr="00B47B42">
        <w:rPr>
          <w:b/>
          <w:sz w:val="24"/>
          <w:szCs w:val="24"/>
          <w:lang w:val="fr-BE"/>
        </w:rPr>
        <w:t>Choix de la métrique</w:t>
      </w:r>
    </w:p>
    <w:p w:rsidR="00B47B42" w:rsidRPr="00B47B42" w:rsidRDefault="00B47B42">
      <w:pPr>
        <w:rPr>
          <w:sz w:val="24"/>
          <w:szCs w:val="24"/>
          <w:lang w:val="fr-BE"/>
        </w:rPr>
      </w:pPr>
      <w:r w:rsidRPr="00B47B42">
        <w:rPr>
          <w:sz w:val="24"/>
          <w:szCs w:val="24"/>
          <w:lang w:val="fr-BE"/>
        </w:rPr>
        <w:t>Dans le jeu de données, il y’a une part de 92 % des clients qui n’ont pas d’incident de paiement tandis que seulement de 8% des clients ont eu des incidents.</w:t>
      </w:r>
    </w:p>
    <w:p w:rsidR="00B47B42" w:rsidRPr="00B47B42" w:rsidRDefault="00B47B42">
      <w:pPr>
        <w:rPr>
          <w:sz w:val="24"/>
          <w:szCs w:val="24"/>
          <w:lang w:val="fr-BE"/>
        </w:rPr>
      </w:pPr>
      <w:r w:rsidRPr="00B47B42">
        <w:rPr>
          <w:sz w:val="24"/>
          <w:szCs w:val="24"/>
          <w:lang w:val="fr-BE"/>
        </w:rPr>
        <w:t>La matrice de précision se présente ainsi :</w:t>
      </w:r>
    </w:p>
    <w:p w:rsidR="00B47B42" w:rsidRPr="00B47B42" w:rsidRDefault="00B47B42">
      <w:pPr>
        <w:rPr>
          <w:sz w:val="24"/>
          <w:szCs w:val="24"/>
          <w:lang w:val="fr-BE"/>
        </w:rPr>
      </w:pPr>
    </w:p>
    <w:tbl>
      <w:tblPr>
        <w:tblStyle w:val="TableGrid"/>
        <w:tblW w:w="0" w:type="auto"/>
        <w:tblLook w:val="04A0" w:firstRow="1" w:lastRow="0" w:firstColumn="1" w:lastColumn="0" w:noHBand="0" w:noVBand="1"/>
      </w:tblPr>
      <w:tblGrid>
        <w:gridCol w:w="3005"/>
        <w:gridCol w:w="3005"/>
        <w:gridCol w:w="3006"/>
      </w:tblGrid>
      <w:tr w:rsidR="00B47B42" w:rsidRPr="00B47B42" w:rsidTr="00B47B42">
        <w:tc>
          <w:tcPr>
            <w:tcW w:w="3005" w:type="dxa"/>
          </w:tcPr>
          <w:p w:rsidR="00B47B42" w:rsidRPr="00B47B42" w:rsidRDefault="00B47B42">
            <w:pPr>
              <w:rPr>
                <w:sz w:val="24"/>
                <w:szCs w:val="24"/>
                <w:lang w:val="fr-BE"/>
              </w:rPr>
            </w:pPr>
          </w:p>
        </w:tc>
        <w:tc>
          <w:tcPr>
            <w:tcW w:w="3005" w:type="dxa"/>
          </w:tcPr>
          <w:p w:rsidR="00B47B42" w:rsidRPr="00B47B42" w:rsidRDefault="00B47B42">
            <w:pPr>
              <w:rPr>
                <w:sz w:val="24"/>
                <w:szCs w:val="24"/>
                <w:lang w:val="fr-BE"/>
              </w:rPr>
            </w:pPr>
            <w:r w:rsidRPr="00B47B42">
              <w:rPr>
                <w:sz w:val="24"/>
                <w:szCs w:val="24"/>
                <w:lang w:val="fr-BE"/>
              </w:rPr>
              <w:t>Clients prédits sans risque</w:t>
            </w:r>
          </w:p>
        </w:tc>
        <w:tc>
          <w:tcPr>
            <w:tcW w:w="3006" w:type="dxa"/>
          </w:tcPr>
          <w:p w:rsidR="00B47B42" w:rsidRPr="00B47B42" w:rsidRDefault="00B47B42" w:rsidP="00B47B42">
            <w:pPr>
              <w:rPr>
                <w:sz w:val="24"/>
                <w:szCs w:val="24"/>
                <w:lang w:val="fr-BE"/>
              </w:rPr>
            </w:pPr>
            <w:r w:rsidRPr="00B47B42">
              <w:rPr>
                <w:sz w:val="24"/>
                <w:szCs w:val="24"/>
                <w:lang w:val="fr-BE"/>
              </w:rPr>
              <w:t>Clients prédits en risque</w:t>
            </w:r>
          </w:p>
        </w:tc>
      </w:tr>
      <w:tr w:rsidR="00B47B42" w:rsidRPr="00B47B42" w:rsidTr="00B47B42">
        <w:tc>
          <w:tcPr>
            <w:tcW w:w="3005" w:type="dxa"/>
          </w:tcPr>
          <w:p w:rsidR="00B47B42" w:rsidRPr="00B47B42" w:rsidRDefault="00B47B42">
            <w:pPr>
              <w:rPr>
                <w:sz w:val="24"/>
                <w:szCs w:val="24"/>
                <w:lang w:val="fr-BE"/>
              </w:rPr>
            </w:pPr>
            <w:r w:rsidRPr="00B47B42">
              <w:rPr>
                <w:sz w:val="24"/>
                <w:szCs w:val="24"/>
                <w:lang w:val="fr-BE"/>
              </w:rPr>
              <w:t>Clients sans défaut</w:t>
            </w:r>
          </w:p>
        </w:tc>
        <w:tc>
          <w:tcPr>
            <w:tcW w:w="3005" w:type="dxa"/>
          </w:tcPr>
          <w:p w:rsidR="00B47B42" w:rsidRPr="00B47B42" w:rsidRDefault="00B47B42" w:rsidP="00B47B42">
            <w:pPr>
              <w:rPr>
                <w:sz w:val="24"/>
                <w:szCs w:val="24"/>
                <w:lang w:val="fr-BE"/>
              </w:rPr>
            </w:pPr>
            <w:r w:rsidRPr="00B47B42">
              <w:rPr>
                <w:sz w:val="24"/>
                <w:szCs w:val="24"/>
                <w:lang w:val="fr-BE"/>
              </w:rPr>
              <w:t>Vrais négatif</w:t>
            </w:r>
          </w:p>
        </w:tc>
        <w:tc>
          <w:tcPr>
            <w:tcW w:w="3006" w:type="dxa"/>
          </w:tcPr>
          <w:p w:rsidR="00B47B42" w:rsidRPr="00B47B42" w:rsidRDefault="00B47B42">
            <w:pPr>
              <w:rPr>
                <w:sz w:val="24"/>
                <w:szCs w:val="24"/>
                <w:lang w:val="fr-BE"/>
              </w:rPr>
            </w:pPr>
            <w:r w:rsidRPr="00B47B42">
              <w:rPr>
                <w:sz w:val="24"/>
                <w:szCs w:val="24"/>
                <w:lang w:val="fr-BE"/>
              </w:rPr>
              <w:t>Faux positif</w:t>
            </w:r>
          </w:p>
        </w:tc>
      </w:tr>
      <w:tr w:rsidR="00B47B42" w:rsidRPr="00B47B42" w:rsidTr="00B47B42">
        <w:tc>
          <w:tcPr>
            <w:tcW w:w="3005" w:type="dxa"/>
          </w:tcPr>
          <w:p w:rsidR="00B47B42" w:rsidRPr="00B47B42" w:rsidRDefault="00B47B42">
            <w:pPr>
              <w:rPr>
                <w:sz w:val="24"/>
                <w:szCs w:val="24"/>
                <w:lang w:val="fr-BE"/>
              </w:rPr>
            </w:pPr>
            <w:r w:rsidRPr="00B47B42">
              <w:rPr>
                <w:sz w:val="24"/>
                <w:szCs w:val="24"/>
                <w:lang w:val="fr-BE"/>
              </w:rPr>
              <w:t>Clients réellement en défaut</w:t>
            </w:r>
          </w:p>
        </w:tc>
        <w:tc>
          <w:tcPr>
            <w:tcW w:w="3005" w:type="dxa"/>
          </w:tcPr>
          <w:p w:rsidR="00B47B42" w:rsidRPr="00B47B42" w:rsidRDefault="00B47B42">
            <w:pPr>
              <w:rPr>
                <w:sz w:val="24"/>
                <w:szCs w:val="24"/>
                <w:lang w:val="fr-BE"/>
              </w:rPr>
            </w:pPr>
            <w:r w:rsidRPr="00B47B42">
              <w:rPr>
                <w:sz w:val="24"/>
                <w:szCs w:val="24"/>
                <w:lang w:val="fr-BE"/>
              </w:rPr>
              <w:t>Faux négatif</w:t>
            </w:r>
          </w:p>
        </w:tc>
        <w:tc>
          <w:tcPr>
            <w:tcW w:w="3006" w:type="dxa"/>
          </w:tcPr>
          <w:p w:rsidR="00B47B42" w:rsidRPr="00B47B42" w:rsidRDefault="00B47B42">
            <w:pPr>
              <w:rPr>
                <w:sz w:val="24"/>
                <w:szCs w:val="24"/>
                <w:lang w:val="fr-BE"/>
              </w:rPr>
            </w:pPr>
            <w:r w:rsidRPr="00B47B42">
              <w:rPr>
                <w:sz w:val="24"/>
                <w:szCs w:val="24"/>
                <w:lang w:val="fr-BE"/>
              </w:rPr>
              <w:t>Vrais positif</w:t>
            </w:r>
          </w:p>
        </w:tc>
      </w:tr>
    </w:tbl>
    <w:p w:rsidR="00B47B42" w:rsidRPr="00B47B42" w:rsidRDefault="00B47B42">
      <w:pPr>
        <w:rPr>
          <w:sz w:val="24"/>
          <w:szCs w:val="24"/>
          <w:lang w:val="fr-BE"/>
        </w:rPr>
      </w:pPr>
    </w:p>
    <w:p w:rsidR="00B47B42" w:rsidRDefault="00B47B42">
      <w:pPr>
        <w:rPr>
          <w:lang w:val="fr-BE"/>
        </w:rPr>
      </w:pPr>
      <w:r w:rsidRPr="00B47B42">
        <w:rPr>
          <w:sz w:val="24"/>
          <w:szCs w:val="24"/>
          <w:lang w:val="fr-BE"/>
        </w:rPr>
        <w:t xml:space="preserve">Les pertes financières liées aux défauts de paiement sont bien plus important que la perte potentielle de clients. Il est donc préférable de mieux prédire les clients en risque de défaut de paiement. On essaiera donc de maximiser le </w:t>
      </w:r>
      <w:proofErr w:type="spellStart"/>
      <w:r w:rsidRPr="00B47B42">
        <w:rPr>
          <w:sz w:val="24"/>
          <w:szCs w:val="24"/>
          <w:lang w:val="fr-BE"/>
        </w:rPr>
        <w:t>recall</w:t>
      </w:r>
      <w:proofErr w:type="spellEnd"/>
      <w:r w:rsidRPr="00B47B42">
        <w:rPr>
          <w:sz w:val="24"/>
          <w:szCs w:val="24"/>
          <w:lang w:val="fr-BE"/>
        </w:rPr>
        <w:t> :</w:t>
      </w:r>
    </w:p>
    <w:p w:rsidR="00B47B42" w:rsidRDefault="00B47B42">
      <w:pPr>
        <w:rPr>
          <w:lang w:val="fr-BE"/>
        </w:rPr>
      </w:pPr>
    </w:p>
    <w:p w:rsidR="00B47B42" w:rsidRDefault="00B47B42">
      <w:pPr>
        <w:rPr>
          <w:lang w:val="fr-BE"/>
        </w:rPr>
      </w:pPr>
      <w:r>
        <w:rPr>
          <w:noProof/>
          <w:lang w:eastAsia="en-GB"/>
        </w:rPr>
        <w:drawing>
          <wp:inline distT="0" distB="0" distL="0" distR="0" wp14:anchorId="631DA2DC" wp14:editId="591AA4DB">
            <wp:extent cx="4886325" cy="88994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63951" cy="904087"/>
                    </a:xfrm>
                    <a:prstGeom prst="rect">
                      <a:avLst/>
                    </a:prstGeom>
                  </pic:spPr>
                </pic:pic>
              </a:graphicData>
            </a:graphic>
          </wp:inline>
        </w:drawing>
      </w:r>
    </w:p>
    <w:p w:rsidR="00B47B42" w:rsidRDefault="00B47B42">
      <w:pPr>
        <w:rPr>
          <w:lang w:val="fr-BE"/>
        </w:rPr>
      </w:pPr>
    </w:p>
    <w:p w:rsidR="00B47B42" w:rsidRDefault="00B47B42">
      <w:pPr>
        <w:rPr>
          <w:sz w:val="24"/>
          <w:szCs w:val="24"/>
          <w:lang w:val="fr-BE"/>
        </w:rPr>
      </w:pPr>
      <w:r>
        <w:rPr>
          <w:sz w:val="24"/>
          <w:szCs w:val="24"/>
          <w:lang w:val="fr-BE"/>
        </w:rPr>
        <w:t>Cela dit, il faudra aussi faire attention à ne pas avoir une précision trop faible pour maximiser le nombre de clients :</w:t>
      </w:r>
    </w:p>
    <w:p w:rsidR="00B47B42" w:rsidRDefault="00B47B42">
      <w:pPr>
        <w:rPr>
          <w:sz w:val="24"/>
          <w:szCs w:val="24"/>
          <w:lang w:val="fr-BE"/>
        </w:rPr>
      </w:pPr>
    </w:p>
    <w:p w:rsidR="00B47B42" w:rsidRDefault="00B47B42">
      <w:pPr>
        <w:rPr>
          <w:lang w:val="fr-BE"/>
        </w:rPr>
      </w:pPr>
      <w:r>
        <w:rPr>
          <w:noProof/>
          <w:lang w:eastAsia="en-GB"/>
        </w:rPr>
        <w:drawing>
          <wp:inline distT="0" distB="0" distL="0" distR="0" wp14:anchorId="5F8E2959" wp14:editId="1DACCF16">
            <wp:extent cx="4724400" cy="91389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16901" cy="931787"/>
                    </a:xfrm>
                    <a:prstGeom prst="rect">
                      <a:avLst/>
                    </a:prstGeom>
                  </pic:spPr>
                </pic:pic>
              </a:graphicData>
            </a:graphic>
          </wp:inline>
        </w:drawing>
      </w:r>
    </w:p>
    <w:p w:rsidR="00B47B42" w:rsidRDefault="0091235A">
      <w:pPr>
        <w:rPr>
          <w:sz w:val="24"/>
          <w:szCs w:val="24"/>
          <w:lang w:val="fr-BE"/>
        </w:rPr>
      </w:pPr>
      <w:r>
        <w:rPr>
          <w:sz w:val="24"/>
          <w:szCs w:val="24"/>
          <w:lang w:val="fr-BE"/>
        </w:rPr>
        <w:t xml:space="preserve">Cet arbitrage se fait via le seuil de classification. Plus il sera faible, plus la classification favorisera les vrais positifs mais aussi les faux positifs (hausse du </w:t>
      </w:r>
      <w:proofErr w:type="spellStart"/>
      <w:r>
        <w:rPr>
          <w:sz w:val="24"/>
          <w:szCs w:val="24"/>
          <w:lang w:val="fr-BE"/>
        </w:rPr>
        <w:t>recall</w:t>
      </w:r>
      <w:proofErr w:type="spellEnd"/>
      <w:r>
        <w:rPr>
          <w:sz w:val="24"/>
          <w:szCs w:val="24"/>
          <w:lang w:val="fr-BE"/>
        </w:rPr>
        <w:t xml:space="preserve"> et baisse des précisions). Plus il sera élevé et plus il favorisera les vrais négatifs mais aussi les faux négatifs (hausse de la précision et baisse du </w:t>
      </w:r>
      <w:proofErr w:type="spellStart"/>
      <w:r>
        <w:rPr>
          <w:sz w:val="24"/>
          <w:szCs w:val="24"/>
          <w:lang w:val="fr-BE"/>
        </w:rPr>
        <w:t>recall</w:t>
      </w:r>
      <w:proofErr w:type="spellEnd"/>
      <w:r>
        <w:rPr>
          <w:sz w:val="24"/>
          <w:szCs w:val="24"/>
          <w:lang w:val="fr-BE"/>
        </w:rPr>
        <w:t>)</w:t>
      </w:r>
    </w:p>
    <w:p w:rsidR="0091235A" w:rsidRDefault="0091235A">
      <w:pPr>
        <w:rPr>
          <w:sz w:val="24"/>
          <w:szCs w:val="24"/>
          <w:lang w:val="fr-BE"/>
        </w:rPr>
      </w:pPr>
    </w:p>
    <w:p w:rsidR="0091235A" w:rsidRDefault="0091235A">
      <w:pPr>
        <w:rPr>
          <w:sz w:val="24"/>
          <w:szCs w:val="24"/>
          <w:lang w:val="fr-BE"/>
        </w:rPr>
      </w:pPr>
      <w:r>
        <w:rPr>
          <w:sz w:val="24"/>
          <w:szCs w:val="24"/>
          <w:lang w:val="fr-BE"/>
        </w:rPr>
        <w:t xml:space="preserve">Ce choix s’effectue via le </w:t>
      </w:r>
      <w:proofErr w:type="spellStart"/>
      <w:r>
        <w:rPr>
          <w:sz w:val="24"/>
          <w:szCs w:val="24"/>
          <w:lang w:val="fr-BE"/>
        </w:rPr>
        <w:t>dashboard</w:t>
      </w:r>
      <w:proofErr w:type="spellEnd"/>
      <w:r>
        <w:rPr>
          <w:sz w:val="24"/>
          <w:szCs w:val="24"/>
          <w:lang w:val="fr-BE"/>
        </w:rPr>
        <w:t> :</w:t>
      </w:r>
    </w:p>
    <w:p w:rsidR="0091235A" w:rsidRDefault="0091235A">
      <w:pPr>
        <w:rPr>
          <w:sz w:val="24"/>
          <w:szCs w:val="24"/>
          <w:lang w:val="fr-BE"/>
        </w:rPr>
      </w:pPr>
    </w:p>
    <w:p w:rsidR="0091235A" w:rsidRPr="0091235A" w:rsidRDefault="0091235A">
      <w:pPr>
        <w:rPr>
          <w:sz w:val="24"/>
          <w:szCs w:val="24"/>
          <w:lang w:val="fr-BE"/>
        </w:rPr>
      </w:pPr>
    </w:p>
    <w:p w:rsidR="00B47B42" w:rsidRDefault="0091235A">
      <w:pPr>
        <w:rPr>
          <w:noProof/>
          <w:lang w:eastAsia="en-GB"/>
        </w:rPr>
      </w:pPr>
      <w:r>
        <w:rPr>
          <w:noProof/>
          <w:lang w:eastAsia="en-GB"/>
        </w:rPr>
        <w:drawing>
          <wp:inline distT="0" distB="0" distL="0" distR="0" wp14:anchorId="7D5D8214" wp14:editId="4389D539">
            <wp:extent cx="2552700"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52700" cy="1714500"/>
                    </a:xfrm>
                    <a:prstGeom prst="rect">
                      <a:avLst/>
                    </a:prstGeom>
                  </pic:spPr>
                </pic:pic>
              </a:graphicData>
            </a:graphic>
          </wp:inline>
        </w:drawing>
      </w:r>
    </w:p>
    <w:p w:rsidR="0091235A" w:rsidRDefault="0091235A">
      <w:pPr>
        <w:rPr>
          <w:noProof/>
          <w:lang w:eastAsia="en-GB"/>
        </w:rPr>
      </w:pPr>
    </w:p>
    <w:p w:rsidR="0091235A" w:rsidRDefault="0091235A">
      <w:pPr>
        <w:rPr>
          <w:lang w:val="fr-BE"/>
        </w:rPr>
      </w:pPr>
      <w:r>
        <w:rPr>
          <w:noProof/>
          <w:lang w:eastAsia="en-GB"/>
        </w:rPr>
        <w:drawing>
          <wp:inline distT="0" distB="0" distL="0" distR="0" wp14:anchorId="1B821A32" wp14:editId="55C20D16">
            <wp:extent cx="5731510" cy="43529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352925"/>
                    </a:xfrm>
                    <a:prstGeom prst="rect">
                      <a:avLst/>
                    </a:prstGeom>
                  </pic:spPr>
                </pic:pic>
              </a:graphicData>
            </a:graphic>
          </wp:inline>
        </w:drawing>
      </w:r>
    </w:p>
    <w:p w:rsidR="0091235A" w:rsidRDefault="0091235A">
      <w:pPr>
        <w:rPr>
          <w:lang w:val="fr-BE"/>
        </w:rPr>
      </w:pPr>
    </w:p>
    <w:p w:rsidR="0091235A" w:rsidRPr="00B47B42" w:rsidRDefault="0091235A">
      <w:pPr>
        <w:rPr>
          <w:lang w:val="fr-BE"/>
        </w:rPr>
      </w:pPr>
    </w:p>
    <w:sectPr w:rsidR="0091235A" w:rsidRPr="00B47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B42"/>
    <w:rsid w:val="005762E3"/>
    <w:rsid w:val="008765BE"/>
    <w:rsid w:val="0091235A"/>
    <w:rsid w:val="00B47B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A0692"/>
  <w15:chartTrackingRefBased/>
  <w15:docId w15:val="{331C39A6-D043-4F93-8FB8-4E4E5BC63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GB"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7B42"/>
  </w:style>
  <w:style w:type="paragraph" w:styleId="Heading1">
    <w:name w:val="heading 1"/>
    <w:basedOn w:val="Normal"/>
    <w:next w:val="Normal"/>
    <w:link w:val="Heading1Char"/>
    <w:uiPriority w:val="9"/>
    <w:qFormat/>
    <w:rsid w:val="00B47B42"/>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47B42"/>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B47B42"/>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47B42"/>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47B42"/>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47B42"/>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47B42"/>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47B42"/>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47B42"/>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B42"/>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47B42"/>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B47B42"/>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B47B42"/>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47B42"/>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47B42"/>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47B42"/>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47B42"/>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47B42"/>
    <w:rPr>
      <w:rFonts w:asciiTheme="majorHAnsi" w:eastAsiaTheme="majorEastAsia" w:hAnsiTheme="majorHAnsi" w:cstheme="majorBidi"/>
      <w:i/>
      <w:iCs/>
      <w:caps/>
    </w:rPr>
  </w:style>
  <w:style w:type="paragraph" w:styleId="Title">
    <w:name w:val="Title"/>
    <w:basedOn w:val="Normal"/>
    <w:next w:val="Normal"/>
    <w:link w:val="TitleChar"/>
    <w:uiPriority w:val="10"/>
    <w:qFormat/>
    <w:rsid w:val="00B47B42"/>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47B42"/>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47B42"/>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47B42"/>
    <w:rPr>
      <w:color w:val="000000" w:themeColor="text1"/>
      <w:sz w:val="24"/>
      <w:szCs w:val="24"/>
    </w:rPr>
  </w:style>
  <w:style w:type="character" w:styleId="Strong">
    <w:name w:val="Strong"/>
    <w:basedOn w:val="DefaultParagraphFont"/>
    <w:uiPriority w:val="22"/>
    <w:qFormat/>
    <w:rsid w:val="00B47B42"/>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B47B42"/>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B47B42"/>
    <w:pPr>
      <w:spacing w:after="0" w:line="240" w:lineRule="auto"/>
    </w:pPr>
  </w:style>
  <w:style w:type="paragraph" w:styleId="ListParagraph">
    <w:name w:val="List Paragraph"/>
    <w:basedOn w:val="Normal"/>
    <w:uiPriority w:val="34"/>
    <w:qFormat/>
    <w:rsid w:val="005762E3"/>
    <w:pPr>
      <w:ind w:left="720"/>
      <w:contextualSpacing/>
    </w:pPr>
  </w:style>
  <w:style w:type="paragraph" w:styleId="Quote">
    <w:name w:val="Quote"/>
    <w:basedOn w:val="Normal"/>
    <w:next w:val="Normal"/>
    <w:link w:val="QuoteChar"/>
    <w:uiPriority w:val="29"/>
    <w:qFormat/>
    <w:rsid w:val="00B47B42"/>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47B42"/>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47B42"/>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47B42"/>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47B42"/>
    <w:rPr>
      <w:i/>
      <w:iCs/>
      <w:color w:val="auto"/>
    </w:rPr>
  </w:style>
  <w:style w:type="character" w:styleId="IntenseEmphasis">
    <w:name w:val="Intense Emphasis"/>
    <w:basedOn w:val="DefaultParagraphFont"/>
    <w:uiPriority w:val="21"/>
    <w:qFormat/>
    <w:rsid w:val="00B47B42"/>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47B42"/>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47B42"/>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47B42"/>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47B42"/>
    <w:pPr>
      <w:outlineLvl w:val="9"/>
    </w:pPr>
  </w:style>
  <w:style w:type="paragraph" w:styleId="Caption">
    <w:name w:val="caption"/>
    <w:basedOn w:val="Normal"/>
    <w:next w:val="Normal"/>
    <w:uiPriority w:val="35"/>
    <w:semiHidden/>
    <w:unhideWhenUsed/>
    <w:qFormat/>
    <w:rsid w:val="00B47B42"/>
    <w:pPr>
      <w:spacing w:line="240" w:lineRule="auto"/>
    </w:pPr>
    <w:rPr>
      <w:b/>
      <w:bCs/>
      <w:color w:val="ED7D31" w:themeColor="accent2"/>
      <w:spacing w:val="10"/>
      <w:sz w:val="16"/>
      <w:szCs w:val="16"/>
    </w:rPr>
  </w:style>
  <w:style w:type="table" w:styleId="TableGrid">
    <w:name w:val="Table Grid"/>
    <w:basedOn w:val="TableNormal"/>
    <w:uiPriority w:val="39"/>
    <w:rsid w:val="00B47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European Parliament</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RAJAOUI Nordin</dc:creator>
  <cp:keywords/>
  <dc:description/>
  <cp:lastModifiedBy/>
  <cp:revision>1</cp:revision>
  <dcterms:created xsi:type="dcterms:W3CDTF">2022-05-19T15:10:00Z</dcterms:created>
</cp:coreProperties>
</file>