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6A69" w14:textId="77777777" w:rsidR="0050700E" w:rsidRPr="008D4381" w:rsidRDefault="00000000">
      <w:pPr>
        <w:rPr>
          <w:b/>
          <w:bCs/>
          <w:sz w:val="20"/>
          <w:szCs w:val="20"/>
        </w:rPr>
      </w:pPr>
      <w:r w:rsidRPr="008D4381">
        <w:rPr>
          <w:b/>
          <w:bCs/>
          <w:sz w:val="20"/>
          <w:szCs w:val="20"/>
        </w:rPr>
        <w:t>System Pipeline and Component Handover</w:t>
      </w:r>
    </w:p>
    <w:p w14:paraId="046E1B82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>To systematically address the fine-grained animal recognition challenge, our proposed pipeline employs a two-stage hierarchical architecture. Rather than relying on a single end-to-end model to locate, categorize, and reject instances simultaneously, the system decouples localized detection from granular classification.</w:t>
      </w:r>
    </w:p>
    <w:p w14:paraId="0F220A25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>In the first stage, a pre-trained, off-the-shelf object detector (such as YOLOv8) is utilized to parse the full-resolution input image [1]. Because the underlying detector is pre-trained on the COCO dataset, it inherently provides bounding box coordinates and coarse superclass labels ("cat" or "dog") [2]. This stage acts as a natural filter for the 21-way classification constraints specified in the guidelines [3]. If multiple animals are detected, the system computes the geometric surface area of each bounding box and dynamically isolates the largest instance by area, strictly matching the ground-truth assignment rule of the held-out test set [3]. Conversely, if the detector finds no animal or fails to recognize a cat or dog, the system identifies the image as a confounder and immediately returns the reject class index of -1, preventing unnecessary downstream computation [3].</w:t>
      </w:r>
    </w:p>
    <w:p w14:paraId="27EBDE99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>Once a valid target animal is isolated, the localized bounding box coordinates are used to dynamically crop the image tensor [1]. This cropped region—now cleared of background artifacts and spatial noise—is resized and passed to the second stage: our custom fine-grained breed classifier [1, 4]. Because the first stage has already handled superclass verification (cat vs. dog), this secondary network is optimized purely as a 20-way classifier to distinguish between the subtle morphological differences of the 20 target breeds [3].</w:t>
      </w:r>
    </w:p>
    <w:p w14:paraId="1EC74D0E" w14:textId="77777777" w:rsidR="0050700E" w:rsidRPr="008D4381" w:rsidRDefault="00000000">
      <w:pPr>
        <w:rPr>
          <w:b/>
          <w:bCs/>
          <w:sz w:val="20"/>
          <w:szCs w:val="20"/>
        </w:rPr>
      </w:pPr>
      <w:r w:rsidRPr="008D4381">
        <w:rPr>
          <w:b/>
          <w:bCs/>
          <w:sz w:val="20"/>
          <w:szCs w:val="20"/>
        </w:rPr>
        <w:t>Classifier Training Strategy</w:t>
      </w:r>
    </w:p>
    <w:p w14:paraId="5EE3D1C6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 xml:space="preserve">The training strategy for the custom breed classifier is tailored to address the high intra-class variance and low inter-class variance typical of fine-grained visual categorization [4]. The learning-based components will be developed using </w:t>
      </w:r>
      <w:proofErr w:type="spellStart"/>
      <w:r w:rsidRPr="008D4381">
        <w:rPr>
          <w:sz w:val="20"/>
          <w:szCs w:val="20"/>
        </w:rPr>
        <w:t>PyTorch</w:t>
      </w:r>
      <w:proofErr w:type="spellEnd"/>
      <w:r w:rsidRPr="008D4381">
        <w:rPr>
          <w:sz w:val="20"/>
          <w:szCs w:val="20"/>
        </w:rPr>
        <w:t xml:space="preserve"> and trained entirely on the university's remote GPU servers [3].</w:t>
      </w:r>
    </w:p>
    <w:p w14:paraId="64F381E7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 xml:space="preserve">To optimize the network, we will utilize the </w:t>
      </w:r>
      <w:proofErr w:type="spellStart"/>
      <w:r w:rsidRPr="008D4381">
        <w:rPr>
          <w:b/>
          <w:bCs/>
          <w:sz w:val="20"/>
          <w:szCs w:val="20"/>
        </w:rPr>
        <w:t>AdamW</w:t>
      </w:r>
      <w:proofErr w:type="spellEnd"/>
      <w:r w:rsidRPr="008D4381">
        <w:rPr>
          <w:sz w:val="20"/>
          <w:szCs w:val="20"/>
        </w:rPr>
        <w:t xml:space="preserve"> optimizer [5], which applies a decoupled weight decay mechanism to stabilize learning and improve generalization over standard Adam. The learning rate will be governed by a </w:t>
      </w:r>
      <w:r w:rsidRPr="008D4381">
        <w:rPr>
          <w:b/>
          <w:bCs/>
          <w:sz w:val="20"/>
          <w:szCs w:val="20"/>
        </w:rPr>
        <w:t>Cosine Annealing Scheduler with Linear Warmup</w:t>
      </w:r>
      <w:r w:rsidRPr="008D4381">
        <w:rPr>
          <w:sz w:val="20"/>
          <w:szCs w:val="20"/>
        </w:rPr>
        <w:t xml:space="preserve"> [6]. The initial linear warmup phase prevents early gradient instability, while the subsequent cosine decay allows the model's weights to smoothly settle into optimal local minima.</w:t>
      </w:r>
    </w:p>
    <w:p w14:paraId="6CCB671D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 xml:space="preserve">To penalize misclassifications without inducing overconfidence on highly similar breeds, we will employ </w:t>
      </w:r>
      <w:r w:rsidRPr="008D4381">
        <w:rPr>
          <w:b/>
          <w:bCs/>
          <w:sz w:val="20"/>
          <w:szCs w:val="20"/>
        </w:rPr>
        <w:t>Cross-Entropy Loss with Label Smoothing</w:t>
      </w:r>
      <w:r w:rsidRPr="008D4381">
        <w:rPr>
          <w:sz w:val="20"/>
          <w:szCs w:val="20"/>
        </w:rPr>
        <w:t xml:space="preserve"> [7], setting a smoothing factor of $\alpha = 0.1$. This forces the network to learn more supportive, clustered embedding spaces rather than outputting extreme probabilities.</w:t>
      </w:r>
    </w:p>
    <w:p w14:paraId="523FA876" w14:textId="77777777" w:rsidR="0050700E" w:rsidRPr="008D4381" w:rsidRDefault="00000000">
      <w:pPr>
        <w:rPr>
          <w:sz w:val="20"/>
          <w:szCs w:val="20"/>
        </w:rPr>
      </w:pPr>
      <w:r w:rsidRPr="008D4381">
        <w:rPr>
          <w:sz w:val="20"/>
          <w:szCs w:val="20"/>
        </w:rPr>
        <w:t xml:space="preserve">Data augmentation will be vital to prevent overfitting on the cropped animal regions. Alongside standard spatial transformations such as random horizontal flipping and color jitter, we plan to implement </w:t>
      </w:r>
      <w:r w:rsidRPr="008D4381">
        <w:rPr>
          <w:b/>
          <w:bCs/>
          <w:sz w:val="20"/>
          <w:szCs w:val="20"/>
        </w:rPr>
        <w:t>CutMix</w:t>
      </w:r>
      <w:r w:rsidRPr="008D4381">
        <w:rPr>
          <w:sz w:val="20"/>
          <w:szCs w:val="20"/>
        </w:rPr>
        <w:t xml:space="preserve"> </w:t>
      </w:r>
      <w:proofErr w:type="spellStart"/>
      <w:r w:rsidRPr="008D4381">
        <w:rPr>
          <w:sz w:val="20"/>
          <w:szCs w:val="20"/>
        </w:rPr>
        <w:t>regularizers</w:t>
      </w:r>
      <w:proofErr w:type="spellEnd"/>
      <w:r w:rsidRPr="008D4381">
        <w:rPr>
          <w:sz w:val="20"/>
          <w:szCs w:val="20"/>
        </w:rPr>
        <w:t xml:space="preserve"> [8] in early training stages to force the model to focus on multiple localized discriminative features (e.g., ear shape and fur texture) rather than a single dominant artifact. Performance tracking will rely on a fixed validation split using the provided annotated data, evaluated via class-agnostic Macro F1-scores to ensure stable performance across all 20 breeds [3].</w:t>
      </w:r>
    </w:p>
    <w:p w14:paraId="6F2EAA7B" w14:textId="77777777" w:rsidR="0050700E" w:rsidRPr="008D4381" w:rsidRDefault="00000000">
      <w:pPr>
        <w:rPr>
          <w:b/>
          <w:bCs/>
          <w:sz w:val="20"/>
          <w:szCs w:val="20"/>
          <w:lang w:val="de-DE"/>
        </w:rPr>
      </w:pPr>
      <w:r w:rsidRPr="008D4381">
        <w:rPr>
          <w:b/>
          <w:bCs/>
          <w:sz w:val="20"/>
          <w:szCs w:val="20"/>
          <w:lang w:val="de-DE"/>
        </w:rPr>
        <w:t>References</w:t>
      </w:r>
    </w:p>
    <w:p w14:paraId="6C4F14EF" w14:textId="77777777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[1]</w:t>
      </w:r>
      <w:r w:rsidRPr="008D4381">
        <w:rPr>
          <w:sz w:val="20"/>
          <w:szCs w:val="20"/>
        </w:rPr>
        <w:t xml:space="preserve"> Shinde, S., et al. (2024). "EDICA: A Hybrid Ensemble Architecture Using Deep Learning Models for Fine-Grained Image Classification." </w:t>
      </w:r>
      <w:r w:rsidRPr="008D4381">
        <w:rPr>
          <w:i/>
          <w:iCs/>
          <w:sz w:val="20"/>
          <w:szCs w:val="20"/>
          <w:lang w:val="de-DE"/>
        </w:rPr>
        <w:t xml:space="preserve">Journal </w:t>
      </w:r>
      <w:proofErr w:type="spellStart"/>
      <w:r w:rsidRPr="008D4381">
        <w:rPr>
          <w:i/>
          <w:iCs/>
          <w:sz w:val="20"/>
          <w:szCs w:val="20"/>
          <w:lang w:val="de-DE"/>
        </w:rPr>
        <w:t>of</w:t>
      </w:r>
      <w:proofErr w:type="spellEnd"/>
      <w:r w:rsidRPr="008D4381">
        <w:rPr>
          <w:i/>
          <w:iCs/>
          <w:sz w:val="20"/>
          <w:szCs w:val="20"/>
          <w:lang w:val="de-DE"/>
        </w:rPr>
        <w:t xml:space="preserve"> Computer Vision Research</w:t>
      </w:r>
      <w:r w:rsidRPr="008D4381">
        <w:rPr>
          <w:sz w:val="20"/>
          <w:szCs w:val="20"/>
          <w:lang w:val="de-DE"/>
        </w:rPr>
        <w:t>.</w:t>
      </w:r>
    </w:p>
    <w:p w14:paraId="30E31687" w14:textId="77777777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[2]</w:t>
      </w:r>
      <w:r w:rsidRPr="008D4381">
        <w:rPr>
          <w:sz w:val="20"/>
          <w:szCs w:val="20"/>
        </w:rPr>
        <w:t xml:space="preserve"> Lin, T. Y., et al. (2014). "Microsoft COCO: Common Objects in Context." </w:t>
      </w:r>
      <w:r w:rsidRPr="008D4381">
        <w:rPr>
          <w:i/>
          <w:iCs/>
          <w:sz w:val="20"/>
          <w:szCs w:val="20"/>
          <w:lang w:val="de-DE"/>
        </w:rPr>
        <w:t>European Conference on Computer Vision (ECCV)</w:t>
      </w:r>
      <w:r w:rsidRPr="008D4381">
        <w:rPr>
          <w:sz w:val="20"/>
          <w:szCs w:val="20"/>
          <w:lang w:val="de-DE"/>
        </w:rPr>
        <w:t>.</w:t>
      </w:r>
    </w:p>
    <w:p w14:paraId="12E3FCB5" w14:textId="03ECBD7D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[3]</w:t>
      </w:r>
      <w:r w:rsidR="002A328E" w:rsidRPr="008D4381">
        <w:rPr>
          <w:sz w:val="20"/>
          <w:szCs w:val="20"/>
        </w:rPr>
        <w:t xml:space="preserve"> </w:t>
      </w:r>
      <w:r w:rsidRPr="008D4381">
        <w:rPr>
          <w:sz w:val="20"/>
          <w:szCs w:val="20"/>
        </w:rPr>
        <w:t xml:space="preserve">"SEP: Computer Vision &amp; Deep Learning Final Project: Animal Recognition Challenge." </w:t>
      </w:r>
      <w:r w:rsidRPr="008D4381">
        <w:rPr>
          <w:i/>
          <w:iCs/>
          <w:sz w:val="20"/>
          <w:szCs w:val="20"/>
          <w:lang w:val="de-DE"/>
        </w:rPr>
        <w:t>LMU München</w:t>
      </w:r>
      <w:r w:rsidRPr="008D4381">
        <w:rPr>
          <w:sz w:val="20"/>
          <w:szCs w:val="20"/>
          <w:lang w:val="de-DE"/>
        </w:rPr>
        <w:t xml:space="preserve">. </w:t>
      </w:r>
    </w:p>
    <w:p w14:paraId="4F62600E" w14:textId="77777777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[4]</w:t>
      </w:r>
      <w:r w:rsidRPr="008D4381">
        <w:rPr>
          <w:sz w:val="20"/>
          <w:szCs w:val="20"/>
        </w:rPr>
        <w:t xml:space="preserve"> Liu, J., et al. (2023). "Where to Focus: Investigating Hierarchical Attention Relationship for Fine-Grained Visual Classification." </w:t>
      </w:r>
      <w:r w:rsidRPr="008D4381">
        <w:rPr>
          <w:i/>
          <w:iCs/>
          <w:sz w:val="20"/>
          <w:szCs w:val="20"/>
        </w:rPr>
        <w:t>Proceedings of the IEEE/CVF Conference on Computer Vision and Pattern Recognition (CVPR)</w:t>
      </w:r>
      <w:r w:rsidRPr="008D4381">
        <w:rPr>
          <w:sz w:val="20"/>
          <w:szCs w:val="20"/>
        </w:rPr>
        <w:t>.</w:t>
      </w:r>
    </w:p>
    <w:p w14:paraId="0C0BCAB0" w14:textId="77777777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[5]</w:t>
      </w:r>
      <w:r w:rsidRPr="008D4381">
        <w:rPr>
          <w:sz w:val="20"/>
          <w:szCs w:val="20"/>
        </w:rPr>
        <w:t xml:space="preserve"> Loshchilov, I., &amp; Hutter, F. (2017). "Decoupled Weight Decay Regularization." </w:t>
      </w:r>
      <w:proofErr w:type="spellStart"/>
      <w:r w:rsidRPr="008D4381">
        <w:rPr>
          <w:i/>
          <w:iCs/>
          <w:sz w:val="20"/>
          <w:szCs w:val="20"/>
        </w:rPr>
        <w:t>arXiv</w:t>
      </w:r>
      <w:proofErr w:type="spellEnd"/>
      <w:r w:rsidRPr="008D4381">
        <w:rPr>
          <w:i/>
          <w:iCs/>
          <w:sz w:val="20"/>
          <w:szCs w:val="20"/>
        </w:rPr>
        <w:t xml:space="preserve"> preprint arXiv:1711.05101</w:t>
      </w:r>
      <w:r w:rsidRPr="008D4381">
        <w:rPr>
          <w:sz w:val="20"/>
          <w:szCs w:val="20"/>
        </w:rPr>
        <w:t>.</w:t>
      </w:r>
    </w:p>
    <w:p w14:paraId="3B6B6DFF" w14:textId="77777777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[6]</w:t>
      </w:r>
      <w:r w:rsidRPr="008D4381">
        <w:rPr>
          <w:sz w:val="20"/>
          <w:szCs w:val="20"/>
        </w:rPr>
        <w:t xml:space="preserve"> Loshchilov, I., &amp; Hutter, F. (2016). "SGDR: Stochastic Gradient Descent with Warm Restarts." </w:t>
      </w:r>
      <w:r w:rsidRPr="008D4381">
        <w:rPr>
          <w:i/>
          <w:iCs/>
          <w:sz w:val="20"/>
          <w:szCs w:val="20"/>
          <w:lang w:val="de-DE"/>
        </w:rPr>
        <w:t xml:space="preserve">International Conference on Learning </w:t>
      </w:r>
      <w:proofErr w:type="spellStart"/>
      <w:r w:rsidRPr="008D4381">
        <w:rPr>
          <w:i/>
          <w:iCs/>
          <w:sz w:val="20"/>
          <w:szCs w:val="20"/>
          <w:lang w:val="de-DE"/>
        </w:rPr>
        <w:t>Representations</w:t>
      </w:r>
      <w:proofErr w:type="spellEnd"/>
      <w:r w:rsidRPr="008D4381">
        <w:rPr>
          <w:i/>
          <w:iCs/>
          <w:sz w:val="20"/>
          <w:szCs w:val="20"/>
          <w:lang w:val="de-DE"/>
        </w:rPr>
        <w:t xml:space="preserve"> (ICLR)</w:t>
      </w:r>
      <w:r w:rsidRPr="008D4381">
        <w:rPr>
          <w:sz w:val="20"/>
          <w:szCs w:val="20"/>
          <w:lang w:val="de-DE"/>
        </w:rPr>
        <w:t>.</w:t>
      </w:r>
    </w:p>
    <w:p w14:paraId="2367A1FC" w14:textId="77777777" w:rsidR="0050700E" w:rsidRPr="008D4381" w:rsidRDefault="00000000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  <w:lang w:val="de-DE"/>
        </w:rPr>
        <w:t>[7]</w:t>
      </w:r>
      <w:r w:rsidRPr="008D4381">
        <w:rPr>
          <w:sz w:val="20"/>
          <w:szCs w:val="20"/>
          <w:lang w:val="de-DE"/>
        </w:rPr>
        <w:t xml:space="preserve"> Müller, R., </w:t>
      </w:r>
      <w:proofErr w:type="spellStart"/>
      <w:r w:rsidRPr="008D4381">
        <w:rPr>
          <w:sz w:val="20"/>
          <w:szCs w:val="20"/>
          <w:lang w:val="de-DE"/>
        </w:rPr>
        <w:t>Kornblith</w:t>
      </w:r>
      <w:proofErr w:type="spellEnd"/>
      <w:r w:rsidRPr="008D4381">
        <w:rPr>
          <w:sz w:val="20"/>
          <w:szCs w:val="20"/>
          <w:lang w:val="de-DE"/>
        </w:rPr>
        <w:t xml:space="preserve">, S., &amp; Hinton, G. E. (2019). </w:t>
      </w:r>
      <w:r w:rsidRPr="008D4381">
        <w:rPr>
          <w:sz w:val="20"/>
          <w:szCs w:val="20"/>
        </w:rPr>
        <w:t xml:space="preserve">"When does label smoothing help?" </w:t>
      </w:r>
      <w:proofErr w:type="spellStart"/>
      <w:r w:rsidRPr="008D4381">
        <w:rPr>
          <w:i/>
          <w:iCs/>
          <w:sz w:val="20"/>
          <w:szCs w:val="20"/>
          <w:lang w:val="de-DE"/>
        </w:rPr>
        <w:t>Advances</w:t>
      </w:r>
      <w:proofErr w:type="spellEnd"/>
      <w:r w:rsidRPr="008D4381">
        <w:rPr>
          <w:i/>
          <w:iCs/>
          <w:sz w:val="20"/>
          <w:szCs w:val="20"/>
          <w:lang w:val="de-DE"/>
        </w:rPr>
        <w:t xml:space="preserve"> in </w:t>
      </w:r>
      <w:proofErr w:type="spellStart"/>
      <w:r w:rsidRPr="008D4381">
        <w:rPr>
          <w:i/>
          <w:iCs/>
          <w:sz w:val="20"/>
          <w:szCs w:val="20"/>
          <w:lang w:val="de-DE"/>
        </w:rPr>
        <w:t>Neural</w:t>
      </w:r>
      <w:proofErr w:type="spellEnd"/>
      <w:r w:rsidRPr="008D4381">
        <w:rPr>
          <w:i/>
          <w:iCs/>
          <w:sz w:val="20"/>
          <w:szCs w:val="20"/>
          <w:lang w:val="de-DE"/>
        </w:rPr>
        <w:t xml:space="preserve"> Information Processing Systems (</w:t>
      </w:r>
      <w:proofErr w:type="spellStart"/>
      <w:r w:rsidRPr="008D4381">
        <w:rPr>
          <w:i/>
          <w:iCs/>
          <w:sz w:val="20"/>
          <w:szCs w:val="20"/>
          <w:lang w:val="de-DE"/>
        </w:rPr>
        <w:t>NeurIPS</w:t>
      </w:r>
      <w:proofErr w:type="spellEnd"/>
      <w:r w:rsidRPr="008D4381">
        <w:rPr>
          <w:i/>
          <w:iCs/>
          <w:sz w:val="20"/>
          <w:szCs w:val="20"/>
          <w:lang w:val="de-DE"/>
        </w:rPr>
        <w:t>)</w:t>
      </w:r>
      <w:r w:rsidRPr="008D4381">
        <w:rPr>
          <w:sz w:val="20"/>
          <w:szCs w:val="20"/>
          <w:lang w:val="de-DE"/>
        </w:rPr>
        <w:t>.</w:t>
      </w:r>
    </w:p>
    <w:p w14:paraId="6ADC5298" w14:textId="4D078C26" w:rsidR="0050700E" w:rsidRPr="008D4381" w:rsidRDefault="00000000" w:rsidP="008D4381">
      <w:pPr>
        <w:numPr>
          <w:ilvl w:val="0"/>
          <w:numId w:val="1"/>
        </w:numPr>
        <w:rPr>
          <w:sz w:val="20"/>
          <w:szCs w:val="20"/>
        </w:rPr>
      </w:pPr>
      <w:r w:rsidRPr="008D4381">
        <w:rPr>
          <w:b/>
          <w:bCs/>
          <w:sz w:val="20"/>
          <w:szCs w:val="20"/>
        </w:rPr>
        <w:t>[8]</w:t>
      </w:r>
      <w:r w:rsidRPr="008D4381">
        <w:rPr>
          <w:sz w:val="20"/>
          <w:szCs w:val="20"/>
        </w:rPr>
        <w:t xml:space="preserve"> Yun, S., et al. (2019). "CutMix: Regularization Strategy to Train Strong Classifiers with Localizable Features." </w:t>
      </w:r>
      <w:r w:rsidRPr="008D4381">
        <w:rPr>
          <w:i/>
          <w:iCs/>
          <w:sz w:val="20"/>
          <w:szCs w:val="20"/>
          <w:lang w:val="de-DE"/>
        </w:rPr>
        <w:t>International Conference on Computer Vision (ICCV)</w:t>
      </w:r>
      <w:r w:rsidRPr="008D4381">
        <w:rPr>
          <w:sz w:val="20"/>
          <w:szCs w:val="20"/>
          <w:lang w:val="de-DE"/>
        </w:rPr>
        <w:t>.</w:t>
      </w:r>
    </w:p>
    <w:sectPr w:rsidR="0050700E" w:rsidRPr="008D4381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10174" w14:textId="77777777" w:rsidR="000651D3" w:rsidRDefault="000651D3">
      <w:pPr>
        <w:spacing w:after="0" w:line="240" w:lineRule="auto"/>
      </w:pPr>
      <w:r>
        <w:separator/>
      </w:r>
    </w:p>
  </w:endnote>
  <w:endnote w:type="continuationSeparator" w:id="0">
    <w:p w14:paraId="01835F6A" w14:textId="77777777" w:rsidR="000651D3" w:rsidRDefault="0006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74A4" w14:textId="77777777" w:rsidR="000651D3" w:rsidRDefault="000651D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D05BA69" w14:textId="77777777" w:rsidR="000651D3" w:rsidRDefault="00065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27ED5"/>
    <w:multiLevelType w:val="multilevel"/>
    <w:tmpl w:val="0A8625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42214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00E"/>
    <w:rsid w:val="00030226"/>
    <w:rsid w:val="000651D3"/>
    <w:rsid w:val="001901E2"/>
    <w:rsid w:val="002A328E"/>
    <w:rsid w:val="002D07D3"/>
    <w:rsid w:val="003442D6"/>
    <w:rsid w:val="003C0E70"/>
    <w:rsid w:val="004A7A0F"/>
    <w:rsid w:val="0050700E"/>
    <w:rsid w:val="008D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0EBA"/>
  <w15:docId w15:val="{CD625CB1-E517-4EA0-94FD-040CE0A8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kern w:val="3"/>
        <w:sz w:val="22"/>
        <w:szCs w:val="22"/>
        <w:lang w:val="de-DE" w:eastAsia="zh-CN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等线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rPr>
      <w:rFonts w:eastAsia="等线 Light" w:cs="Times New Roman"/>
      <w:color w:val="2F5496"/>
      <w:sz w:val="32"/>
      <w:szCs w:val="32"/>
      <w:lang w:val="en-US"/>
    </w:rPr>
  </w:style>
  <w:style w:type="character" w:customStyle="1" w:styleId="Heading1Char">
    <w:name w:val="Heading 1 Char"/>
    <w:basedOn w:val="DefaultParagraphFont"/>
    <w:rPr>
      <w:rFonts w:ascii="Calibri Light" w:eastAsia="等线 Light" w:hAnsi="Calibri Light" w:cs="Times New Roman"/>
      <w:color w:val="2F5496"/>
      <w:sz w:val="40"/>
      <w:szCs w:val="40"/>
      <w:lang w:val="en-US"/>
    </w:rPr>
  </w:style>
  <w:style w:type="character" w:customStyle="1" w:styleId="Heading3Char">
    <w:name w:val="Heading 3 Char"/>
    <w:basedOn w:val="DefaultParagraphFont"/>
    <w:rPr>
      <w:rFonts w:eastAsia="等线 Light" w:cs="Times New Roman"/>
      <w:color w:val="2F5496"/>
      <w:sz w:val="28"/>
      <w:szCs w:val="28"/>
      <w:lang w:val="en-US"/>
    </w:rPr>
  </w:style>
  <w:style w:type="character" w:customStyle="1" w:styleId="Heading4Char">
    <w:name w:val="Heading 4 Char"/>
    <w:basedOn w:val="DefaultParagraphFont"/>
    <w:rPr>
      <w:rFonts w:eastAsia="等线 Light" w:cs="Times New Roman"/>
      <w:i/>
      <w:iCs/>
      <w:color w:val="2F5496"/>
      <w:sz w:val="24"/>
      <w:lang w:val="en-US"/>
    </w:rPr>
  </w:style>
  <w:style w:type="character" w:customStyle="1" w:styleId="Heading5Char">
    <w:name w:val="Heading 5 Char"/>
    <w:basedOn w:val="DefaultParagraphFont"/>
    <w:rPr>
      <w:rFonts w:eastAsia="等线 Light" w:cs="Times New Roman"/>
      <w:color w:val="2F5496"/>
      <w:sz w:val="24"/>
      <w:lang w:val="en-US"/>
    </w:rPr>
  </w:style>
  <w:style w:type="character" w:customStyle="1" w:styleId="Heading6Char">
    <w:name w:val="Heading 6 Char"/>
    <w:basedOn w:val="DefaultParagraphFont"/>
    <w:rPr>
      <w:rFonts w:eastAsia="等线 Light" w:cs="Times New Roman"/>
      <w:i/>
      <w:iCs/>
      <w:color w:val="595959"/>
      <w:sz w:val="24"/>
      <w:lang w:val="en-US"/>
    </w:rPr>
  </w:style>
  <w:style w:type="character" w:customStyle="1" w:styleId="Heading7Char">
    <w:name w:val="Heading 7 Char"/>
    <w:basedOn w:val="DefaultParagraphFont"/>
    <w:rPr>
      <w:rFonts w:eastAsia="等线 Light" w:cs="Times New Roman"/>
      <w:color w:val="595959"/>
      <w:sz w:val="24"/>
      <w:lang w:val="en-US"/>
    </w:rPr>
  </w:style>
  <w:style w:type="character" w:customStyle="1" w:styleId="Heading8Char">
    <w:name w:val="Heading 8 Char"/>
    <w:basedOn w:val="DefaultParagraphFont"/>
    <w:rPr>
      <w:rFonts w:eastAsia="等线 Light" w:cs="Times New Roman"/>
      <w:i/>
      <w:iCs/>
      <w:color w:val="272727"/>
      <w:sz w:val="24"/>
      <w:lang w:val="en-US"/>
    </w:rPr>
  </w:style>
  <w:style w:type="character" w:customStyle="1" w:styleId="Heading9Char">
    <w:name w:val="Heading 9 Char"/>
    <w:basedOn w:val="DefaultParagraphFont"/>
    <w:rPr>
      <w:rFonts w:eastAsia="等线 Light" w:cs="Times New Roman"/>
      <w:color w:val="272727"/>
      <w:sz w:val="24"/>
      <w:lang w:val="en-US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 Light" w:eastAsia="等线 Light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等线 Light" w:hAnsi="Calibri Light" w:cs="Times New Roman"/>
      <w:spacing w:val="-10"/>
      <w:kern w:val="3"/>
      <w:sz w:val="56"/>
      <w:szCs w:val="56"/>
      <w:lang w:val="en-US"/>
    </w:rPr>
  </w:style>
  <w:style w:type="paragraph" w:styleId="Subtitle">
    <w:name w:val="Subtitle"/>
    <w:basedOn w:val="Normal"/>
    <w:next w:val="Normal"/>
    <w:uiPriority w:val="11"/>
    <w:qFormat/>
    <w:rPr>
      <w:rFonts w:eastAsia="等线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等线 Light" w:cs="Times New Roman"/>
      <w:color w:val="595959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  <w:sz w:val="24"/>
      <w:lang w:val="en-US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  <w:sz w:val="24"/>
      <w:lang w:val="en-US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H</dc:creator>
  <dc:description/>
  <cp:lastModifiedBy>ZY H</cp:lastModifiedBy>
  <cp:revision>4</cp:revision>
  <dcterms:created xsi:type="dcterms:W3CDTF">2026-06-22T12:03:00Z</dcterms:created>
  <dcterms:modified xsi:type="dcterms:W3CDTF">2026-06-22T12:13:00Z</dcterms:modified>
</cp:coreProperties>
</file>