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7D" w:rsidRPr="003C6145" w:rsidRDefault="00313CCE" w:rsidP="003C61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Capstone Project Milestone Report</w:t>
      </w:r>
    </w:p>
    <w:p w:rsidR="003C6145" w:rsidRPr="00F56B7D" w:rsidRDefault="003C6145" w:rsidP="003C6145">
      <w:pPr>
        <w:rPr>
          <w:b/>
          <w:u w:val="single"/>
        </w:rPr>
      </w:pPr>
      <w:r w:rsidRPr="00F56B7D">
        <w:rPr>
          <w:b/>
          <w:u w:val="single"/>
        </w:rPr>
        <w:t>Introduction</w:t>
      </w:r>
    </w:p>
    <w:p w:rsidR="00D32DBE" w:rsidRDefault="00A569FD" w:rsidP="00357AD8">
      <w:pPr>
        <w:jc w:val="both"/>
      </w:pPr>
      <w:r>
        <w:t>In recent years</w:t>
      </w:r>
      <w:r w:rsidR="00D32DBE">
        <w:t>, h</w:t>
      </w:r>
      <w:r w:rsidR="00463994">
        <w:t>igh-thro</w:t>
      </w:r>
      <w:r w:rsidR="004650A7">
        <w:t>ughput screening has been</w:t>
      </w:r>
      <w:r w:rsidR="003C6145">
        <w:t xml:space="preserve"> used in the exploratory</w:t>
      </w:r>
      <w:r w:rsidR="00463994">
        <w:t xml:space="preserve"> phase of </w:t>
      </w:r>
      <w:r w:rsidR="00D1782F">
        <w:t xml:space="preserve">the </w:t>
      </w:r>
      <w:r w:rsidR="00463994">
        <w:t xml:space="preserve">drug-discovery process.  </w:t>
      </w:r>
      <w:r w:rsidR="003C6145">
        <w:t xml:space="preserve">In this </w:t>
      </w:r>
      <w:r w:rsidR="00677BD9">
        <w:t>stage</w:t>
      </w:r>
      <w:r w:rsidR="003C6145">
        <w:t>,</w:t>
      </w:r>
      <w:r w:rsidR="00463994">
        <w:t xml:space="preserve"> thousands of small molecule compounds</w:t>
      </w:r>
      <w:r w:rsidR="003C6145">
        <w:t xml:space="preserve"> are tested for inhibitory capacity</w:t>
      </w:r>
      <w:r w:rsidR="004650A7">
        <w:t xml:space="preserve"> against a </w:t>
      </w:r>
      <w:r w:rsidR="00677BD9">
        <w:t xml:space="preserve">biological </w:t>
      </w:r>
      <w:r w:rsidR="004650A7">
        <w:t xml:space="preserve">target </w:t>
      </w:r>
      <w:r w:rsidR="00463994">
        <w:t xml:space="preserve">in order to </w:t>
      </w:r>
      <w:r w:rsidR="00677BD9">
        <w:t>find a lead target molecule.</w:t>
      </w:r>
      <w:r w:rsidR="00782608">
        <w:t xml:space="preserve">  Any molecule</w:t>
      </w:r>
      <w:r>
        <w:t xml:space="preserve"> found to be inhib</w:t>
      </w:r>
      <w:r w:rsidR="00677BD9">
        <w:t>iting a biological function is further</w:t>
      </w:r>
      <w:r>
        <w:t xml:space="preserve"> optimized to be more potent.  </w:t>
      </w:r>
      <w:r w:rsidR="00677BD9">
        <w:t>Also, at this period, a structure-activity relationship diagram can be developed in which molecules</w:t>
      </w:r>
      <w:r w:rsidR="00782608">
        <w:t xml:space="preserve"> having the same scaffold are</w:t>
      </w:r>
      <w:r w:rsidR="00677BD9">
        <w:t xml:space="preserve"> analyzed for degree</w:t>
      </w:r>
      <w:r w:rsidR="00AE603C">
        <w:t>s</w:t>
      </w:r>
      <w:r w:rsidR="00677BD9">
        <w:t xml:space="preserve"> of affect based on </w:t>
      </w:r>
      <w:r w:rsidR="00166B2C">
        <w:t xml:space="preserve">physical </w:t>
      </w:r>
      <w:r w:rsidR="00677BD9">
        <w:t>characteristics.</w:t>
      </w:r>
      <w:r>
        <w:t xml:space="preserve"> </w:t>
      </w:r>
      <w:r w:rsidR="00677BD9">
        <w:t xml:space="preserve"> </w:t>
      </w:r>
      <w:r w:rsidR="007C4840">
        <w:t xml:space="preserve">The target audience </w:t>
      </w:r>
      <w:r w:rsidR="00166B2C">
        <w:t xml:space="preserve">of the data analysis </w:t>
      </w:r>
      <w:r w:rsidR="007C4840">
        <w:t xml:space="preserve">would be the biochemists and organic chemists that work together to synthesize </w:t>
      </w:r>
      <w:r w:rsidR="00AE603C">
        <w:t>and</w:t>
      </w:r>
      <w:r w:rsidR="00677BD9">
        <w:t xml:space="preserve"> optimize </w:t>
      </w:r>
      <w:r w:rsidR="007C4840">
        <w:t xml:space="preserve">a new drug-like </w:t>
      </w:r>
      <w:r w:rsidR="00AE603C">
        <w:t xml:space="preserve">small </w:t>
      </w:r>
      <w:r w:rsidR="007C4840">
        <w:t>molecule.</w:t>
      </w:r>
      <w:r w:rsidR="00463994">
        <w:t xml:space="preserve">  </w:t>
      </w:r>
    </w:p>
    <w:p w:rsidR="00D32DBE" w:rsidRPr="00F56B7D" w:rsidRDefault="00D32DBE" w:rsidP="003C6145">
      <w:pPr>
        <w:rPr>
          <w:b/>
          <w:u w:val="single"/>
        </w:rPr>
      </w:pPr>
      <w:r w:rsidRPr="00F56B7D">
        <w:rPr>
          <w:b/>
          <w:u w:val="single"/>
        </w:rPr>
        <w:t>Data Source</w:t>
      </w:r>
    </w:p>
    <w:p w:rsidR="00D1782F" w:rsidRDefault="00D32DBE" w:rsidP="00357AD8">
      <w:pPr>
        <w:jc w:val="both"/>
      </w:pPr>
      <w:r>
        <w:t>One of the projects I worked on in my dissertation</w:t>
      </w:r>
      <w:r>
        <w:rPr>
          <w:b/>
        </w:rPr>
        <w:t xml:space="preserve"> </w:t>
      </w:r>
      <w:r w:rsidR="00357AD8">
        <w:t>was to find inhibitors</w:t>
      </w:r>
      <w:r w:rsidR="00D1782F">
        <w:t xml:space="preserve"> targeting the non-structural 3 (NS3) helicase </w:t>
      </w:r>
      <w:r w:rsidR="00357AD8">
        <w:t xml:space="preserve">protein </w:t>
      </w:r>
      <w:r w:rsidR="00D1782F">
        <w:t xml:space="preserve">of the Dengue </w:t>
      </w:r>
      <w:r w:rsidR="00357AD8">
        <w:t xml:space="preserve">virus </w:t>
      </w:r>
      <w:r w:rsidR="00D1782F">
        <w:t xml:space="preserve">genome.  </w:t>
      </w:r>
      <w:r w:rsidR="00D1782F" w:rsidRPr="00A93784">
        <w:t>Dengue virus</w:t>
      </w:r>
      <w:r w:rsidR="00D1782F">
        <w:t xml:space="preserve"> (D</w:t>
      </w:r>
      <w:r w:rsidR="00130EC1">
        <w:t>EN</w:t>
      </w:r>
      <w:r w:rsidR="00D1782F">
        <w:t>V)</w:t>
      </w:r>
      <w:r w:rsidR="00D1782F" w:rsidRPr="00A93784">
        <w:t xml:space="preserve"> is one of the most significant human viral path</w:t>
      </w:r>
      <w:r w:rsidR="00D1782F">
        <w:t xml:space="preserve">ogens transmitted by mosquitoes.  </w:t>
      </w:r>
      <w:r w:rsidR="00D1782F" w:rsidRPr="00A93784">
        <w:t>It causes 50 million or more cases of infection worldwide each year, res</w:t>
      </w:r>
      <w:r w:rsidR="00D1782F">
        <w:t>ulting in around 24,000 deaths</w:t>
      </w:r>
      <w:r w:rsidR="00D1782F" w:rsidRPr="00A93784">
        <w:t>.</w:t>
      </w:r>
      <w:r w:rsidR="00D1782F">
        <w:t xml:space="preserve">   </w:t>
      </w:r>
      <w:r w:rsidR="00D1782F" w:rsidRPr="00A93784">
        <w:t>Control of dengue virus through the use of vaccination</w:t>
      </w:r>
      <w:r w:rsidR="00D1782F">
        <w:t xml:space="preserve"> or a direct-acting antiviral has proven</w:t>
      </w:r>
      <w:r w:rsidR="00D1782F" w:rsidRPr="00A93784">
        <w:t xml:space="preserve"> to be elusive</w:t>
      </w:r>
      <w:r w:rsidR="00D1782F">
        <w:t>.</w:t>
      </w:r>
    </w:p>
    <w:p w:rsidR="00384A4D" w:rsidRDefault="00D1782F" w:rsidP="00357AD8">
      <w:pPr>
        <w:jc w:val="both"/>
        <w:rPr>
          <w:rFonts w:eastAsia="Arial Unicode MS" w:cstheme="majorHAnsi"/>
          <w:color w:val="2E2E2E"/>
          <w:shd w:val="clear" w:color="auto" w:fill="FFFFFF"/>
        </w:rPr>
      </w:pPr>
      <w:r>
        <w:t>The data I’</w:t>
      </w:r>
      <w:r w:rsidR="00130EC1">
        <w:t>ll be using came from the high-throughput</w:t>
      </w:r>
      <w:r w:rsidR="00130EC1">
        <w:rPr>
          <w:rFonts w:eastAsia="Arial Unicode MS" w:cstheme="majorHAnsi"/>
          <w:color w:val="2E2E2E"/>
          <w:shd w:val="clear" w:color="auto" w:fill="FFFFFF"/>
        </w:rPr>
        <w:t xml:space="preserve"> screening</w:t>
      </w:r>
      <w:r w:rsidR="00357AD8">
        <w:rPr>
          <w:rFonts w:eastAsia="Arial Unicode MS" w:cstheme="majorHAnsi"/>
          <w:color w:val="2E2E2E"/>
          <w:shd w:val="clear" w:color="auto" w:fill="FFFFFF"/>
        </w:rPr>
        <w:t xml:space="preserve"> I performed</w:t>
      </w:r>
      <w:r w:rsidR="00130EC1">
        <w:rPr>
          <w:rFonts w:eastAsia="Arial Unicode MS" w:cstheme="majorHAnsi"/>
          <w:color w:val="2E2E2E"/>
          <w:shd w:val="clear" w:color="auto" w:fill="FFFFFF"/>
        </w:rPr>
        <w:t xml:space="preserve"> </w:t>
      </w:r>
      <w:r w:rsidR="00782608">
        <w:rPr>
          <w:rFonts w:eastAsia="Arial Unicode MS" w:cstheme="majorHAnsi"/>
          <w:color w:val="2E2E2E"/>
          <w:shd w:val="clear" w:color="auto" w:fill="FFFFFF"/>
        </w:rPr>
        <w:t>using</w:t>
      </w:r>
      <w:r w:rsidR="00130EC1">
        <w:rPr>
          <w:rFonts w:eastAsia="Arial Unicode MS" w:cstheme="majorHAnsi"/>
          <w:color w:val="2E2E2E"/>
          <w:shd w:val="clear" w:color="auto" w:fill="FFFFFF"/>
        </w:rPr>
        <w:t xml:space="preserve"> </w:t>
      </w:r>
      <w:r w:rsidR="00130EC1" w:rsidRPr="00485F41">
        <w:t>a</w:t>
      </w:r>
      <w:r w:rsidR="007C4840">
        <w:t>n</w:t>
      </w:r>
      <w:r w:rsidR="00130EC1">
        <w:t xml:space="preserve"> automated</w:t>
      </w:r>
      <w:r w:rsidR="00130EC1" w:rsidRPr="00485F41">
        <w:t xml:space="preserve"> malachite green-based colorimetric assay to detect compounds that directly inhibit </w:t>
      </w:r>
      <w:r w:rsidR="00F64231">
        <w:t xml:space="preserve">helicase-catalyzed </w:t>
      </w:r>
      <w:r w:rsidR="00130EC1" w:rsidRPr="00485F41">
        <w:t xml:space="preserve">ATP hydrolysis </w:t>
      </w:r>
      <w:r w:rsidR="00130EC1">
        <w:t xml:space="preserve">of the Dengue virus.  My hypothesis is predicated upon the </w:t>
      </w:r>
      <w:r w:rsidR="00357AD8">
        <w:t xml:space="preserve">important role played by </w:t>
      </w:r>
      <w:r w:rsidR="00130EC1">
        <w:t>N</w:t>
      </w:r>
      <w:r w:rsidR="00357AD8">
        <w:t xml:space="preserve">S3 helicase protein </w:t>
      </w:r>
      <w:r w:rsidR="00130EC1">
        <w:t>in the creation of the Dengue viral genome.  Therefore, by inhibiting the function of the NS3 helicase, the growth of the Dengue virus is also inhibited.  In this study, I screened</w:t>
      </w:r>
      <w:r w:rsidR="00357AD8">
        <w:rPr>
          <w:rFonts w:eastAsia="Arial Unicode MS" w:cstheme="majorHAnsi"/>
          <w:color w:val="2E2E2E"/>
          <w:shd w:val="clear" w:color="auto" w:fill="FFFFFF"/>
        </w:rPr>
        <w:t xml:space="preserve"> over 4</w:t>
      </w:r>
      <w:r w:rsidRPr="00485F41">
        <w:rPr>
          <w:rFonts w:eastAsia="Arial Unicode MS" w:cstheme="majorHAnsi"/>
          <w:color w:val="2E2E2E"/>
          <w:shd w:val="clear" w:color="auto" w:fill="FFFFFF"/>
        </w:rPr>
        <w:t>,000 samples con</w:t>
      </w:r>
      <w:r w:rsidR="00166B2C">
        <w:rPr>
          <w:rFonts w:eastAsia="Arial Unicode MS" w:cstheme="majorHAnsi"/>
          <w:color w:val="2E2E2E"/>
          <w:shd w:val="clear" w:color="auto" w:fill="FFFFFF"/>
        </w:rPr>
        <w:t xml:space="preserve">taining small organic molecules for its potential to inhibit the ATPase activity of the </w:t>
      </w:r>
      <w:r w:rsidR="006B1E25">
        <w:rPr>
          <w:rFonts w:eastAsia="Arial Unicode MS" w:cstheme="majorHAnsi"/>
          <w:color w:val="2E2E2E"/>
          <w:shd w:val="clear" w:color="auto" w:fill="FFFFFF"/>
        </w:rPr>
        <w:t xml:space="preserve">DENV </w:t>
      </w:r>
      <w:r w:rsidR="00166B2C">
        <w:rPr>
          <w:rFonts w:eastAsia="Arial Unicode MS" w:cstheme="majorHAnsi"/>
          <w:color w:val="2E2E2E"/>
          <w:shd w:val="clear" w:color="auto" w:fill="FFFFFF"/>
        </w:rPr>
        <w:t>helicase protein.</w:t>
      </w:r>
      <w:r w:rsidR="006B1E25">
        <w:rPr>
          <w:rFonts w:eastAsia="Arial Unicode MS" w:cstheme="majorHAnsi"/>
          <w:color w:val="2E2E2E"/>
          <w:shd w:val="clear" w:color="auto" w:fill="FFFFFF"/>
        </w:rPr>
        <w:t xml:space="preserve">  I also merged the assay results for Hepatitis C Virus (HCV) that another postdoc in our lab performed using the same set of </w:t>
      </w:r>
      <w:proofErr w:type="gramStart"/>
      <w:r w:rsidR="006B1E25">
        <w:rPr>
          <w:rFonts w:eastAsia="Arial Unicode MS" w:cstheme="majorHAnsi"/>
          <w:color w:val="2E2E2E"/>
          <w:shd w:val="clear" w:color="auto" w:fill="FFFFFF"/>
        </w:rPr>
        <w:t>compounds,</w:t>
      </w:r>
      <w:proofErr w:type="gramEnd"/>
      <w:r w:rsidR="006B1E25">
        <w:rPr>
          <w:rFonts w:eastAsia="Arial Unicode MS" w:cstheme="majorHAnsi"/>
          <w:color w:val="2E2E2E"/>
          <w:shd w:val="clear" w:color="auto" w:fill="FFFFFF"/>
        </w:rPr>
        <w:t xml:space="preserve"> this is represented in column “</w:t>
      </w:r>
      <w:proofErr w:type="spellStart"/>
      <w:r w:rsidR="006B1E25">
        <w:rPr>
          <w:rFonts w:eastAsia="Arial Unicode MS" w:cstheme="majorHAnsi"/>
          <w:color w:val="2E2E2E"/>
          <w:shd w:val="clear" w:color="auto" w:fill="FFFFFF"/>
        </w:rPr>
        <w:t>HCVHDAInh</w:t>
      </w:r>
      <w:proofErr w:type="spellEnd"/>
      <w:r w:rsidR="006B1E25">
        <w:rPr>
          <w:rFonts w:eastAsia="Arial Unicode MS" w:cstheme="majorHAnsi"/>
          <w:color w:val="2E2E2E"/>
          <w:shd w:val="clear" w:color="auto" w:fill="FFFFFF"/>
        </w:rPr>
        <w:t>.”</w:t>
      </w:r>
    </w:p>
    <w:p w:rsidR="007C4840" w:rsidRDefault="007C4840" w:rsidP="003C6145">
      <w:pPr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>This data set will have the following fields:</w:t>
      </w:r>
    </w:p>
    <w:p w:rsidR="00782608" w:rsidRDefault="007C4840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 w:rsidR="00782608">
        <w:rPr>
          <w:rFonts w:eastAsia="Arial Unicode MS" w:cstheme="majorHAnsi"/>
          <w:color w:val="2E2E2E"/>
          <w:shd w:val="clear" w:color="auto" w:fill="FFFFFF"/>
        </w:rPr>
        <w:t>CdId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Compound ID</w:t>
      </w:r>
    </w:p>
    <w:p w:rsidR="007C4840" w:rsidRDefault="00782608" w:rsidP="00782608">
      <w:pPr>
        <w:spacing w:after="0" w:line="240" w:lineRule="auto"/>
        <w:ind w:firstLine="720"/>
        <w:rPr>
          <w:rFonts w:eastAsia="Arial Unicode MS" w:cstheme="majorHAnsi"/>
          <w:color w:val="2E2E2E"/>
          <w:shd w:val="clear" w:color="auto" w:fill="FFFFFF"/>
        </w:rPr>
      </w:pPr>
      <w:proofErr w:type="spellStart"/>
      <w:r>
        <w:rPr>
          <w:rFonts w:eastAsia="Arial Unicode MS" w:cstheme="majorHAnsi"/>
          <w:color w:val="2E2E2E"/>
          <w:shd w:val="clear" w:color="auto" w:fill="FFFFFF"/>
        </w:rPr>
        <w:t>Mol</w:t>
      </w:r>
      <w:r w:rsidR="00FD0F71">
        <w:rPr>
          <w:rFonts w:eastAsia="Arial Unicode MS" w:cstheme="majorHAnsi"/>
          <w:color w:val="2E2E2E"/>
          <w:shd w:val="clear" w:color="auto" w:fill="FFFFFF"/>
        </w:rPr>
        <w:t>Weight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Molecular Weight</w:t>
      </w:r>
    </w:p>
    <w:p w:rsidR="00FD0F71" w:rsidRDefault="0078260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Mol</w:t>
      </w:r>
      <w:r w:rsidR="00FD0F71">
        <w:rPr>
          <w:rFonts w:eastAsia="Arial Unicode MS" w:cstheme="majorHAnsi"/>
          <w:color w:val="2E2E2E"/>
          <w:shd w:val="clear" w:color="auto" w:fill="FFFFFF"/>
        </w:rPr>
        <w:t>Formula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Molecular Formula</w:t>
      </w:r>
    </w:p>
    <w:p w:rsidR="00FD0F71" w:rsidRDefault="0078260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Lot</w:t>
      </w:r>
      <w:r w:rsidR="00FD0F71">
        <w:rPr>
          <w:rFonts w:eastAsia="Arial Unicode MS" w:cstheme="majorHAnsi"/>
          <w:color w:val="2E2E2E"/>
          <w:shd w:val="clear" w:color="auto" w:fill="FFFFFF"/>
        </w:rPr>
        <w:t>Number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Lot Number</w:t>
      </w:r>
    </w:p>
    <w:p w:rsidR="00FD0F71" w:rsidRDefault="00357AD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Daughter</w:t>
      </w:r>
      <w:r w:rsidR="00FD0F71">
        <w:rPr>
          <w:rFonts w:eastAsia="Arial Unicode MS" w:cstheme="majorHAnsi"/>
          <w:color w:val="2E2E2E"/>
          <w:shd w:val="clear" w:color="auto" w:fill="FFFFFF"/>
        </w:rPr>
        <w:t>Plate</w:t>
      </w:r>
      <w:proofErr w:type="spellEnd"/>
      <w:r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Daughter Plate</w:t>
      </w:r>
    </w:p>
    <w:p w:rsidR="00FD0F71" w:rsidRDefault="00357AD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Plate</w:t>
      </w:r>
      <w:r w:rsidR="00FD0F71">
        <w:rPr>
          <w:rFonts w:eastAsia="Arial Unicode MS" w:cstheme="majorHAnsi"/>
          <w:color w:val="2E2E2E"/>
          <w:shd w:val="clear" w:color="auto" w:fill="FFFFFF"/>
        </w:rPr>
        <w:t>Map</w:t>
      </w:r>
      <w:proofErr w:type="spellEnd"/>
      <w:r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Plate Map</w:t>
      </w:r>
    </w:p>
    <w:p w:rsidR="00FD0F71" w:rsidRDefault="00FD0F71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 w:rsidR="00357AD8">
        <w:rPr>
          <w:rFonts w:eastAsia="Arial Unicode MS" w:cstheme="majorHAnsi"/>
          <w:color w:val="2E2E2E"/>
          <w:shd w:val="clear" w:color="auto" w:fill="FFFFFF"/>
        </w:rPr>
        <w:t>Percent</w:t>
      </w:r>
      <w:r>
        <w:rPr>
          <w:rFonts w:eastAsia="Arial Unicode MS" w:cstheme="majorHAnsi"/>
          <w:color w:val="2E2E2E"/>
          <w:shd w:val="clear" w:color="auto" w:fill="FFFFFF"/>
        </w:rPr>
        <w:t>Purity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Percent Purity</w:t>
      </w:r>
    </w:p>
    <w:p w:rsidR="00FD0F71" w:rsidRDefault="00357AD8" w:rsidP="00782608">
      <w:pPr>
        <w:tabs>
          <w:tab w:val="left" w:pos="720"/>
          <w:tab w:val="left" w:pos="1440"/>
          <w:tab w:val="left" w:pos="2346"/>
        </w:tabs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HCVHDAInh</w:t>
      </w:r>
      <w:proofErr w:type="spellEnd"/>
      <w:r w:rsidR="00166B2C">
        <w:rPr>
          <w:rFonts w:eastAsia="Arial Unicode MS" w:cstheme="majorHAnsi"/>
          <w:color w:val="2E2E2E"/>
          <w:shd w:val="clear" w:color="auto" w:fill="FFFFFF"/>
        </w:rPr>
        <w:tab/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HCV HDA Assay Percent Inhibition</w:t>
      </w:r>
    </w:p>
    <w:p w:rsidR="00FD0F71" w:rsidRDefault="00357AD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DENVATPase</w:t>
      </w:r>
      <w:r w:rsidR="00FD0F71">
        <w:rPr>
          <w:rFonts w:eastAsia="Arial Unicode MS" w:cstheme="majorHAnsi"/>
          <w:color w:val="2E2E2E"/>
          <w:shd w:val="clear" w:color="auto" w:fill="FFFFFF"/>
        </w:rPr>
        <w:t>Inh</w:t>
      </w:r>
      <w:proofErr w:type="spellEnd"/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Dengue ATPase Assay Percent Inhibition</w:t>
      </w:r>
    </w:p>
    <w:p w:rsidR="00FD0F71" w:rsidRDefault="00357AD8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IUPAC</w:t>
      </w:r>
      <w:r w:rsidR="00FD0F71">
        <w:rPr>
          <w:rFonts w:eastAsia="Arial Unicode MS" w:cstheme="majorHAnsi"/>
          <w:color w:val="2E2E2E"/>
          <w:shd w:val="clear" w:color="auto" w:fill="FFFFFF"/>
        </w:rPr>
        <w:t>Name</w:t>
      </w:r>
      <w:proofErr w:type="spellEnd"/>
      <w:r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IUPAC Name</w:t>
      </w:r>
    </w:p>
    <w:p w:rsidR="00FD0F71" w:rsidRDefault="00FD0F71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  <w:t>SMILES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SMILES</w:t>
      </w:r>
    </w:p>
    <w:p w:rsidR="00FD0F71" w:rsidRDefault="00FD0F71" w:rsidP="00782608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LogP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Log P</w:t>
      </w:r>
    </w:p>
    <w:p w:rsidR="00FD0F71" w:rsidRDefault="00FD0F71" w:rsidP="00782608">
      <w:pPr>
        <w:spacing w:after="0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LogD</w:t>
      </w:r>
      <w:proofErr w:type="spellEnd"/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357AD8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Log D</w:t>
      </w:r>
    </w:p>
    <w:p w:rsidR="00FD0F71" w:rsidRDefault="00357AD8" w:rsidP="00782608">
      <w:pPr>
        <w:spacing w:after="0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HBondD</w:t>
      </w:r>
      <w:r w:rsidR="00FD0F71">
        <w:rPr>
          <w:rFonts w:eastAsia="Arial Unicode MS" w:cstheme="majorHAnsi"/>
          <w:color w:val="2E2E2E"/>
          <w:shd w:val="clear" w:color="auto" w:fill="FFFFFF"/>
        </w:rPr>
        <w:t>onors</w:t>
      </w:r>
      <w:proofErr w:type="spellEnd"/>
      <w:r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>
        <w:rPr>
          <w:rFonts w:eastAsia="Arial Unicode MS" w:cstheme="majorHAnsi"/>
          <w:color w:val="2E2E2E"/>
          <w:shd w:val="clear" w:color="auto" w:fill="FFFFFF"/>
        </w:rPr>
        <w:tab/>
        <w:t>Hydrogen Bond Donors</w:t>
      </w:r>
    </w:p>
    <w:p w:rsidR="00FD0F71" w:rsidRDefault="00FD0F71" w:rsidP="00AF47E3">
      <w:pPr>
        <w:spacing w:after="0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 w:rsidR="00357AD8">
        <w:rPr>
          <w:rFonts w:eastAsia="Arial Unicode MS" w:cstheme="majorHAnsi"/>
          <w:color w:val="2E2E2E"/>
          <w:shd w:val="clear" w:color="auto" w:fill="FFFFFF"/>
        </w:rPr>
        <w:t>HBondA</w:t>
      </w:r>
      <w:r>
        <w:rPr>
          <w:rFonts w:eastAsia="Arial Unicode MS" w:cstheme="majorHAnsi"/>
          <w:color w:val="2E2E2E"/>
          <w:shd w:val="clear" w:color="auto" w:fill="FFFFFF"/>
        </w:rPr>
        <w:t>cceptor</w:t>
      </w:r>
      <w:r w:rsidR="00357AD8">
        <w:rPr>
          <w:rFonts w:eastAsia="Arial Unicode MS" w:cstheme="majorHAnsi"/>
          <w:color w:val="2E2E2E"/>
          <w:shd w:val="clear" w:color="auto" w:fill="FFFFFF"/>
        </w:rPr>
        <w:t>s</w:t>
      </w:r>
      <w:proofErr w:type="spellEnd"/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357AD8">
        <w:rPr>
          <w:rFonts w:eastAsia="Arial Unicode MS" w:cstheme="majorHAnsi"/>
          <w:color w:val="2E2E2E"/>
          <w:shd w:val="clear" w:color="auto" w:fill="FFFFFF"/>
        </w:rPr>
        <w:tab/>
        <w:t>Hydrogen Bond Acceptors</w:t>
      </w:r>
    </w:p>
    <w:p w:rsidR="00FD0F71" w:rsidRDefault="00357AD8" w:rsidP="00AF47E3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</w:r>
      <w:proofErr w:type="spellStart"/>
      <w:r>
        <w:rPr>
          <w:rFonts w:eastAsia="Arial Unicode MS" w:cstheme="majorHAnsi"/>
          <w:color w:val="2E2E2E"/>
          <w:shd w:val="clear" w:color="auto" w:fill="FFFFFF"/>
        </w:rPr>
        <w:t>Rotatable</w:t>
      </w:r>
      <w:r w:rsidR="00FD0F71">
        <w:rPr>
          <w:rFonts w:eastAsia="Arial Unicode MS" w:cstheme="majorHAnsi"/>
          <w:color w:val="2E2E2E"/>
          <w:shd w:val="clear" w:color="auto" w:fill="FFFFFF"/>
        </w:rPr>
        <w:t>Bonds</w:t>
      </w:r>
      <w:proofErr w:type="spellEnd"/>
      <w:r w:rsidR="00EB5E60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EB5E60">
        <w:rPr>
          <w:rFonts w:eastAsia="Arial Unicode MS" w:cstheme="majorHAnsi"/>
          <w:color w:val="2E2E2E"/>
          <w:shd w:val="clear" w:color="auto" w:fill="FFFFFF"/>
        </w:rPr>
        <w:tab/>
        <w:t>Rotatable Bonds</w:t>
      </w:r>
    </w:p>
    <w:p w:rsidR="00FD0F71" w:rsidRDefault="00357AD8" w:rsidP="00AF47E3">
      <w:pPr>
        <w:spacing w:after="0" w:line="240" w:lineRule="auto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ab/>
        <w:t>LipinskiRuleof</w:t>
      </w:r>
      <w:r w:rsidR="00FD0F71">
        <w:rPr>
          <w:rFonts w:eastAsia="Arial Unicode MS" w:cstheme="majorHAnsi"/>
          <w:color w:val="2E2E2E"/>
          <w:shd w:val="clear" w:color="auto" w:fill="FFFFFF"/>
        </w:rPr>
        <w:t>5</w:t>
      </w:r>
      <w:r w:rsidR="00EB5E60">
        <w:rPr>
          <w:rFonts w:eastAsia="Arial Unicode MS" w:cstheme="majorHAnsi"/>
          <w:color w:val="2E2E2E"/>
          <w:shd w:val="clear" w:color="auto" w:fill="FFFFFF"/>
        </w:rPr>
        <w:tab/>
      </w:r>
      <w:r w:rsidR="00166B2C">
        <w:rPr>
          <w:rFonts w:eastAsia="Arial Unicode MS" w:cstheme="majorHAnsi"/>
          <w:color w:val="2E2E2E"/>
          <w:shd w:val="clear" w:color="auto" w:fill="FFFFFF"/>
        </w:rPr>
        <w:t>:</w:t>
      </w:r>
      <w:r w:rsidR="00EB5E60">
        <w:rPr>
          <w:rFonts w:eastAsia="Arial Unicode MS" w:cstheme="majorHAnsi"/>
          <w:color w:val="2E2E2E"/>
          <w:shd w:val="clear" w:color="auto" w:fill="FFFFFF"/>
        </w:rPr>
        <w:tab/>
        <w:t>Lipinski Rule of 5</w:t>
      </w:r>
    </w:p>
    <w:p w:rsidR="00EB5E60" w:rsidRPr="00F56B7D" w:rsidRDefault="00EB5E60" w:rsidP="00EB5E60">
      <w:pPr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lastRenderedPageBreak/>
        <w:t>Data Limitations</w:t>
      </w:r>
    </w:p>
    <w:p w:rsidR="00384A4D" w:rsidRDefault="00F46073" w:rsidP="006B1E25">
      <w:pPr>
        <w:jc w:val="both"/>
        <w:rPr>
          <w:rFonts w:eastAsia="Arial Unicode MS" w:cstheme="majorHAnsi"/>
          <w:color w:val="2E2E2E"/>
          <w:shd w:val="clear" w:color="auto" w:fill="FFFFFF"/>
        </w:rPr>
      </w:pPr>
      <w:r>
        <w:rPr>
          <w:rFonts w:eastAsia="Arial Unicode MS" w:cstheme="majorHAnsi"/>
          <w:color w:val="2E2E2E"/>
          <w:shd w:val="clear" w:color="auto" w:fill="FFFFFF"/>
        </w:rPr>
        <w:t>The main limitation of this data set is its relatively small size.  It’</w:t>
      </w:r>
      <w:r w:rsidR="00166B2C">
        <w:rPr>
          <w:rFonts w:eastAsia="Arial Unicode MS" w:cstheme="majorHAnsi"/>
          <w:color w:val="2E2E2E"/>
          <w:shd w:val="clear" w:color="auto" w:fill="FFFFFF"/>
        </w:rPr>
        <w:t>s only composed of 4,</w:t>
      </w:r>
      <w:r>
        <w:rPr>
          <w:rFonts w:eastAsia="Arial Unicode MS" w:cstheme="majorHAnsi"/>
          <w:color w:val="2E2E2E"/>
          <w:shd w:val="clear" w:color="auto" w:fill="FFFFFF"/>
        </w:rPr>
        <w:t>079 rows which represent the number of molecules I screened.  This data also assumes that the ATPase assay I used is an appropriate measure of biochemical inhibition of the target protein.  While I can argue and vouch for the assay validity and robustness, it should still be noted that it can be subject to bias.</w:t>
      </w:r>
    </w:p>
    <w:p w:rsidR="00F56B7D" w:rsidRPr="00F56B7D" w:rsidRDefault="00FB5998" w:rsidP="003C6145">
      <w:pPr>
        <w:rPr>
          <w:rFonts w:cstheme="majorHAnsi"/>
          <w:b/>
          <w:u w:val="single"/>
        </w:rPr>
      </w:pPr>
      <w:r w:rsidRPr="00F56B7D">
        <w:rPr>
          <w:rFonts w:cstheme="majorHAnsi"/>
          <w:b/>
          <w:u w:val="single"/>
        </w:rPr>
        <w:t>Data Wrangling</w:t>
      </w:r>
    </w:p>
    <w:p w:rsidR="00384A4D" w:rsidRPr="00F46073" w:rsidRDefault="00F56B7D" w:rsidP="006B1E25">
      <w:pPr>
        <w:jc w:val="both"/>
      </w:pPr>
      <w:r>
        <w:rPr>
          <w:rFonts w:cstheme="majorHAnsi"/>
        </w:rPr>
        <w:t>The initial data was converted to an excel spreadsheet file by the microplate reader machine used for screening.  I further merged it with the molecule file that came from the vendor which contains molecular information such as SMILES (1D chemical</w:t>
      </w:r>
      <w:r w:rsidR="006B1E25">
        <w:rPr>
          <w:rFonts w:cstheme="majorHAnsi"/>
        </w:rPr>
        <w:t xml:space="preserve"> representation</w:t>
      </w:r>
      <w:r>
        <w:rPr>
          <w:rFonts w:cstheme="majorHAnsi"/>
        </w:rPr>
        <w:t xml:space="preserve">).  I then imported it to Instant </w:t>
      </w:r>
      <w:proofErr w:type="spellStart"/>
      <w:r>
        <w:rPr>
          <w:rFonts w:cstheme="majorHAnsi"/>
        </w:rPr>
        <w:t>Jchem</w:t>
      </w:r>
      <w:proofErr w:type="spellEnd"/>
      <w:r>
        <w:rPr>
          <w:rFonts w:cstheme="majorHAnsi"/>
        </w:rPr>
        <w:t xml:space="preserve"> </w:t>
      </w:r>
      <w:r w:rsidR="00F46073">
        <w:rPr>
          <w:rFonts w:cstheme="majorHAnsi"/>
        </w:rPr>
        <w:t>software</w:t>
      </w:r>
      <w:r>
        <w:rPr>
          <w:rFonts w:cstheme="majorHAnsi"/>
        </w:rPr>
        <w:t xml:space="preserve">.  </w:t>
      </w:r>
      <w:r w:rsidR="00D1782F" w:rsidRPr="00485F41">
        <w:t xml:space="preserve"> </w:t>
      </w:r>
      <w:r>
        <w:t xml:space="preserve">This software </w:t>
      </w:r>
      <w:r w:rsidR="00F46073">
        <w:t xml:space="preserve">further </w:t>
      </w:r>
      <w:r>
        <w:t>calculated molecular descriptors ba</w:t>
      </w:r>
      <w:r w:rsidR="00384A4D">
        <w:t>sed on the chemical structure, such as</w:t>
      </w:r>
      <w:r w:rsidR="0028238D">
        <w:t xml:space="preserve"> </w:t>
      </w:r>
      <w:proofErr w:type="spellStart"/>
      <w:r w:rsidR="0028238D">
        <w:t>LogP</w:t>
      </w:r>
      <w:proofErr w:type="spellEnd"/>
      <w:r w:rsidR="0028238D">
        <w:t xml:space="preserve">, </w:t>
      </w:r>
      <w:proofErr w:type="spellStart"/>
      <w:r w:rsidR="0028238D">
        <w:t>LogD</w:t>
      </w:r>
      <w:proofErr w:type="spellEnd"/>
      <w:r w:rsidR="0028238D">
        <w:t xml:space="preserve">, </w:t>
      </w:r>
      <w:r w:rsidR="00384A4D">
        <w:t>#</w:t>
      </w:r>
      <w:r w:rsidR="0028238D">
        <w:t xml:space="preserve"> of H bond donors, </w:t>
      </w:r>
      <w:r w:rsidR="00384A4D">
        <w:t>#</w:t>
      </w:r>
      <w:r w:rsidR="0028238D">
        <w:t xml:space="preserve"> of H bond acceptors, </w:t>
      </w:r>
      <w:r w:rsidR="00384A4D">
        <w:t>#</w:t>
      </w:r>
      <w:r w:rsidR="0028238D">
        <w:t xml:space="preserve"> of Rotatable bonds,  and whether it satisfies Lipinski’s Rule of 5.</w:t>
      </w:r>
    </w:p>
    <w:p w:rsidR="00463994" w:rsidRPr="00F56B7D" w:rsidRDefault="00AF47E3" w:rsidP="003C6145">
      <w:pPr>
        <w:rPr>
          <w:b/>
          <w:u w:val="single"/>
        </w:rPr>
      </w:pPr>
      <w:r>
        <w:rPr>
          <w:b/>
          <w:u w:val="single"/>
        </w:rPr>
        <w:t>Preliminary Exploration</w:t>
      </w:r>
    </w:p>
    <w:p w:rsidR="00F56B7D" w:rsidRDefault="00F56B7D" w:rsidP="00F56B7D">
      <w:r>
        <w:t>I would like to find out if certain patterns of behavior of the molecule correlate to its structure. For example:</w:t>
      </w:r>
    </w:p>
    <w:p w:rsidR="00F56B7D" w:rsidRDefault="006D661A" w:rsidP="00F56B7D">
      <w:pPr>
        <w:pStyle w:val="ListParagraph"/>
        <w:numPr>
          <w:ilvl w:val="0"/>
          <w:numId w:val="2"/>
        </w:numPr>
      </w:pPr>
      <w:r>
        <w:t>Do bigger-sized molecules more/less potent inhibitors?</w:t>
      </w:r>
    </w:p>
    <w:p w:rsidR="006D661A" w:rsidRDefault="006D661A" w:rsidP="00F56B7D">
      <w:pPr>
        <w:pStyle w:val="ListParagraph"/>
        <w:numPr>
          <w:ilvl w:val="0"/>
          <w:numId w:val="2"/>
        </w:numPr>
      </w:pPr>
      <w:r>
        <w:t>Does the number of benzene rings increase/decrease inhibitory capability?</w:t>
      </w:r>
    </w:p>
    <w:p w:rsidR="003F56F3" w:rsidRPr="00AF47E3" w:rsidRDefault="00384A4D" w:rsidP="003F56F3">
      <w:pPr>
        <w:pStyle w:val="ListParagraph"/>
        <w:numPr>
          <w:ilvl w:val="0"/>
          <w:numId w:val="2"/>
        </w:numPr>
      </w:pPr>
      <w:r>
        <w:t xml:space="preserve">Does the octanol/water index </w:t>
      </w:r>
      <w:r w:rsidR="00166B2C">
        <w:t>(</w:t>
      </w:r>
      <w:proofErr w:type="spellStart"/>
      <w:r w:rsidR="00166B2C">
        <w:t>LogP</w:t>
      </w:r>
      <w:proofErr w:type="spellEnd"/>
      <w:r w:rsidR="00166B2C">
        <w:t xml:space="preserve">) </w:t>
      </w:r>
      <w:r>
        <w:t>affect ligand activity?</w:t>
      </w:r>
    </w:p>
    <w:p w:rsidR="00E86FE3" w:rsidRDefault="00E94198" w:rsidP="006B1E25">
      <w:pPr>
        <w:jc w:val="both"/>
      </w:pPr>
      <w:r>
        <w:t>I have performed some simple data analysis to visuali</w:t>
      </w:r>
      <w:r w:rsidR="006B1E25">
        <w:t>ze the data.  The ultimate goal</w:t>
      </w:r>
      <w:r>
        <w:t xml:space="preserve"> for this project is to run some machine learning methods on the data such as l</w:t>
      </w:r>
      <w:r w:rsidR="007A7A14">
        <w:t xml:space="preserve">inear regression </w:t>
      </w:r>
      <w:r>
        <w:t xml:space="preserve">and </w:t>
      </w:r>
      <w:r w:rsidR="006B1E25">
        <w:t>probably a discriminant or tree-based</w:t>
      </w:r>
      <w:r w:rsidR="007A7A14">
        <w:t xml:space="preserve"> classification algorithm</w:t>
      </w:r>
      <w:r w:rsidR="006B1E25">
        <w:t>.</w:t>
      </w:r>
    </w:p>
    <w:p w:rsidR="00E94198" w:rsidRDefault="00E94198" w:rsidP="006B1E25">
      <w:pPr>
        <w:pStyle w:val="ListParagraph"/>
        <w:numPr>
          <w:ilvl w:val="0"/>
          <w:numId w:val="4"/>
        </w:numPr>
        <w:jc w:val="both"/>
      </w:pPr>
      <w:r>
        <w:t>For now,</w:t>
      </w:r>
      <w:r w:rsidR="007A7A14">
        <w:t xml:space="preserve"> I wanted to find out if there are relationships between a molecule</w:t>
      </w:r>
      <w:r w:rsidR="00076A6D">
        <w:t>’s</w:t>
      </w:r>
      <w:r w:rsidR="007A7A14">
        <w:t xml:space="preserve"> physical characteristic and its inhibitory capability.</w:t>
      </w:r>
      <w:r>
        <w:t xml:space="preserve"> </w:t>
      </w:r>
      <w:r w:rsidR="007A7A14">
        <w:t>So I first plotted the DENV helicase percent inhibition of the molecule against the number of hydrogen bond donors in the molecule.</w:t>
      </w:r>
      <w:r w:rsidR="00AF47E3">
        <w:t xml:space="preserve">  The two columns # hydrogen bond donors and # hydrogen bond acceptors can affect the molecule’s ability to form weak bonds with the biological target.  And I wanted to see if it has any impact in the set of molecules I assayed.</w:t>
      </w:r>
    </w:p>
    <w:p w:rsidR="00076A6D" w:rsidRDefault="00076A6D" w:rsidP="006D661A">
      <w:pPr>
        <w:sectPr w:rsidR="00076A6D" w:rsidSect="007E6D3D">
          <w:footerReference w:type="default" r:id="rId9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AF47E3" w:rsidRDefault="00AF47E3" w:rsidP="00995E6F">
      <w:pPr>
        <w:ind w:firstLine="720"/>
      </w:pPr>
      <w:r>
        <w:rPr>
          <w:noProof/>
        </w:rPr>
        <w:lastRenderedPageBreak/>
        <w:drawing>
          <wp:inline distT="0" distB="0" distL="0" distR="0" wp14:anchorId="74B7CCD0" wp14:editId="4A393A6D">
            <wp:extent cx="2446474" cy="24518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03" cy="24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25" w:rsidRDefault="006B1E25" w:rsidP="00076A6D">
      <w:pPr>
        <w:jc w:val="both"/>
      </w:pPr>
    </w:p>
    <w:p w:rsidR="00076A6D" w:rsidRDefault="00076A6D" w:rsidP="00076A6D">
      <w:pPr>
        <w:jc w:val="both"/>
        <w:sectPr w:rsidR="00076A6D" w:rsidSect="00076A6D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  <w:r>
        <w:t xml:space="preserve">In this </w:t>
      </w:r>
      <w:proofErr w:type="spellStart"/>
      <w:r>
        <w:t>kdeplot</w:t>
      </w:r>
      <w:proofErr w:type="spellEnd"/>
      <w:r>
        <w:t xml:space="preserve">, it appears that the number of hydrogen bond donors do affect the % inhibition of the molecule in the ATPase assay, such that the lack of it correlate with a higher inhibitory </w:t>
      </w:r>
      <w:proofErr w:type="gramStart"/>
      <w:r>
        <w:t>percentage</w:t>
      </w:r>
      <w:proofErr w:type="gramEnd"/>
      <w:r>
        <w:t>.</w:t>
      </w:r>
    </w:p>
    <w:p w:rsidR="001074FC" w:rsidRDefault="00076A6D" w:rsidP="00995E6F">
      <w:pPr>
        <w:pStyle w:val="ListParagraph"/>
        <w:numPr>
          <w:ilvl w:val="0"/>
          <w:numId w:val="4"/>
        </w:numPr>
      </w:pPr>
      <w:r>
        <w:lastRenderedPageBreak/>
        <w:t xml:space="preserve">Another relationship I wanted to detect is whether the </w:t>
      </w:r>
      <w:proofErr w:type="gramStart"/>
      <w:r>
        <w:t>number of rotatable bonds affect</w:t>
      </w:r>
      <w:proofErr w:type="gramEnd"/>
      <w:r>
        <w:t xml:space="preserve"> the inhibitory capability and </w:t>
      </w:r>
      <w:r w:rsidR="001074FC">
        <w:t>whether the molecule satisfies the Lipinski Rule of 5.  I used a scatter plot for this.</w:t>
      </w:r>
      <w:r w:rsidR="006B1E25">
        <w:t xml:space="preserve">  The plot</w:t>
      </w:r>
      <w:r w:rsidR="00995E6F">
        <w:t xml:space="preserve"> show</w:t>
      </w:r>
      <w:r w:rsidR="006B1E25">
        <w:t>s</w:t>
      </w:r>
      <w:r w:rsidR="00995E6F">
        <w:t xml:space="preserve"> that th</w:t>
      </w:r>
      <w:r w:rsidR="006B1E25">
        <w:t>e number of rotatable bonds</w:t>
      </w:r>
      <w:r w:rsidR="00995E6F">
        <w:t xml:space="preserve"> somewhat affect the inhibitory capacity with a higher number of it correlating with a higher inhibitory rate.</w:t>
      </w:r>
    </w:p>
    <w:p w:rsidR="001074FC" w:rsidRDefault="006B1E25" w:rsidP="006D661A">
      <w:r>
        <w:rPr>
          <w:noProof/>
        </w:rPr>
        <w:t xml:space="preserve">                             </w:t>
      </w:r>
      <w:r w:rsidR="001074FC">
        <w:rPr>
          <w:noProof/>
        </w:rPr>
        <w:drawing>
          <wp:inline distT="0" distB="0" distL="0" distR="0" wp14:anchorId="71AA0137" wp14:editId="21FD957E">
            <wp:extent cx="4008827" cy="25877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27" cy="258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4FC">
        <w:t xml:space="preserve">    </w:t>
      </w:r>
    </w:p>
    <w:p w:rsidR="001074FC" w:rsidRDefault="00995E6F" w:rsidP="00995E6F">
      <w:pPr>
        <w:pStyle w:val="ListParagraph"/>
        <w:numPr>
          <w:ilvl w:val="0"/>
          <w:numId w:val="4"/>
        </w:numPr>
      </w:pPr>
      <w:r>
        <w:t>I also wanted to find out if there are molecules that have inhibitory capability targeting both Hepatitis C and Dengue viruses.</w:t>
      </w:r>
      <w:r w:rsidR="00E02DC9">
        <w:t xml:space="preserve"> It shows one molecule that can inhibit</w:t>
      </w:r>
      <w:r w:rsidR="00166B2C">
        <w:t xml:space="preserve"> </w:t>
      </w:r>
      <w:r w:rsidR="00EF7EB1">
        <w:t>both with greater than 5</w:t>
      </w:r>
      <w:r w:rsidR="00166B2C">
        <w:t>0%</w:t>
      </w:r>
      <w:r w:rsidR="00EF7EB1">
        <w:t xml:space="preserve"> </w:t>
      </w:r>
      <w:proofErr w:type="spellStart"/>
      <w:r w:rsidR="00EF7EB1">
        <w:t>effecicacy</w:t>
      </w:r>
      <w:proofErr w:type="spellEnd"/>
      <w:r w:rsidR="00EF7EB1">
        <w:t xml:space="preserve"> for DENV and close to 40% effectiveness for HCV.</w:t>
      </w:r>
    </w:p>
    <w:p w:rsidR="00995E6F" w:rsidRDefault="00EF7EB1" w:rsidP="00995E6F">
      <w:pPr>
        <w:pStyle w:val="ListParagraph"/>
      </w:pPr>
      <w:r>
        <w:rPr>
          <w:noProof/>
        </w:rPr>
        <w:t xml:space="preserve">              </w:t>
      </w:r>
      <w:bookmarkStart w:id="0" w:name="_GoBack"/>
      <w:bookmarkEnd w:id="0"/>
      <w:r w:rsidR="00995E6F">
        <w:rPr>
          <w:noProof/>
        </w:rPr>
        <w:drawing>
          <wp:inline distT="0" distB="0" distL="0" distR="0">
            <wp:extent cx="3157869" cy="316709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61" cy="31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E3" w:rsidRPr="00384A4D" w:rsidRDefault="00384A4D" w:rsidP="006D661A">
      <w:pPr>
        <w:rPr>
          <w:b/>
          <w:u w:val="single"/>
        </w:rPr>
      </w:pPr>
      <w:r w:rsidRPr="00384A4D">
        <w:rPr>
          <w:b/>
          <w:u w:val="single"/>
        </w:rPr>
        <w:t>Bibliography</w:t>
      </w:r>
    </w:p>
    <w:p w:rsidR="00E86FE3" w:rsidRDefault="00E86FE3" w:rsidP="008A37C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 xml:space="preserve">Lock, E. F., </w:t>
      </w:r>
      <w:proofErr w:type="spellStart"/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Abdo</w:t>
      </w:r>
      <w:proofErr w:type="spellEnd"/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, N., Huang, R., Xia, M.</w:t>
      </w:r>
      <w:r w:rsidR="00995E6F">
        <w:rPr>
          <w:rFonts w:cstheme="minorHAnsi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="00995E6F">
        <w:rPr>
          <w:rFonts w:cstheme="minorHAnsi"/>
          <w:color w:val="666666"/>
          <w:sz w:val="18"/>
          <w:szCs w:val="18"/>
          <w:shd w:val="clear" w:color="auto" w:fill="FFFFFF"/>
        </w:rPr>
        <w:t>Kosyk</w:t>
      </w:r>
      <w:proofErr w:type="spellEnd"/>
      <w:r w:rsidR="00995E6F">
        <w:rPr>
          <w:rFonts w:cstheme="minorHAnsi"/>
          <w:color w:val="666666"/>
          <w:sz w:val="18"/>
          <w:szCs w:val="18"/>
          <w:shd w:val="clear" w:color="auto" w:fill="FFFFFF"/>
        </w:rPr>
        <w:t xml:space="preserve">, O., O'Shea, S. H., </w:t>
      </w:r>
      <w:proofErr w:type="spellStart"/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Rusyn</w:t>
      </w:r>
      <w:proofErr w:type="spellEnd"/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, I. (2012).</w:t>
      </w:r>
      <w:r w:rsidRPr="008A37CC">
        <w:rPr>
          <w:rStyle w:val="apple-converted-space"/>
          <w:rFonts w:cstheme="minorHAnsi"/>
          <w:color w:val="666666"/>
          <w:sz w:val="18"/>
          <w:szCs w:val="18"/>
          <w:shd w:val="clear" w:color="auto" w:fill="FFFFFF"/>
        </w:rPr>
        <w:t> </w:t>
      </w:r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Quantitative high-throughput screening for chemical toxicity in a population-based in vitro model.</w:t>
      </w:r>
      <w:r w:rsidRPr="008A37CC">
        <w:rPr>
          <w:rStyle w:val="apple-converted-space"/>
          <w:rFonts w:cstheme="minorHAnsi"/>
          <w:color w:val="666666"/>
          <w:sz w:val="18"/>
          <w:szCs w:val="18"/>
          <w:shd w:val="clear" w:color="auto" w:fill="FFFFFF"/>
        </w:rPr>
        <w:t> </w:t>
      </w:r>
      <w:r w:rsidRPr="008A37CC">
        <w:rPr>
          <w:rStyle w:val="Emphasis"/>
          <w:rFonts w:cstheme="minorHAnsi"/>
          <w:color w:val="666666"/>
          <w:sz w:val="18"/>
          <w:szCs w:val="18"/>
          <w:shd w:val="clear" w:color="auto" w:fill="FFFFFF"/>
        </w:rPr>
        <w:t>Toxicological Sciences</w:t>
      </w:r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,</w:t>
      </w:r>
      <w:r w:rsidRPr="008A37CC">
        <w:rPr>
          <w:rStyle w:val="apple-converted-space"/>
          <w:rFonts w:cstheme="minorHAnsi"/>
          <w:color w:val="666666"/>
          <w:sz w:val="18"/>
          <w:szCs w:val="18"/>
          <w:shd w:val="clear" w:color="auto" w:fill="FFFFFF"/>
        </w:rPr>
        <w:t> </w:t>
      </w:r>
      <w:r w:rsidRPr="008A37CC">
        <w:rPr>
          <w:rStyle w:val="Emphasis"/>
          <w:rFonts w:cstheme="minorHAnsi"/>
          <w:color w:val="666666"/>
          <w:sz w:val="18"/>
          <w:szCs w:val="18"/>
          <w:shd w:val="clear" w:color="auto" w:fill="FFFFFF"/>
        </w:rPr>
        <w:t>126</w:t>
      </w:r>
      <w:r w:rsidRPr="008A37CC">
        <w:rPr>
          <w:rFonts w:cstheme="minorHAnsi"/>
          <w:color w:val="666666"/>
          <w:sz w:val="18"/>
          <w:szCs w:val="18"/>
          <w:shd w:val="clear" w:color="auto" w:fill="FFFFFF"/>
        </w:rPr>
        <w:t>(2), 578-588. DOI:</w:t>
      </w:r>
      <w:r w:rsidRPr="008A37CC">
        <w:rPr>
          <w:rStyle w:val="apple-converted-space"/>
          <w:rFonts w:cstheme="minorHAnsi"/>
          <w:color w:val="666666"/>
          <w:sz w:val="18"/>
          <w:szCs w:val="18"/>
          <w:shd w:val="clear" w:color="auto" w:fill="FFFFFF"/>
        </w:rPr>
        <w:t> </w:t>
      </w:r>
      <w:hyperlink r:id="rId13" w:history="1">
        <w:r w:rsidRPr="008A37CC">
          <w:rPr>
            <w:rStyle w:val="Hyperlink"/>
            <w:rFonts w:cstheme="minorHAnsi"/>
            <w:color w:val="333333"/>
            <w:sz w:val="18"/>
            <w:szCs w:val="18"/>
            <w:shd w:val="clear" w:color="auto" w:fill="FFFFFF"/>
          </w:rPr>
          <w:t>10.1093/</w:t>
        </w:r>
        <w:proofErr w:type="spellStart"/>
        <w:r w:rsidRPr="008A37CC">
          <w:rPr>
            <w:rStyle w:val="Hyperlink"/>
            <w:rFonts w:cstheme="minorHAnsi"/>
            <w:color w:val="333333"/>
            <w:sz w:val="18"/>
            <w:szCs w:val="18"/>
            <w:shd w:val="clear" w:color="auto" w:fill="FFFFFF"/>
          </w:rPr>
          <w:t>toxsci</w:t>
        </w:r>
        <w:proofErr w:type="spellEnd"/>
        <w:r w:rsidRPr="008A37CC">
          <w:rPr>
            <w:rStyle w:val="Hyperlink"/>
            <w:rFonts w:cstheme="minorHAnsi"/>
            <w:color w:val="333333"/>
            <w:sz w:val="18"/>
            <w:szCs w:val="18"/>
            <w:shd w:val="clear" w:color="auto" w:fill="FFFFFF"/>
          </w:rPr>
          <w:t>/kfs023</w:t>
        </w:r>
      </w:hyperlink>
    </w:p>
    <w:p w:rsidR="008A37CC" w:rsidRPr="008A37CC" w:rsidRDefault="008A37CC" w:rsidP="008A37CC">
      <w:pPr>
        <w:pStyle w:val="ListParagraph"/>
        <w:rPr>
          <w:rFonts w:cstheme="minorHAnsi"/>
          <w:sz w:val="18"/>
          <w:szCs w:val="18"/>
        </w:rPr>
      </w:pPr>
    </w:p>
    <w:p w:rsidR="008A37CC" w:rsidRPr="008A37CC" w:rsidRDefault="008A37CC" w:rsidP="008A37C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="Arial"/>
          <w:color w:val="333333"/>
          <w:sz w:val="18"/>
          <w:szCs w:val="18"/>
          <w:shd w:val="clear" w:color="auto" w:fill="FFFFFF"/>
        </w:rPr>
        <w:t>G</w:t>
      </w:r>
      <w:r w:rsidRPr="008A37CC">
        <w:rPr>
          <w:rFonts w:cs="Arial"/>
          <w:color w:val="333333"/>
          <w:sz w:val="18"/>
          <w:szCs w:val="18"/>
          <w:shd w:val="clear" w:color="auto" w:fill="FFFFFF"/>
        </w:rPr>
        <w:t>uzman M. G.</w:t>
      </w:r>
      <w:r w:rsidRPr="008A37CC">
        <w:rPr>
          <w:rStyle w:val="apple-converted-space"/>
          <w:rFonts w:eastAsiaTheme="majorEastAsia" w:cs="Arial"/>
          <w:color w:val="333333"/>
          <w:sz w:val="18"/>
          <w:szCs w:val="18"/>
          <w:shd w:val="clear" w:color="auto" w:fill="FFFFFF"/>
        </w:rPr>
        <w:t> </w:t>
      </w:r>
      <w:r w:rsidRPr="008A37CC">
        <w:rPr>
          <w:rFonts w:cs="Arial"/>
          <w:i/>
          <w:iCs/>
          <w:color w:val="333333"/>
          <w:sz w:val="18"/>
          <w:szCs w:val="18"/>
          <w:shd w:val="clear" w:color="auto" w:fill="FFFFFF"/>
        </w:rPr>
        <w:t>et al</w:t>
      </w:r>
      <w:r w:rsidRPr="008A37CC">
        <w:rPr>
          <w:rFonts w:cs="Arial"/>
          <w:color w:val="333333"/>
          <w:sz w:val="18"/>
          <w:szCs w:val="18"/>
          <w:shd w:val="clear" w:color="auto" w:fill="FFFFFF"/>
        </w:rPr>
        <w:t>. Dengue: A continuing global threat.</w:t>
      </w:r>
      <w:r w:rsidRPr="008A37CC">
        <w:rPr>
          <w:rStyle w:val="apple-converted-space"/>
          <w:rFonts w:eastAsiaTheme="majorEastAsia" w:cs="Arial"/>
          <w:color w:val="333333"/>
          <w:sz w:val="18"/>
          <w:szCs w:val="18"/>
          <w:shd w:val="clear" w:color="auto" w:fill="FFFFFF"/>
        </w:rPr>
        <w:t> </w:t>
      </w:r>
      <w:r w:rsidRPr="008A37CC">
        <w:rPr>
          <w:rFonts w:cs="Arial"/>
          <w:i/>
          <w:iCs/>
          <w:color w:val="333333"/>
          <w:sz w:val="18"/>
          <w:szCs w:val="18"/>
          <w:shd w:val="clear" w:color="auto" w:fill="FFFFFF"/>
        </w:rPr>
        <w:t>Nature Reviews</w:t>
      </w:r>
      <w:r w:rsidRPr="008A37CC">
        <w:rPr>
          <w:rStyle w:val="apple-converted-space"/>
          <w:rFonts w:eastAsiaTheme="majorEastAsia" w:cs="Arial"/>
          <w:i/>
          <w:iCs/>
          <w:color w:val="333333"/>
          <w:sz w:val="18"/>
          <w:szCs w:val="18"/>
          <w:shd w:val="clear" w:color="auto" w:fill="FFFFFF"/>
        </w:rPr>
        <w:t> </w:t>
      </w:r>
      <w:r w:rsidRPr="008A37CC">
        <w:rPr>
          <w:rFonts w:cs="Arial"/>
          <w:i/>
          <w:iCs/>
          <w:color w:val="333333"/>
          <w:sz w:val="18"/>
          <w:szCs w:val="18"/>
          <w:shd w:val="clear" w:color="auto" w:fill="FFFFFF"/>
        </w:rPr>
        <w:t>Microbiol</w:t>
      </w:r>
      <w:r w:rsidRPr="008A37CC">
        <w:rPr>
          <w:rFonts w:cs="Arial"/>
          <w:color w:val="333333"/>
          <w:sz w:val="18"/>
          <w:szCs w:val="18"/>
          <w:shd w:val="clear" w:color="auto" w:fill="FFFFFF"/>
        </w:rPr>
        <w:t>ogy</w:t>
      </w:r>
      <w:r w:rsidRPr="008A37CC">
        <w:rPr>
          <w:rStyle w:val="apple-converted-space"/>
          <w:rFonts w:eastAsiaTheme="majorEastAsia" w:cs="Arial"/>
          <w:color w:val="333333"/>
          <w:sz w:val="18"/>
          <w:szCs w:val="18"/>
          <w:shd w:val="clear" w:color="auto" w:fill="FFFFFF"/>
        </w:rPr>
        <w:t> </w:t>
      </w:r>
      <w:r w:rsidRPr="008A37CC">
        <w:rPr>
          <w:rFonts w:cs="Arial"/>
          <w:b/>
          <w:bCs/>
          <w:color w:val="333333"/>
          <w:sz w:val="18"/>
          <w:szCs w:val="18"/>
          <w:shd w:val="clear" w:color="auto" w:fill="FFFFFF"/>
        </w:rPr>
        <w:t>8</w:t>
      </w:r>
      <w:r w:rsidRPr="008A37CC">
        <w:rPr>
          <w:rFonts w:cs="Arial"/>
          <w:color w:val="333333"/>
          <w:sz w:val="18"/>
          <w:szCs w:val="18"/>
          <w:shd w:val="clear" w:color="auto" w:fill="FFFFFF"/>
        </w:rPr>
        <w:t>, S7–S16 (2010).</w:t>
      </w:r>
    </w:p>
    <w:sectPr w:rsidR="008A37CC" w:rsidRPr="008A37CC" w:rsidSect="00076A6D">
      <w:type w:val="continuous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08" w:rsidRDefault="00350708" w:rsidP="007E6D3D">
      <w:pPr>
        <w:spacing w:after="0" w:line="240" w:lineRule="auto"/>
      </w:pPr>
      <w:r>
        <w:separator/>
      </w:r>
    </w:p>
  </w:endnote>
  <w:endnote w:type="continuationSeparator" w:id="0">
    <w:p w:rsidR="00350708" w:rsidRDefault="00350708" w:rsidP="007E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2467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E6D3D" w:rsidRDefault="007E6D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EB1" w:rsidRPr="00EF7E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E6D3D" w:rsidRDefault="007E6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08" w:rsidRDefault="00350708" w:rsidP="007E6D3D">
      <w:pPr>
        <w:spacing w:after="0" w:line="240" w:lineRule="auto"/>
      </w:pPr>
      <w:r>
        <w:separator/>
      </w:r>
    </w:p>
  </w:footnote>
  <w:footnote w:type="continuationSeparator" w:id="0">
    <w:p w:rsidR="00350708" w:rsidRDefault="00350708" w:rsidP="007E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22FA"/>
    <w:multiLevelType w:val="hybridMultilevel"/>
    <w:tmpl w:val="21F4D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7217E"/>
    <w:multiLevelType w:val="hybridMultilevel"/>
    <w:tmpl w:val="5122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66463"/>
    <w:multiLevelType w:val="hybridMultilevel"/>
    <w:tmpl w:val="19262B70"/>
    <w:lvl w:ilvl="0" w:tplc="EB68B674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64AB"/>
    <w:multiLevelType w:val="hybridMultilevel"/>
    <w:tmpl w:val="1EE8F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94"/>
    <w:rsid w:val="00076A6D"/>
    <w:rsid w:val="001074FC"/>
    <w:rsid w:val="00130EC1"/>
    <w:rsid w:val="00166B2C"/>
    <w:rsid w:val="00183DA6"/>
    <w:rsid w:val="0024414C"/>
    <w:rsid w:val="0028238D"/>
    <w:rsid w:val="00313CCE"/>
    <w:rsid w:val="00350708"/>
    <w:rsid w:val="00357AD8"/>
    <w:rsid w:val="00384A4D"/>
    <w:rsid w:val="003C6145"/>
    <w:rsid w:val="003F56F3"/>
    <w:rsid w:val="00463994"/>
    <w:rsid w:val="004650A7"/>
    <w:rsid w:val="00470A7D"/>
    <w:rsid w:val="004E6A33"/>
    <w:rsid w:val="005356D2"/>
    <w:rsid w:val="00677BD9"/>
    <w:rsid w:val="006B1E25"/>
    <w:rsid w:val="006D661A"/>
    <w:rsid w:val="00782608"/>
    <w:rsid w:val="007A7A14"/>
    <w:rsid w:val="007C4840"/>
    <w:rsid w:val="007D0650"/>
    <w:rsid w:val="007E6D3D"/>
    <w:rsid w:val="008A37CC"/>
    <w:rsid w:val="00995E6F"/>
    <w:rsid w:val="00A569FD"/>
    <w:rsid w:val="00AB10DA"/>
    <w:rsid w:val="00AE603C"/>
    <w:rsid w:val="00AF47E3"/>
    <w:rsid w:val="00B50166"/>
    <w:rsid w:val="00D1782F"/>
    <w:rsid w:val="00D32DBE"/>
    <w:rsid w:val="00E02DC9"/>
    <w:rsid w:val="00E86FE3"/>
    <w:rsid w:val="00E94198"/>
    <w:rsid w:val="00EB5E60"/>
    <w:rsid w:val="00EF7EB1"/>
    <w:rsid w:val="00F46073"/>
    <w:rsid w:val="00F56B7D"/>
    <w:rsid w:val="00F64231"/>
    <w:rsid w:val="00FA324C"/>
    <w:rsid w:val="00FB5998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FE3"/>
  </w:style>
  <w:style w:type="character" w:styleId="Emphasis">
    <w:name w:val="Emphasis"/>
    <w:basedOn w:val="DefaultParagraphFont"/>
    <w:uiPriority w:val="20"/>
    <w:qFormat/>
    <w:rsid w:val="00E86F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F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3D"/>
  </w:style>
  <w:style w:type="paragraph" w:styleId="Footer">
    <w:name w:val="footer"/>
    <w:basedOn w:val="Normal"/>
    <w:link w:val="FooterChar"/>
    <w:uiPriority w:val="99"/>
    <w:unhideWhenUsed/>
    <w:rsid w:val="007E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3D"/>
  </w:style>
  <w:style w:type="paragraph" w:styleId="BalloonText">
    <w:name w:val="Balloon Text"/>
    <w:basedOn w:val="Normal"/>
    <w:link w:val="BalloonTextChar"/>
    <w:uiPriority w:val="99"/>
    <w:semiHidden/>
    <w:unhideWhenUsed/>
    <w:rsid w:val="00AF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FE3"/>
  </w:style>
  <w:style w:type="character" w:styleId="Emphasis">
    <w:name w:val="Emphasis"/>
    <w:basedOn w:val="DefaultParagraphFont"/>
    <w:uiPriority w:val="20"/>
    <w:qFormat/>
    <w:rsid w:val="00E86F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F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3D"/>
  </w:style>
  <w:style w:type="paragraph" w:styleId="Footer">
    <w:name w:val="footer"/>
    <w:basedOn w:val="Normal"/>
    <w:link w:val="FooterChar"/>
    <w:uiPriority w:val="99"/>
    <w:unhideWhenUsed/>
    <w:rsid w:val="007E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3D"/>
  </w:style>
  <w:style w:type="paragraph" w:styleId="BalloonText">
    <w:name w:val="Balloon Text"/>
    <w:basedOn w:val="Normal"/>
    <w:link w:val="BalloonTextChar"/>
    <w:uiPriority w:val="99"/>
    <w:semiHidden/>
    <w:unhideWhenUsed/>
    <w:rsid w:val="00AF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x.doi.org/10.1093/toxsci/kfs02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AA79-3FE9-4F71-B4F2-F549602D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Noreena</dc:creator>
  <cp:lastModifiedBy>Noreena</cp:lastModifiedBy>
  <cp:revision>13</cp:revision>
  <dcterms:created xsi:type="dcterms:W3CDTF">2017-02-23T17:15:00Z</dcterms:created>
  <dcterms:modified xsi:type="dcterms:W3CDTF">2017-03-01T16:19:00Z</dcterms:modified>
</cp:coreProperties>
</file>