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jc w:val="right"/>
        <w:rPr>
          <w:rFonts w:ascii="Roboto" w:cs="Roboto" w:eastAsia="Roboto" w:hAnsi="Roboto"/>
          <w:b w:val="1"/>
          <w:sz w:val="26"/>
          <w:szCs w:val="26"/>
        </w:rPr>
      </w:pPr>
      <w:r w:rsidDel="00000000" w:rsidR="00000000" w:rsidRPr="00000000">
        <w:rPr>
          <w:rFonts w:ascii="Roboto" w:cs="Roboto" w:eastAsia="Roboto" w:hAnsi="Roboto"/>
          <w:b w:val="1"/>
          <w:sz w:val="26"/>
          <w:szCs w:val="26"/>
        </w:rPr>
        <w:drawing>
          <wp:inline distB="114300" distT="114300" distL="114300" distR="114300">
            <wp:extent cx="3540231" cy="54003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40231" cy="5400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03">
      <w:pPr>
        <w:spacing w:line="24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04">
      <w:pPr>
        <w:spacing w:line="24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05">
      <w:pPr>
        <w:spacing w:line="24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06">
      <w:pPr>
        <w:spacing w:line="24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07">
      <w:pPr>
        <w:spacing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Ravensburger AG -</w:t>
      </w:r>
    </w:p>
    <w:p w:rsidR="00000000" w:rsidDel="00000000" w:rsidP="00000000" w:rsidRDefault="00000000" w:rsidRPr="00000000" w14:paraId="00000008">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8"/>
          <w:szCs w:val="28"/>
          <w:rtl w:val="0"/>
        </w:rPr>
        <w:t xml:space="preserve">Brett- und Kartenspiele Hersteller</w:t>
      </w:r>
      <w:r w:rsidDel="00000000" w:rsidR="00000000" w:rsidRPr="00000000">
        <w:rPr>
          <w:rtl w:val="0"/>
        </w:rPr>
      </w:r>
    </w:p>
    <w:p w:rsidR="00000000" w:rsidDel="00000000" w:rsidP="00000000" w:rsidRDefault="00000000" w:rsidRPr="00000000" w14:paraId="00000009">
      <w:pPr>
        <w:spacing w:before="24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spacing w:before="24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Der Brett- und Kartenspiele Hersteller "Ravensburger AG", gegründet im Jahre 1883 vom Gründungsmitglied Otto Robert Maier und einer Mitarbeiterzahl von 2153 (Stand 2018), ist eine weltweit tätige Unternehmensgruppe mit Hauptsitz in </w:t>
      </w:r>
      <w:r w:rsidDel="00000000" w:rsidR="00000000" w:rsidRPr="00000000">
        <w:rPr>
          <w:rFonts w:ascii="Roboto" w:cs="Roboto" w:eastAsia="Roboto" w:hAnsi="Roboto"/>
          <w:sz w:val="24"/>
          <w:szCs w:val="24"/>
          <w:rtl w:val="0"/>
        </w:rPr>
        <w:t xml:space="preserve">Ravensburg</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B">
      <w:pPr>
        <w:spacing w:before="24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Das Sortiment von Ravensburger AG konzentriert sich auf Brett- und Kartenspiele, die von Abenteuer und Strategie, von fernen Ländern und vergangenen Zeiten handeln. Ob es der wilde Westen, das geheimnisvolle Asien oder die Burg im Mittelalter sind, das Spektrum für Kinder und Erwachsene zeigt sich breit gefächert. Die hohe Spielqualität und die ebenso authentische Illustration der Spiele haben dem Verlag Auszeichnungen am laufenden Band eingebracht. Der bisher größte Spiel- und Verkaufserfolg gelang der Ravensburger AG mit dem Spiel Carcassonne.</w:t>
      </w:r>
    </w:p>
    <w:p w:rsidR="00000000" w:rsidDel="00000000" w:rsidP="00000000" w:rsidRDefault="00000000" w:rsidRPr="00000000" w14:paraId="0000000C">
      <w:pPr>
        <w:spacing w:before="24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Die Ravensburger AG bietet schon seit Jahren Menschen jeder Altersgruppe den besten Spielspaß und regt dabei auch zum logischen Denken an. Dabei ist das Zusammenkommen von Familienmitgliedern das Hauptziel des Spieleverlages. Dennoch hat die AG auch zukünftige Pläne für die Digitalisierung dieser klassischen Unterhaltungsmedien im Blick, um jeder Person auf der Welt die gleiche Spielfreude liefern zu können.</w:t>
      </w:r>
    </w:p>
    <w:p w:rsidR="00000000" w:rsidDel="00000000" w:rsidP="00000000" w:rsidRDefault="00000000" w:rsidRPr="00000000" w14:paraId="0000000D">
      <w:pPr>
        <w:spacing w:before="24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Mit Spielen wie Carcassonne</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sz w:val="24"/>
          <w:szCs w:val="24"/>
          <w:rtl w:val="0"/>
        </w:rPr>
        <w:t xml:space="preserve">hat sich ein eigenständiger Bereich für Turniere und Meisterschaften herausgebildet, in denen Spieler den Titel für sich entscheiden können. Neben der Deutschen Meisterschaft wurde 2011 auch erstmals eine Weltmeisterschaft für den Spieleklassiker veranstaltet.</w:t>
      </w:r>
    </w:p>
    <w:p w:rsidR="00000000" w:rsidDel="00000000" w:rsidP="00000000" w:rsidRDefault="00000000" w:rsidRPr="00000000" w14:paraId="0000000E">
      <w:pPr>
        <w:spacing w:before="24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F">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0">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