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2E7D32"/>
          <w:sz w:val="32"/>
        </w:rPr>
        <w:t>Universidad de Alicante</w:t>
      </w:r>
    </w:p>
    <w:p/>
    <w:p>
      <w:pPr>
        <w:jc w:val="center"/>
      </w:pPr>
      <w:r>
        <w:rPr>
          <w:rFonts w:ascii="Calibri" w:hAnsi="Calibri"/>
          <w:color w:val="388E3C"/>
          <w:sz w:val="28"/>
        </w:rPr>
        <w:t>Interfaces de Usuario</w:t>
      </w:r>
    </w:p>
    <w:p/>
    <w:p>
      <w:pPr>
        <w:jc w:val="center"/>
      </w:pPr>
      <w:r>
        <w:rPr>
          <w:rFonts w:ascii="Calibri" w:hAnsi="Calibri"/>
          <w:b/>
          <w:color w:val="2E7D32"/>
          <w:sz w:val="36"/>
        </w:rPr>
        <w:t>Sistema de Reciclaje Inteligente</w:t>
        <w:br/>
        <w:t>con Visión por Computador y CLIP</w:t>
      </w:r>
    </w:p>
    <w:p/>
    <w:p>
      <w:pPr>
        <w:jc w:val="center"/>
      </w:pPr>
      <w:r>
        <w:rPr>
          <w:rFonts w:ascii="Calibri" w:hAnsi="Calibri"/>
          <w:color w:val="388E3C"/>
          <w:sz w:val="24"/>
        </w:rPr>
        <w:t>Aplicación JavaFX con identificación de productos</w:t>
        <w:br/>
        <w:t>mediante CLIP ViT-B/32</w:t>
      </w:r>
    </w:p>
    <w:p/>
    <w:p/>
    <w:p/>
    <w:p>
      <w:pPr>
        <w:jc w:val="center"/>
      </w:pPr>
      <w:r>
        <w:rPr>
          <w:rFonts w:ascii="Calibri" w:hAnsi="Calibri"/>
          <w:color w:val="000000"/>
          <w:sz w:val="24"/>
        </w:rPr>
        <w:t>Alumno: Interfaces PI</w:t>
      </w:r>
    </w:p>
    <w:p/>
    <w:p>
      <w:pPr>
        <w:jc w:val="center"/>
      </w:pPr>
      <w:r>
        <w:rPr>
          <w:rFonts w:ascii="Calibri" w:hAnsi="Calibri"/>
          <w:color w:val="2E7D32"/>
          <w:sz w:val="24"/>
        </w:rPr>
        <w:t>Curso 2025–2026</w:t>
      </w:r>
    </w:p>
    <w:p>
      <w:r>
        <w:br w:type="page"/>
      </w:r>
    </w:p>
    <w:p>
      <w:pPr>
        <w:spacing w:before="360" w:after="120"/>
        <w:pBdr>
          <w:bottom w:val="single" w:sz="6" w:space="1" w:color="388E3C"/>
        </w:pBdr>
      </w:pPr>
      <w:r>
        <w:rPr>
          <w:rFonts w:ascii="Calibri" w:hAnsi="Calibri"/>
          <w:b/>
          <w:color w:val="2E7D32"/>
          <w:sz w:val="28"/>
        </w:rPr>
        <w:t>Índice</w:t>
      </w:r>
    </w:p>
    <w:p>
      <w:pPr>
        <w:tabs>
          <w:tab w:pos="8504" w:val="right" w:leader="dot"/>
        </w:tabs>
        <w:spacing w:after="120"/>
      </w:pPr>
      <w:r>
        <w:rPr>
          <w:rFonts w:ascii="Calibri" w:hAnsi="Calibri"/>
          <w:color w:val="2E7D32"/>
          <w:sz w:val="22"/>
        </w:rPr>
        <w:t>1. Introducción</w:t>
      </w:r>
      <w:r>
        <w:rPr>
          <w:rFonts w:ascii="Calibri" w:hAnsi="Calibri"/>
          <w:color w:val="000000"/>
          <w:sz w:val="22"/>
        </w:rPr>
        <w:tab/>
        <w:t>3</w:t>
      </w:r>
    </w:p>
    <w:p>
      <w:pPr>
        <w:tabs>
          <w:tab w:pos="8504" w:val="right" w:leader="dot"/>
        </w:tabs>
        <w:spacing w:after="120"/>
      </w:pPr>
      <w:r>
        <w:rPr>
          <w:rFonts w:ascii="Calibri" w:hAnsi="Calibri"/>
          <w:color w:val="2E7D32"/>
          <w:sz w:val="22"/>
        </w:rPr>
        <w:t>2. Arquitectura del Sistema</w:t>
      </w:r>
      <w:r>
        <w:rPr>
          <w:rFonts w:ascii="Calibri" w:hAnsi="Calibri"/>
          <w:color w:val="000000"/>
          <w:sz w:val="22"/>
        </w:rPr>
        <w:tab/>
        <w:t>4</w:t>
      </w:r>
    </w:p>
    <w:p>
      <w:pPr>
        <w:tabs>
          <w:tab w:pos="8504" w:val="right" w:leader="dot"/>
        </w:tabs>
        <w:spacing w:after="120"/>
      </w:pPr>
      <w:r>
        <w:rPr>
          <w:rFonts w:ascii="Calibri" w:hAnsi="Calibri"/>
          <w:color w:val="2E7D32"/>
          <w:sz w:val="22"/>
        </w:rPr>
        <w:t>3. Cámara y Procesamiento de Vídeo</w:t>
      </w:r>
      <w:r>
        <w:rPr>
          <w:rFonts w:ascii="Calibri" w:hAnsi="Calibri"/>
          <w:color w:val="000000"/>
          <w:sz w:val="22"/>
        </w:rPr>
        <w:tab/>
        <w:t>5</w:t>
      </w:r>
    </w:p>
    <w:p>
      <w:pPr>
        <w:tabs>
          <w:tab w:pos="8504" w:val="right" w:leader="dot"/>
        </w:tabs>
        <w:spacing w:after="120"/>
      </w:pPr>
      <w:r>
        <w:rPr>
          <w:rFonts w:ascii="Calibri" w:hAnsi="Calibri"/>
          <w:color w:val="2E7D32"/>
          <w:sz w:val="22"/>
        </w:rPr>
        <w:t>4. Eliminación de Fondo</w:t>
      </w:r>
      <w:r>
        <w:rPr>
          <w:rFonts w:ascii="Calibri" w:hAnsi="Calibri"/>
          <w:color w:val="000000"/>
          <w:sz w:val="22"/>
        </w:rPr>
        <w:tab/>
        <w:t>6</w:t>
      </w:r>
    </w:p>
    <w:p>
      <w:pPr>
        <w:tabs>
          <w:tab w:pos="8504" w:val="right" w:leader="dot"/>
        </w:tabs>
        <w:spacing w:after="120"/>
      </w:pPr>
      <w:r>
        <w:rPr>
          <w:rFonts w:ascii="Calibri" w:hAnsi="Calibri"/>
          <w:color w:val="2E7D32"/>
          <w:sz w:val="22"/>
        </w:rPr>
        <w:t>5. Tabla y Umbral de Confianza</w:t>
      </w:r>
      <w:r>
        <w:rPr>
          <w:rFonts w:ascii="Calibri" w:hAnsi="Calibri"/>
          <w:color w:val="000000"/>
          <w:sz w:val="22"/>
        </w:rPr>
        <w:tab/>
        <w:t>7</w:t>
      </w:r>
    </w:p>
    <w:p>
      <w:pPr>
        <w:tabs>
          <w:tab w:pos="8504" w:val="right" w:leader="dot"/>
        </w:tabs>
        <w:spacing w:after="120"/>
      </w:pPr>
      <w:r>
        <w:rPr>
          <w:rFonts w:ascii="Calibri" w:hAnsi="Calibri"/>
          <w:color w:val="2E7D32"/>
          <w:sz w:val="22"/>
        </w:rPr>
        <w:t>6. CLIP ViT-B/32 y Coincidencia Híbrida</w:t>
      </w:r>
      <w:r>
        <w:rPr>
          <w:rFonts w:ascii="Calibri" w:hAnsi="Calibri"/>
          <w:color w:val="000000"/>
          <w:sz w:val="22"/>
        </w:rPr>
        <w:tab/>
        <w:t>8</w:t>
      </w:r>
    </w:p>
    <w:p>
      <w:pPr>
        <w:tabs>
          <w:tab w:pos="8504" w:val="right" w:leader="dot"/>
        </w:tabs>
        <w:spacing w:after="120"/>
      </w:pPr>
      <w:r>
        <w:rPr>
          <w:rFonts w:ascii="Calibri" w:hAnsi="Calibri"/>
          <w:color w:val="2E7D32"/>
          <w:sz w:val="22"/>
        </w:rPr>
        <w:t>7. Integración con API REST</w:t>
      </w:r>
      <w:r>
        <w:rPr>
          <w:rFonts w:ascii="Calibri" w:hAnsi="Calibri"/>
          <w:color w:val="000000"/>
          <w:sz w:val="22"/>
        </w:rPr>
        <w:tab/>
        <w:t>9</w:t>
      </w:r>
    </w:p>
    <w:p>
      <w:pPr>
        <w:tabs>
          <w:tab w:pos="8504" w:val="right" w:leader="dot"/>
        </w:tabs>
        <w:spacing w:after="120"/>
      </w:pPr>
      <w:r>
        <w:rPr>
          <w:rFonts w:ascii="Calibri" w:hAnsi="Calibri"/>
          <w:color w:val="2E7D32"/>
          <w:sz w:val="22"/>
        </w:rPr>
        <w:t>8. Despliegue en AWS EC2</w:t>
      </w:r>
      <w:r>
        <w:rPr>
          <w:rFonts w:ascii="Calibri" w:hAnsi="Calibri"/>
          <w:color w:val="000000"/>
          <w:sz w:val="22"/>
        </w:rPr>
        <w:tab/>
        <w:t>10</w:t>
      </w:r>
    </w:p>
    <w:p>
      <w:pPr>
        <w:tabs>
          <w:tab w:pos="8504" w:val="right" w:leader="dot"/>
        </w:tabs>
        <w:spacing w:after="120"/>
      </w:pPr>
      <w:r>
        <w:rPr>
          <w:rFonts w:ascii="Calibri" w:hAnsi="Calibri"/>
          <w:color w:val="2E7D32"/>
          <w:sz w:val="22"/>
        </w:rPr>
        <w:t>9. Problemas y Soluciones</w:t>
      </w:r>
      <w:r>
        <w:rPr>
          <w:rFonts w:ascii="Calibri" w:hAnsi="Calibri"/>
          <w:color w:val="000000"/>
          <w:sz w:val="22"/>
        </w:rPr>
        <w:tab/>
        <w:t>11</w:t>
      </w:r>
    </w:p>
    <w:p>
      <w:pPr>
        <w:tabs>
          <w:tab w:pos="8504" w:val="right" w:leader="dot"/>
        </w:tabs>
        <w:spacing w:after="120"/>
      </w:pPr>
      <w:r>
        <w:rPr>
          <w:rFonts w:ascii="Calibri" w:hAnsi="Calibri"/>
          <w:color w:val="2E7D32"/>
          <w:sz w:val="22"/>
        </w:rPr>
        <w:t>10. Conclusiones</w:t>
      </w:r>
      <w:r>
        <w:rPr>
          <w:rFonts w:ascii="Calibri" w:hAnsi="Calibri"/>
          <w:color w:val="000000"/>
          <w:sz w:val="22"/>
        </w:rPr>
        <w:tab/>
        <w:t>12</w:t>
      </w:r>
    </w:p>
    <w:p>
      <w:pPr>
        <w:tabs>
          <w:tab w:pos="8504" w:val="right" w:leader="dot"/>
        </w:tabs>
        <w:spacing w:after="120"/>
      </w:pPr>
      <w:r>
        <w:rPr>
          <w:rFonts w:ascii="Calibri" w:hAnsi="Calibri"/>
          <w:color w:val="2E7D32"/>
          <w:sz w:val="22"/>
        </w:rPr>
        <w:t>11. Bibliografía</w:t>
      </w:r>
      <w:r>
        <w:rPr>
          <w:rFonts w:ascii="Calibri" w:hAnsi="Calibri"/>
          <w:color w:val="000000"/>
          <w:sz w:val="22"/>
        </w:rPr>
        <w:tab/>
        <w:t>13</w:t>
      </w:r>
    </w:p>
    <w:p>
      <w:r>
        <w:br w:type="page"/>
      </w:r>
    </w:p>
    <w:p>
      <w:pPr>
        <w:spacing w:before="360" w:after="120"/>
        <w:pBdr>
          <w:bottom w:val="single" w:sz="6" w:space="1" w:color="388E3C"/>
        </w:pBdr>
      </w:pPr>
      <w:r>
        <w:rPr>
          <w:rFonts w:ascii="Calibri" w:hAnsi="Calibri"/>
          <w:b/>
          <w:color w:val="2E7D32"/>
          <w:sz w:val="28"/>
        </w:rPr>
        <w:t>1. Introducción</w:t>
      </w:r>
    </w:p>
    <w:p>
      <w:pPr>
        <w:spacing w:after="120" w:line="260" w:lineRule="exact"/>
        <w:jc w:val="both"/>
      </w:pPr>
      <w:r>
        <w:rPr>
          <w:rFonts w:ascii="Calibri" w:hAnsi="Calibri"/>
          <w:color w:val="000000"/>
          <w:sz w:val="22"/>
        </w:rPr>
        <w:t>El presente documento describe el desarrollo de un sistema de reciclaje inteligente realizado en el marco de la asignatura Interfaces de Usuario de la Universidad de Alicante. El proyecto aborda la problemática social de la clasificación de residuos mediante una aplicación de escritorio con interfaz gráfica basada en JavaFX, integrada con un modelo de inteligencia artificial CLIP (Contrastive Language–Image Pre-training) para la identificación automática de productos a través de la cámara del dispositivo.</w:t>
      </w:r>
    </w:p>
    <w:p>
      <w:pPr>
        <w:spacing w:after="120" w:line="260" w:lineRule="exact"/>
        <w:jc w:val="both"/>
      </w:pPr>
      <w:r>
        <w:rPr>
          <w:rFonts w:ascii="Calibri" w:hAnsi="Calibri"/>
          <w:color w:val="000000"/>
          <w:sz w:val="22"/>
        </w:rPr>
        <w:t>Uno de los principales problemas que enfrentan los ciudadanos en su día a día es la incertidumbre sobre cómo clasificar correctamente los residuos. La incorrecta separación de materiales reciclables, orgánicos y no reciclables genera un impacto negativo en el medio ambiente y reduce la eficiencia de las plantas de tratamiento. Para dar respuesta a esta necesidad, se ha diseñado un sistema automatizado que permite al usuario capturar una imagen del producto, procesarla mediante técnicas de visión por computador y obtener una clasificación precisa del tipo de residuo y su contenedor correspondiente.</w:t>
      </w:r>
    </w:p>
    <w:p>
      <w:pPr>
        <w:spacing w:after="120" w:line="260" w:lineRule="exact"/>
        <w:jc w:val="both"/>
      </w:pPr>
      <w:r>
        <w:rPr>
          <w:rFonts w:ascii="Calibri" w:hAnsi="Calibri"/>
          <w:color w:val="000000"/>
          <w:sz w:val="22"/>
        </w:rPr>
        <w:t>La solución consta de una aplicación JavaFX que gestiona la interacción con el usuario, el acceso a la cámara y la comunicación con servicios remotos. Un backend Spring Boot desplegado en AWS EC2 actúa como intermediario entre la aplicación cliente y un servicio especializado que ejecuta el modelo CLIP ViT-B/32 en un contenedor Docker. Esta arquitectura de tres capas garantiza la separación de responsabilidades y permite escalar cada componente de forma independiente.</w:t>
      </w:r>
    </w:p>
    <w:p>
      <w:r>
        <w:br w:type="page"/>
      </w:r>
    </w:p>
    <w:p>
      <w:pPr>
        <w:spacing w:before="360" w:after="120"/>
        <w:pBdr>
          <w:bottom w:val="single" w:sz="6" w:space="1" w:color="388E3C"/>
        </w:pBdr>
      </w:pPr>
      <w:r>
        <w:rPr>
          <w:rFonts w:ascii="Calibri" w:hAnsi="Calibri"/>
          <w:b/>
          <w:color w:val="2E7D32"/>
          <w:sz w:val="28"/>
        </w:rPr>
        <w:t>2. Arquitectura del Sistema</w:t>
      </w:r>
    </w:p>
    <w:p>
      <w:pPr>
        <w:spacing w:after="120" w:line="260" w:lineRule="exact"/>
        <w:jc w:val="both"/>
      </w:pPr>
      <w:r>
        <w:rPr>
          <w:rFonts w:ascii="Calibri" w:hAnsi="Calibri"/>
          <w:color w:val="000000"/>
          <w:sz w:val="22"/>
        </w:rPr>
        <w:t>La aplicación sigue una arquitectura de tres capas bien diferenciadas: cliente JavaFX, servidor API REST Spring Boot y servicio de inferencia CLIP. El cliente JavaFX implementa el patrón Modelo-Vista-Controlador (MVC) para mantener una separación limpia entre la lógica de negocio, la interfaz de usuario y los datos. Las vistas se definen mediante archivos FXML, los controladores gestionan los eventos de usuario y los modelos representan las entidades del dominio.</w:t>
      </w:r>
    </w:p>
    <w:p>
      <w:pPr>
        <w:spacing w:after="120" w:line="260" w:lineRule="exact"/>
        <w:jc w:val="both"/>
      </w:pPr>
      <w:r>
        <w:rPr>
          <w:rFonts w:ascii="Calibri" w:hAnsi="Calibri"/>
          <w:color w:val="000000"/>
          <w:sz w:val="22"/>
        </w:rPr>
        <w:t>El servidor API REST, implementado con Spring Boot y desplegado en una instancia AWS EC2, expone los endpoints necesarios para la autenticación de usuarios, la consulta de productos y el registro de reciclajes. La comunicación entre el cliente y el servidor se realiza mediante peticiones HTTP con autenticación basada en tokens JWT (JSON Web Token). El flujo de autenticación comienza con el login del usuario mediante credenciales o identificación por TAP, tras lo cual el servidor devuelve un token JWT que debe incluirse en el encabezado Authorization de las peticiones posteriores.</w:t>
      </w:r>
    </w:p>
    <w:p>
      <w:pPr>
        <w:spacing w:after="120" w:line="260" w:lineRule="exact"/>
        <w:jc w:val="both"/>
      </w:pPr>
      <w:r>
        <w:rPr>
          <w:rFonts w:ascii="Calibri" w:hAnsi="Calibri"/>
          <w:color w:val="000000"/>
          <w:sz w:val="22"/>
        </w:rPr>
        <w:t>El servicio de inferencia CLIP se ejecuta en un contenedor Docker sobre otra instancia EC2, exponiendo su API en el puerto 8080. Cuando el cliente captura una imagen, esta se envía al servidor Spring Boot (puerto 3000), que a su vez la reenvía al servicio CLIP para su procesamiento. El modelo CLIP ViT-B/32 genera embeddings tanto de la imagen como de las descripciones textuales de los productos, calculando la similitud coseno para determinar la coincidencia más probable.</w:t>
      </w:r>
    </w:p>
    <w:p>
      <w:pPr>
        <w:spacing w:after="120" w:line="260" w:lineRule="exact"/>
        <w:jc w:val="both"/>
      </w:pPr>
      <w:r>
        <w:rPr>
          <w:rFonts w:ascii="Calibri" w:hAnsi="Calibri"/>
          <w:color w:val="000000"/>
          <w:sz w:val="22"/>
        </w:rPr>
        <w:t>El diagrama de despliegue mostraría tres nodos principales: el ordenador del usuario ejecutando la aplicación JavaFX, la instancia EC2 t3.small que aloja el servidor Spring Boot, y una segunda instancia EC2 con Docker ejecutando el contenedor CLIP. Las flechas indicarían las conexiones HTTP entre los componentes: el cliente JavaFX se comunica con Spring Boot en el puerto 3000, y este a su vez con el servicio CLIP en el puerto 8080. Los tokens JWT fluyen desde el servidor al cliente tras la autenticación y se reenvían en cada petición posterior.</w:t>
      </w:r>
    </w:p>
    <w:p>
      <w:r>
        <w:br w:type="page"/>
      </w:r>
    </w:p>
    <w:p>
      <w:pPr>
        <w:spacing w:before="360" w:after="120"/>
        <w:pBdr>
          <w:bottom w:val="single" w:sz="6" w:space="1" w:color="388E3C"/>
        </w:pBdr>
      </w:pPr>
      <w:r>
        <w:rPr>
          <w:rFonts w:ascii="Calibri" w:hAnsi="Calibri"/>
          <w:b/>
          <w:color w:val="2E7D32"/>
          <w:sz w:val="28"/>
        </w:rPr>
        <w:t>3. Cámara y Procesamiento de Vídeo</w:t>
      </w:r>
    </w:p>
    <w:p>
      <w:pPr>
        <w:spacing w:after="120" w:line="260" w:lineRule="exact"/>
        <w:jc w:val="both"/>
      </w:pPr>
      <w:r>
        <w:rPr>
          <w:rFonts w:ascii="Calibri" w:hAnsi="Calibri"/>
          <w:color w:val="000000"/>
          <w:sz w:val="22"/>
        </w:rPr>
        <w:t>El módulo de captura de vídeo utiliza la biblioteca OpenCV a través de su envoltura JavaCV, empleando específicamente la clase FrameGrabber para acceder a la cámara web del dispositivo. La resolución de captura se establece en 640×480 píxeles, aplicándose posteriormente un recorte cuadrado centrado de 480×480 píxeles para eliminar las zonas periféricas de la imagen y centrar la atención en el producto.</w:t>
      </w:r>
    </w:p>
    <w:p>
      <w:pPr>
        <w:spacing w:after="120" w:line="260" w:lineRule="exact"/>
        <w:jc w:val="both"/>
      </w:pPr>
      <w:r>
        <w:rPr>
          <w:rFonts w:ascii="Calibri" w:hAnsi="Calibri"/>
          <w:color w:val="000000"/>
          <w:sz w:val="22"/>
        </w:rPr>
        <w:t>Uno de los desafíos principales fue evitar el bloqueo de la interfaz de usuario durante la inicialización de la cámara, ya que el proceso de apertura del dispositivo puede ser lento y variable. Para resolverlo, se implementó un sistema de arranque asíncrono que realiza la inicialización en un hilo secundario mientras muestra una barra de progreso (ProgressBar) en la interfaz. De esta forma, el usuario recibe retroalimentación visual del estado de carga sin que la aplicación se congele.</w:t>
      </w:r>
    </w:p>
    <w:p>
      <w:pPr>
        <w:spacing w:after="120" w:line="260" w:lineRule="exact"/>
        <w:jc w:val="both"/>
      </w:pPr>
      <w:r>
        <w:rPr>
          <w:rFonts w:ascii="Calibri" w:hAnsi="Calibri"/>
          <w:color w:val="000000"/>
          <w:sz w:val="22"/>
        </w:rPr>
        <w:t>Adicionalmente, se incorporó un mecanismo de guardia mediante AtomicBoolean para prevenir la doble inicialización de la cámara en caso de que el usuario hiciera clic múltiples veces en el botón de activación. Esta variable atómica garantiza que solo un hilo pueda iniciar la cámara, evitando condiciones de carrera y posibles errores de concurrencia. Una vez que la cámara está operativa, los frames capturados se procesan en tiempo real y se muestran en un ImageView de JavaFX.</w:t>
      </w:r>
    </w:p>
    <w:p>
      <w:r>
        <w:br w:type="page"/>
      </w:r>
    </w:p>
    <w:p>
      <w:pPr>
        <w:spacing w:before="360" w:after="120"/>
        <w:pBdr>
          <w:bottom w:val="single" w:sz="6" w:space="1" w:color="388E3C"/>
        </w:pBdr>
      </w:pPr>
      <w:r>
        <w:rPr>
          <w:rFonts w:ascii="Calibri" w:hAnsi="Calibri"/>
          <w:b/>
          <w:color w:val="2E7D32"/>
          <w:sz w:val="28"/>
        </w:rPr>
        <w:t>4. Eliminación de Fondo</w:t>
      </w:r>
    </w:p>
    <w:p>
      <w:pPr>
        <w:spacing w:after="120" w:line="260" w:lineRule="exact"/>
        <w:jc w:val="both"/>
      </w:pPr>
      <w:r>
        <w:rPr>
          <w:rFonts w:ascii="Calibri" w:hAnsi="Calibri"/>
          <w:color w:val="000000"/>
          <w:sz w:val="22"/>
        </w:rPr>
        <w:t>La eliminación del fondo de las imágenes capturadas constituyó uno de los retos técnicos más significativos del proyecto. En una primera aproximación, se implementó el algoritmo GrabCut de OpenCV, que ofrece buenos resultados de segmentación. Sin embargo, al ejecutarse sobre la máquina virtual de Java (JVM) en Windows, se producían fallos críticos del tipo EXCEPTION_ACCESS_VIOLATION, provocando el cierre inesperado de la aplicación. Estos errores se deben a que GrabCut es una implementación nativa que interactúa directamente con la memoria, y su comportamiento no siempre es compatible con la JVM en todas las plataformas.</w:t>
      </w:r>
    </w:p>
    <w:p>
      <w:pPr>
        <w:spacing w:after="120" w:line="260" w:lineRule="exact"/>
        <w:jc w:val="both"/>
      </w:pPr>
      <w:r>
        <w:rPr>
          <w:rFonts w:ascii="Calibri" w:hAnsi="Calibri"/>
          <w:color w:val="000000"/>
          <w:sz w:val="22"/>
        </w:rPr>
        <w:t>Como solución alternativa, se desarrolló un algoritmo de relleno por inundación (flood fill) sensible a bordes implementado íntegramente en Java puro, eliminando cualquier dependencia de código nativo. El algoritmo sigue los siguientes pasos: en primer lugar, se convierte la imagen a escala de grises; a continuación, se aplica un operador de gradiente similar a Sobel para detectar los bordes; posteriormente, se ejecuta un flood fill desde las cuatro esquinas de la imagen con un umbral configurable; finalmente, se aplica un filtro de mediana de 3×3 para suavizar los bordes y se pinta el fondo de blanco.</w:t>
      </w:r>
    </w:p>
    <w:p>
      <w:pPr>
        <w:spacing w:after="120" w:line="260" w:lineRule="exact"/>
        <w:jc w:val="both"/>
      </w:pPr>
      <w:r>
        <w:rPr>
          <w:rFonts w:ascii="Calibri" w:hAnsi="Calibri"/>
          <w:color w:val="000000"/>
          <w:sz w:val="22"/>
        </w:rPr>
        <w:t>Para ofrecer flexibilidad al usuario, se incluyó un control deslizante (sensitivity slider) con valores entre 5 y 100, siendo 30 el valor predeterminado. Este control ajusta el umbral del flood fill, permitiendo al usuario encontrar el equilibrio óptimo entre eliminación de fondo y conservación de detalles del producto. La vista previa se actualiza en tiempo real, lo que facilita el ajuste interactivo.</w:t>
      </w:r>
    </w:p>
    <w:p>
      <w:pPr>
        <w:spacing w:after="120" w:line="260" w:lineRule="exact"/>
        <w:jc w:val="both"/>
      </w:pPr>
      <w:r>
        <w:rPr>
          <w:rFonts w:ascii="Calibri" w:hAnsi="Calibri"/>
          <w:color w:val="000000"/>
          <w:sz w:val="22"/>
        </w:rPr>
        <w:t>La siguiente tabla compara ambos enfoques:</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2E7D32"/>
                <w:sz w:val="20"/>
              </w:rPr>
              <w:t>Característica</w:t>
            </w:r>
          </w:p>
        </w:tc>
        <w:tc>
          <w:tcPr>
            <w:tcW w:type="dxa" w:w="3135"/>
          </w:tcPr>
          <w:p>
            <w:r/>
            <w:r>
              <w:rPr>
                <w:rFonts w:ascii="Calibri" w:hAnsi="Calibri"/>
                <w:b/>
                <w:color w:val="2E7D32"/>
                <w:sz w:val="20"/>
              </w:rPr>
              <w:t>GrabCut (OpenCV)</w:t>
            </w:r>
          </w:p>
        </w:tc>
        <w:tc>
          <w:tcPr>
            <w:tcW w:type="dxa" w:w="3135"/>
          </w:tcPr>
          <w:p>
            <w:r/>
            <w:r>
              <w:rPr>
                <w:rFonts w:ascii="Calibri" w:hAnsi="Calibri"/>
                <w:b/>
                <w:color w:val="2E7D32"/>
                <w:sz w:val="20"/>
              </w:rPr>
              <w:t>Flood Fill (Java puro)</w:t>
            </w:r>
          </w:p>
        </w:tc>
      </w:tr>
      <w:tr>
        <w:tc>
          <w:tcPr>
            <w:tcW w:type="dxa" w:w="3135"/>
          </w:tcPr>
          <w:p>
            <w:r/>
            <w:r>
              <w:rPr>
                <w:rFonts w:ascii="Calibri" w:hAnsi="Calibri"/>
                <w:color w:val="000000"/>
                <w:sz w:val="20"/>
              </w:rPr>
              <w:t>Rendimiento</w:t>
            </w:r>
          </w:p>
        </w:tc>
        <w:tc>
          <w:tcPr>
            <w:tcW w:type="dxa" w:w="3135"/>
          </w:tcPr>
          <w:p>
            <w:r/>
            <w:r>
              <w:rPr>
                <w:rFonts w:ascii="Calibri" w:hAnsi="Calibri"/>
                <w:color w:val="000000"/>
                <w:sz w:val="20"/>
              </w:rPr>
              <w:t>Rápido (implementación nativa)</w:t>
            </w:r>
          </w:p>
        </w:tc>
        <w:tc>
          <w:tcPr>
            <w:tcW w:type="dxa" w:w="3135"/>
          </w:tcPr>
          <w:p>
            <w:r/>
            <w:r>
              <w:rPr>
                <w:rFonts w:ascii="Calibri" w:hAnsi="Calibri"/>
                <w:color w:val="000000"/>
                <w:sz w:val="20"/>
              </w:rPr>
              <w:t>Más lento (Java puro)</w:t>
            </w:r>
          </w:p>
        </w:tc>
      </w:tr>
      <w:tr>
        <w:tc>
          <w:tcPr>
            <w:tcW w:type="dxa" w:w="3135"/>
          </w:tcPr>
          <w:p>
            <w:r/>
            <w:r>
              <w:rPr>
                <w:rFonts w:ascii="Calibri" w:hAnsi="Calibri"/>
                <w:color w:val="000000"/>
                <w:sz w:val="20"/>
              </w:rPr>
              <w:t>Estabilidad</w:t>
            </w:r>
          </w:p>
        </w:tc>
        <w:tc>
          <w:tcPr>
            <w:tcW w:type="dxa" w:w="3135"/>
          </w:tcPr>
          <w:p>
            <w:r/>
            <w:r>
              <w:rPr>
                <w:rFonts w:ascii="Calibri" w:hAnsi="Calibri"/>
                <w:color w:val="000000"/>
                <w:sz w:val="20"/>
              </w:rPr>
              <w:t>Inestable (crashes en Windows)</w:t>
            </w:r>
          </w:p>
        </w:tc>
        <w:tc>
          <w:tcPr>
            <w:tcW w:type="dxa" w:w="3135"/>
          </w:tcPr>
          <w:p>
            <w:r/>
            <w:r>
              <w:rPr>
                <w:rFonts w:ascii="Calibri" w:hAnsi="Calibri"/>
                <w:color w:val="000000"/>
                <w:sz w:val="20"/>
              </w:rPr>
              <w:t>Estable (sin código nativo)</w:t>
            </w:r>
          </w:p>
        </w:tc>
      </w:tr>
      <w:tr>
        <w:tc>
          <w:tcPr>
            <w:tcW w:type="dxa" w:w="3135"/>
          </w:tcPr>
          <w:p>
            <w:r/>
            <w:r>
              <w:rPr>
                <w:rFonts w:ascii="Calibri" w:hAnsi="Calibri"/>
                <w:color w:val="000000"/>
                <w:sz w:val="20"/>
              </w:rPr>
              <w:t>Dependencias</w:t>
            </w:r>
          </w:p>
        </w:tc>
        <w:tc>
          <w:tcPr>
            <w:tcW w:type="dxa" w:w="3135"/>
          </w:tcPr>
          <w:p>
            <w:r/>
            <w:r>
              <w:rPr>
                <w:rFonts w:ascii="Calibri" w:hAnsi="Calibri"/>
                <w:color w:val="000000"/>
                <w:sz w:val="20"/>
              </w:rPr>
              <w:t>OpenCV nativo</w:t>
            </w:r>
          </w:p>
        </w:tc>
        <w:tc>
          <w:tcPr>
            <w:tcW w:type="dxa" w:w="3135"/>
          </w:tcPr>
          <w:p>
            <w:r/>
            <w:r>
              <w:rPr>
                <w:rFonts w:ascii="Calibri" w:hAnsi="Calibri"/>
                <w:color w:val="000000"/>
                <w:sz w:val="20"/>
              </w:rPr>
              <w:t>Ninguna</w:t>
            </w:r>
          </w:p>
        </w:tc>
      </w:tr>
    </w:tbl>
    <w:p>
      <w:r>
        <w:br w:type="page"/>
      </w:r>
    </w:p>
    <w:p>
      <w:pPr>
        <w:spacing w:before="360" w:after="120"/>
        <w:pBdr>
          <w:bottom w:val="single" w:sz="6" w:space="1" w:color="388E3C"/>
        </w:pBdr>
      </w:pPr>
      <w:r>
        <w:rPr>
          <w:rFonts w:ascii="Calibri" w:hAnsi="Calibri"/>
          <w:b/>
          <w:color w:val="2E7D32"/>
          <w:sz w:val="28"/>
        </w:rPr>
        <w:t>5. Tabla y Umbral de Confianza</w:t>
      </w:r>
    </w:p>
    <w:p>
      <w:pPr>
        <w:spacing w:after="120" w:line="260" w:lineRule="exact"/>
        <w:jc w:val="both"/>
      </w:pPr>
      <w:r>
        <w:rPr>
          <w:rFonts w:ascii="Calibri" w:hAnsi="Calibri"/>
          <w:color w:val="000000"/>
          <w:sz w:val="22"/>
        </w:rPr>
        <w:t>Los resultados de la clasificación de productos se presentan al usuario mediante un TableView de JavaFX. Cada fila de la tabla muestra el nombre del producto, la puntuación de similitud (score) obtenida del modelo CLIP y el tipo de residuo asociado, ordenados de mayor a menor puntuación.</w:t>
      </w:r>
    </w:p>
    <w:p>
      <w:pPr>
        <w:spacing w:after="120" w:line="260" w:lineRule="exact"/>
        <w:jc w:val="both"/>
      </w:pPr>
      <w:r>
        <w:rPr>
          <w:rFonts w:ascii="Calibri" w:hAnsi="Calibri"/>
          <w:color w:val="000000"/>
          <w:sz w:val="22"/>
        </w:rPr>
        <w:t>Se estableció un umbral de confianza del 47 %: aquellos productos cuya puntuación se sitúe por debajo de este valor se muestran en color rojo y no pueden ser seleccionados por el usuario. Esta medida evita que el sistema sugiera productos con baja confianza, reduciendo la probabilidad de clasificaciones erróneas. La implementación utiliza cell factories personalizadas que aplican estilos condicionales en función del valor numérico del score.</w:t>
      </w:r>
    </w:p>
    <w:p>
      <w:pPr>
        <w:spacing w:after="120" w:line="260" w:lineRule="exact"/>
        <w:jc w:val="both"/>
      </w:pPr>
      <w:r>
        <w:rPr>
          <w:rFonts w:ascii="Calibri" w:hAnsi="Calibri"/>
          <w:color w:val="000000"/>
          <w:sz w:val="22"/>
        </w:rPr>
        <w:t>Además, se incorporó un campo de búsqueda que permite filtrar los productos por nombre, facilitando la localización de un artículo concreto cuando el catálogo es extenso. La tabla se actualiza dinámicamente a medida que el usuario escribe en el campo de texto, aplicando el filtro sobre la lista completa de resultados.</w:t>
      </w:r>
    </w:p>
    <w:p>
      <w:r>
        <w:br w:type="page"/>
      </w:r>
    </w:p>
    <w:p>
      <w:pPr>
        <w:spacing w:before="360" w:after="120"/>
        <w:pBdr>
          <w:bottom w:val="single" w:sz="6" w:space="1" w:color="388E3C"/>
        </w:pBdr>
      </w:pPr>
      <w:r>
        <w:rPr>
          <w:rFonts w:ascii="Calibri" w:hAnsi="Calibri"/>
          <w:b/>
          <w:color w:val="2E7D32"/>
          <w:sz w:val="28"/>
        </w:rPr>
        <w:t>6. CLIP ViT-B/32 y Coincidencia Híbrida</w:t>
      </w:r>
    </w:p>
    <w:p>
      <w:pPr>
        <w:spacing w:after="120" w:line="260" w:lineRule="exact"/>
        <w:jc w:val="both"/>
      </w:pPr>
      <w:r>
        <w:rPr>
          <w:rFonts w:ascii="Calibri" w:hAnsi="Calibri"/>
          <w:color w:val="000000"/>
          <w:sz w:val="22"/>
        </w:rPr>
        <w:t>El núcleo del sistema de identificación se basa en el modelo CLIP (Contrastive Language–Image Pre-training) desarrollado por OpenAI, en su variante ViT-B/32. Este modelo emplea una arquitectura Vision Transformer (ViT) con parches de 32×32 píxeles para procesar imágenes y un transformer para procesar texto, proyectando ambos dominios en un espacio de embeddings común de 512 dimensiones.</w:t>
      </w:r>
    </w:p>
    <w:p>
      <w:pPr>
        <w:spacing w:after="120" w:line="260" w:lineRule="exact"/>
        <w:jc w:val="both"/>
      </w:pPr>
      <w:r>
        <w:rPr>
          <w:rFonts w:ascii="Calibri" w:hAnsi="Calibri"/>
          <w:color w:val="000000"/>
          <w:sz w:val="22"/>
        </w:rPr>
        <w:t>La estrategia de coincidencia implementada es híbrida: se combinan los embeddings de la imagen capturada con los embeddings de las descripciones textuales de los productos, aplicando un peso de mezcla (BLEND_WEIGHT) de 0.5. Esto significa que la puntuación final es el promedio ponderado entre la similitud coseno imagen-imagen y la similitud coseno texto-imagen. Este enfoque híbrido mejora la robustez del sistema, ya que no depende exclusivamente de la calidad visual de la captura.</w:t>
      </w:r>
    </w:p>
    <w:p>
      <w:pPr>
        <w:spacing w:after="120" w:line="260" w:lineRule="exact"/>
        <w:jc w:val="both"/>
      </w:pPr>
      <w:r>
        <w:rPr>
          <w:rFonts w:ascii="Calibri" w:hAnsi="Calibri"/>
          <w:color w:val="000000"/>
          <w:sz w:val="22"/>
        </w:rPr>
        <w:t>Los embeddings de los ocho productos disponibles en el catálogo se precalculan y almacenan, lo que acelera el proceso de inferencia. La ejecución del modelo sobre una instancia t3.small de AWS EC2 tiene un tiempo medio de inferencia de aproximadamente 500 milisegundos y un consumo de memoria RAM cercano a 1.2 GB. La respuesta de depuración incluye las puntuaciones individuales de cada producto, lo que facilita el diagnóstico y la puesta a punto del sistema.</w:t>
      </w:r>
    </w:p>
    <w:p>
      <w:r>
        <w:br w:type="page"/>
      </w:r>
    </w:p>
    <w:p>
      <w:pPr>
        <w:spacing w:before="360" w:after="120"/>
        <w:pBdr>
          <w:bottom w:val="single" w:sz="6" w:space="1" w:color="388E3C"/>
        </w:pBdr>
      </w:pPr>
      <w:r>
        <w:rPr>
          <w:rFonts w:ascii="Calibri" w:hAnsi="Calibri"/>
          <w:b/>
          <w:color w:val="2E7D32"/>
          <w:sz w:val="28"/>
        </w:rPr>
        <w:t>7. Integración con API REST</w:t>
      </w:r>
    </w:p>
    <w:p>
      <w:pPr>
        <w:spacing w:after="120" w:line="260" w:lineRule="exact"/>
        <w:jc w:val="both"/>
      </w:pPr>
      <w:r>
        <w:rPr>
          <w:rFonts w:ascii="Calibri" w:hAnsi="Calibri"/>
          <w:color w:val="000000"/>
          <w:sz w:val="22"/>
        </w:rPr>
        <w:t>La comunicación entre la aplicación JavaFX y el servidor se realiza a través de una API RESTful implementada con Spring Boot. El cliente HTTP se implementa mediante java.net.http.HttpClient, encapsulado en una clase ApiClient que sigue el patrón singleton para garantizar una única instancia compartida en toda la aplicación.</w:t>
      </w:r>
    </w:p>
    <w:p>
      <w:pPr>
        <w:spacing w:after="120" w:line="260" w:lineRule="exact"/>
        <w:jc w:val="both"/>
      </w:pPr>
      <w:r>
        <w:rPr>
          <w:rFonts w:ascii="Calibri" w:hAnsi="Calibri"/>
          <w:color w:val="000000"/>
          <w:sz w:val="22"/>
        </w:rPr>
        <w:t>Los endpoints disponibles son los siguientes: GET /api/health para la verificación del estado del servidor; POST /api/usuarios/login para la autenticación de usuarios; GET /api/productos/barcode/{code} para la consulta de productos por código de barras; GET /api/usuarios/by-tap/{tap} para la identificación de usuarios mediante TAP; y POST /api/historial para el registro de reciclajes, que requiere autenticación mediante token JWT.</w:t>
      </w:r>
    </w:p>
    <w:p>
      <w:pPr>
        <w:spacing w:after="120" w:line="260" w:lineRule="exact"/>
        <w:jc w:val="both"/>
      </w:pPr>
      <w:r>
        <w:rPr>
          <w:rFonts w:ascii="Calibri" w:hAnsi="Calibri"/>
          <w:color w:val="000000"/>
          <w:sz w:val="22"/>
        </w:rPr>
        <w:t>La autenticación se realiza mediante el esquema Bearer: el token JWT obtenido tras el login se incluye en el encabezado HTTP Authorization de las peticiones subsiguientes. Se ha configurado un tiempo de espera de 60 segundos para las peticiones de coincidencia de productos, tras el cual se muestra un mensaje de error amigable al usuario mediante alertas de JavaFX (Alert). El manejo de errores contempla tanto los errores de red como las respuestas HTTP con códigos de error, mostrando en cada caso el mensaje adecuado.</w:t>
      </w:r>
    </w:p>
    <w:p>
      <w:r>
        <w:br w:type="page"/>
      </w:r>
    </w:p>
    <w:p>
      <w:pPr>
        <w:spacing w:before="360" w:after="120"/>
        <w:pBdr>
          <w:bottom w:val="single" w:sz="6" w:space="1" w:color="388E3C"/>
        </w:pBdr>
      </w:pPr>
      <w:r>
        <w:rPr>
          <w:rFonts w:ascii="Calibri" w:hAnsi="Calibri"/>
          <w:b/>
          <w:color w:val="2E7D32"/>
          <w:sz w:val="28"/>
        </w:rPr>
        <w:t>8. Despliegue en AWS EC2</w:t>
      </w:r>
    </w:p>
    <w:p>
      <w:pPr>
        <w:spacing w:after="120" w:line="260" w:lineRule="exact"/>
        <w:jc w:val="both"/>
      </w:pPr>
      <w:r>
        <w:rPr>
          <w:rFonts w:ascii="Calibri" w:hAnsi="Calibri"/>
          <w:color w:val="000000"/>
          <w:sz w:val="22"/>
        </w:rPr>
        <w:t>El despliegue del sistema se realizó sobre instancias EC2 de AWS con sistema operativo Ubuntu. Se utilizaron dos instancias de tipo t3.small: una para el servidor Spring Boot y otra para el servicio CLIP en contenedor Docker.</w:t>
      </w:r>
    </w:p>
    <w:p>
      <w:pPr>
        <w:spacing w:after="120" w:line="260" w:lineRule="exact"/>
        <w:jc w:val="both"/>
      </w:pPr>
      <w:r>
        <w:rPr>
          <w:rFonts w:ascii="Calibri" w:hAnsi="Calibri"/>
          <w:color w:val="000000"/>
          <w:sz w:val="22"/>
        </w:rPr>
        <w:t>El servidor Spring Boot se despliega como un archivo JAR ejecutable. El proceso de despliegue comienza con la transferencia del archivo JAR mediante scp, seguido de la conexión SSH a la instancia y la ejecución con java -jar. La aplicación queda expuesta en el puerto 3000.</w:t>
      </w:r>
    </w:p>
    <w:p>
      <w:pPr>
        <w:spacing w:after="120" w:line="260" w:lineRule="exact"/>
        <w:jc w:val="both"/>
      </w:pPr>
      <w:r>
        <w:rPr>
          <w:rFonts w:ascii="Calibri" w:hAnsi="Calibri"/>
          <w:color w:val="000000"/>
          <w:sz w:val="22"/>
        </w:rPr>
        <w:t>El servicio CLIP se despliega como un contenedor Docker. Se construye una imagen Docker a partir de un Dockerfile que instala las dependencias necesarias (Python, PyTorch, CLIP) y expone el puerto 8080. El contenedor se ejecuta con docker run, mapeando el puerto 8080 del contenedor al puerto 8080 del host. Las variables de entorno se configuran para parametrizar la conexión a la base de datos y otras opciones del servidor.</w:t>
      </w:r>
    </w:p>
    <w:p>
      <w:pPr>
        <w:spacing w:after="120" w:line="260" w:lineRule="exact"/>
        <w:jc w:val="both"/>
      </w:pPr>
      <w:r>
        <w:rPr>
          <w:rFonts w:ascii="Calibri" w:hAnsi="Calibri"/>
          <w:color w:val="000000"/>
          <w:sz w:val="22"/>
        </w:rPr>
        <w:t>A continuación se muestran los comandos principales utilizados para el despliegue: scp -i clave.pem app.jar ubuntu@ip:/home/ubuntu/ para transferir el JAR; ssh -i clave.pem ubuntu@ip para conectar a la instancia; java -jar app.jar --server.port=3000 para iniciar el servidor; docker build -t clip-service . para construir la imagen CLIP; y docker run -d -p 8080:8080 clip-service para ejecutar el contenedor.</w:t>
      </w:r>
    </w:p>
    <w:p>
      <w:r>
        <w:br w:type="page"/>
      </w:r>
    </w:p>
    <w:p>
      <w:pPr>
        <w:spacing w:before="360" w:after="120"/>
        <w:pBdr>
          <w:bottom w:val="single" w:sz="6" w:space="1" w:color="388E3C"/>
        </w:pBdr>
      </w:pPr>
      <w:r>
        <w:rPr>
          <w:rFonts w:ascii="Calibri" w:hAnsi="Calibri"/>
          <w:b/>
          <w:color w:val="2E7D32"/>
          <w:sz w:val="28"/>
        </w:rPr>
        <w:t>9. Problemas y Soluciones</w:t>
      </w:r>
    </w:p>
    <w:p>
      <w:pPr>
        <w:spacing w:before="360" w:after="120"/>
        <w:pBdr>
          <w:bottom w:val="single" w:sz="6" w:space="1" w:color="388E3C"/>
        </w:pBdr>
      </w:pPr>
      <w:r>
        <w:rPr>
          <w:rFonts w:ascii="Calibri" w:hAnsi="Calibri"/>
          <w:b/>
          <w:color w:val="2E7D32"/>
          <w:sz w:val="24"/>
        </w:rPr>
        <w:t>Problema 1: Fallos de GrabCut en Windows</w:t>
      </w:r>
    </w:p>
    <w:p>
      <w:pPr>
        <w:spacing w:after="120" w:line="260" w:lineRule="exact"/>
        <w:jc w:val="both"/>
      </w:pPr>
      <w:r>
        <w:rPr>
          <w:rFonts w:ascii="Calibri" w:hAnsi="Calibri"/>
          <w:color w:val="000000"/>
          <w:sz w:val="22"/>
        </w:rPr>
        <w:t>El algoritmo GrabCut de OpenCV provocaba errores EXCEPTION_ACCESS_VIOLATION en la JVM sobre Windows, causando cierres inesperados de la aplicación. La solución fue implementar un algoritmo de flood fill sensible a bordes completamente en Java puro, eliminando las dependencias de código nativo.</w:t>
      </w:r>
    </w:p>
    <w:p>
      <w:pPr>
        <w:spacing w:before="360" w:after="120"/>
        <w:pBdr>
          <w:bottom w:val="single" w:sz="6" w:space="1" w:color="388E3C"/>
        </w:pBdr>
      </w:pPr>
      <w:r>
        <w:rPr>
          <w:rFonts w:ascii="Calibri" w:hAnsi="Calibri"/>
          <w:b/>
          <w:color w:val="2E7D32"/>
          <w:sz w:val="24"/>
        </w:rPr>
        <w:t>Problema 2: Congelación de la interfaz al iniciar la cámara</w:t>
      </w:r>
    </w:p>
    <w:p>
      <w:pPr>
        <w:spacing w:after="120" w:line="260" w:lineRule="exact"/>
        <w:jc w:val="both"/>
      </w:pPr>
      <w:r>
        <w:rPr>
          <w:rFonts w:ascii="Calibri" w:hAnsi="Calibri"/>
          <w:color w:val="000000"/>
          <w:sz w:val="22"/>
        </w:rPr>
        <w:t>La inicialización de la cámara bloqueaba el hilo principal de JavaFX, congelando la interfaz de usuario. Se resolvió realizando la inicialización en un hilo secundario y mostrando una barra de progreso (ProgressBar) para informar al usuario del estado de la operación.</w:t>
      </w:r>
    </w:p>
    <w:p>
      <w:pPr>
        <w:spacing w:before="360" w:after="120"/>
        <w:pBdr>
          <w:bottom w:val="single" w:sz="6" w:space="1" w:color="388E3C"/>
        </w:pBdr>
      </w:pPr>
      <w:r>
        <w:rPr>
          <w:rFonts w:ascii="Calibri" w:hAnsi="Calibri"/>
          <w:b/>
          <w:color w:val="2E7D32"/>
          <w:sz w:val="24"/>
        </w:rPr>
        <w:t>Problema 3: Doble inicialización de la cámara</w:t>
      </w:r>
    </w:p>
    <w:p>
      <w:pPr>
        <w:spacing w:after="120" w:line="260" w:lineRule="exact"/>
        <w:jc w:val="both"/>
      </w:pPr>
      <w:r>
        <w:rPr>
          <w:rFonts w:ascii="Calibri" w:hAnsi="Calibri"/>
          <w:color w:val="000000"/>
          <w:sz w:val="22"/>
        </w:rPr>
        <w:t>Los clics rápidos y repetidos en el botón de activación podían iniciar la cámara múltiples veces, generando condiciones de carrera. La solución fue emplear un AtomicBoolean como mecanismo de guardia, permitiendo que solo un hilo pudiera iniciar la cámara.</w:t>
      </w:r>
    </w:p>
    <w:p>
      <w:pPr>
        <w:spacing w:before="360" w:after="120"/>
        <w:pBdr>
          <w:bottom w:val="single" w:sz="6" w:space="1" w:color="388E3C"/>
        </w:pBdr>
      </w:pPr>
      <w:r>
        <w:rPr>
          <w:rFonts w:ascii="Calibri" w:hAnsi="Calibri"/>
          <w:b/>
          <w:color w:val="2E7D32"/>
          <w:sz w:val="24"/>
        </w:rPr>
        <w:t>Problema 4: Selección de productos con baja confianza</w:t>
      </w:r>
    </w:p>
    <w:p>
      <w:pPr>
        <w:spacing w:after="120" w:line="260" w:lineRule="exact"/>
        <w:jc w:val="both"/>
      </w:pPr>
      <w:r>
        <w:rPr>
          <w:rFonts w:ascii="Calibri" w:hAnsi="Calibri"/>
          <w:color w:val="000000"/>
          <w:sz w:val="22"/>
        </w:rPr>
        <w:t>El sistema podía sugerir productos con puntuaciones muy bajas, lo que aumentaba el riesgo de clasificaciones incorrectas. Se estableció un umbral mínimo del 47 %: los productos por debajo de este valor se muestran en rojo y no son seleccionables, utilizando cell factories personalizadas en el TableView.</w:t>
      </w:r>
    </w:p>
    <w:p>
      <w:pPr>
        <w:spacing w:before="360" w:after="120"/>
        <w:pBdr>
          <w:bottom w:val="single" w:sz="6" w:space="1" w:color="388E3C"/>
        </w:pBdr>
      </w:pPr>
      <w:r>
        <w:rPr>
          <w:rFonts w:ascii="Calibri" w:hAnsi="Calibri"/>
          <w:b/>
          <w:color w:val="2E7D32"/>
          <w:sz w:val="24"/>
        </w:rPr>
        <w:t>Problema 5: Espacio en disco en EC2</w:t>
      </w:r>
    </w:p>
    <w:p>
      <w:pPr>
        <w:spacing w:after="120" w:line="260" w:lineRule="exact"/>
        <w:jc w:val="both"/>
      </w:pPr>
      <w:r>
        <w:rPr>
          <w:rFonts w:ascii="Calibri" w:hAnsi="Calibri"/>
          <w:color w:val="000000"/>
          <w:sz w:val="22"/>
        </w:rPr>
        <w:t>El disco /var de la instancia EC2 se llenaba debido a imágenes Docker antiguas y logs acumulados. La solución fue ejecutar periódicamente docker system prune -a para eliminar contenedores, imágenes y redes no utilizados, liberando espacio en disco.</w:t>
      </w:r>
    </w:p>
    <w:p>
      <w:r>
        <w:br w:type="page"/>
      </w:r>
    </w:p>
    <w:p>
      <w:pPr>
        <w:spacing w:before="360" w:after="120"/>
        <w:pBdr>
          <w:bottom w:val="single" w:sz="6" w:space="1" w:color="388E3C"/>
        </w:pBdr>
      </w:pPr>
      <w:r>
        <w:rPr>
          <w:rFonts w:ascii="Calibri" w:hAnsi="Calibri"/>
          <w:b/>
          <w:color w:val="2E7D32"/>
          <w:sz w:val="28"/>
        </w:rPr>
        <w:t>10. Conclusiones</w:t>
      </w:r>
    </w:p>
    <w:p>
      <w:pPr>
        <w:spacing w:after="120" w:line="260" w:lineRule="exact"/>
        <w:jc w:val="both"/>
      </w:pPr>
      <w:r>
        <w:rPr>
          <w:rFonts w:ascii="Calibri" w:hAnsi="Calibri"/>
          <w:color w:val="000000"/>
          <w:sz w:val="22"/>
        </w:rPr>
        <w:t>El sistema de reciclaje inteligente desarrollado demuestra que la combinación de una interfaz de usuario JavaFX con un modelo de inteligencia artificial CLIP es una solución viable y eficaz para la clasificación automatizada de residuos. La aplicación proporciona una experiencia de usuario fluida y accesible, cumpliendo con los objetivos planteados al inicio del proyecto.</w:t>
      </w:r>
    </w:p>
    <w:p>
      <w:pPr>
        <w:spacing w:after="120" w:line="260" w:lineRule="exact"/>
        <w:jc w:val="both"/>
      </w:pPr>
      <w:r>
        <w:rPr>
          <w:rFonts w:ascii="Calibri" w:hAnsi="Calibri"/>
          <w:color w:val="000000"/>
          <w:sz w:val="22"/>
        </w:rPr>
        <w:t>La adopción de un enfoque puramente Java para la eliminación de fondo, aunque supuso un esfuerzo de desarrollo adicional, resultó ser la decisión correcta al evitar los problemas de estabilidad asociados a las bibliotecas nativas en Windows. El modelo CLIP ViT-B/32 ha demostrado un rendimiento notable en la identificación de productos, con tiempos de inferencia aceptables en infraestructura cloud.</w:t>
      </w:r>
    </w:p>
    <w:p>
      <w:pPr>
        <w:spacing w:after="120" w:line="260" w:lineRule="exact"/>
        <w:jc w:val="both"/>
      </w:pPr>
      <w:r>
        <w:rPr>
          <w:rFonts w:ascii="Calibri" w:hAnsi="Calibri"/>
          <w:color w:val="000000"/>
          <w:sz w:val="22"/>
        </w:rPr>
        <w:t>Como líneas de trabajo futuro, se plantea ampliar el catálogo de productos reconocibles, mejorar el algoritmo de eliminación de fondo mediante técnicas de deep learning, y desarrollar una versión móvil de la aplicación que permita a los usuarios clasificar residuos desde sus teléfonos inteligentes.</w:t>
      </w:r>
    </w:p>
    <w:p>
      <w:r>
        <w:br w:type="page"/>
      </w:r>
    </w:p>
    <w:p>
      <w:pPr>
        <w:spacing w:before="360" w:after="120"/>
        <w:pBdr>
          <w:bottom w:val="single" w:sz="6" w:space="1" w:color="388E3C"/>
        </w:pBdr>
      </w:pPr>
      <w:r>
        <w:rPr>
          <w:rFonts w:ascii="Calibri" w:hAnsi="Calibri"/>
          <w:b/>
          <w:color w:val="2E7D32"/>
          <w:sz w:val="28"/>
        </w:rPr>
        <w:t>11. Bibliografía</w:t>
      </w:r>
    </w:p>
    <w:p>
      <w:pPr>
        <w:spacing w:after="80"/>
        <w:jc w:val="both"/>
      </w:pPr>
      <w:r>
        <w:rPr>
          <w:rFonts w:ascii="Calibri" w:hAnsi="Calibri"/>
          <w:color w:val="000000"/>
          <w:sz w:val="20"/>
        </w:rPr>
        <w:t>[1] Oracle Corporation. JavaFX Documentation. https://openjfx.io/</w:t>
      </w:r>
    </w:p>
    <w:p>
      <w:pPr>
        <w:spacing w:after="80"/>
        <w:jc w:val="both"/>
      </w:pPr>
      <w:r>
        <w:rPr>
          <w:rFonts w:ascii="Calibri" w:hAnsi="Calibri"/>
          <w:color w:val="000000"/>
          <w:sz w:val="20"/>
        </w:rPr>
        <w:t>[2] Radford, A., Kim, J. W., Hallacy, C., et al. (2021). Learning Transferable Visual Models From Natural Language Supervision. Proceedings of the International Conference on Machine Learning (ICML).</w:t>
      </w:r>
    </w:p>
    <w:p>
      <w:pPr>
        <w:spacing w:after="80"/>
        <w:jc w:val="both"/>
      </w:pPr>
      <w:r>
        <w:rPr>
          <w:rFonts w:ascii="Calibri" w:hAnsi="Calibri"/>
          <w:color w:val="000000"/>
          <w:sz w:val="20"/>
        </w:rPr>
        <w:t>[3] Bradski, G. (2000). The OpenCV Library. Dr. Dobb’s Journal of Software Tools.</w:t>
      </w:r>
    </w:p>
    <w:p>
      <w:pPr>
        <w:spacing w:after="80"/>
        <w:jc w:val="both"/>
      </w:pPr>
      <w:r>
        <w:rPr>
          <w:rFonts w:ascii="Calibri" w:hAnsi="Calibri"/>
          <w:color w:val="000000"/>
          <w:sz w:val="20"/>
        </w:rPr>
        <w:t>[4] Bytedeco. JavaCV Documentation. https://github.com/bytedeco/javacv</w:t>
      </w:r>
    </w:p>
    <w:p>
      <w:pPr>
        <w:spacing w:after="80"/>
        <w:jc w:val="both"/>
      </w:pPr>
      <w:r>
        <w:rPr>
          <w:rFonts w:ascii="Calibri" w:hAnsi="Calibri"/>
          <w:color w:val="000000"/>
          <w:sz w:val="20"/>
        </w:rPr>
        <w:t>[5] Pivotal Software. Spring Boot Reference Documentation. https://spring.io/projects/spring-boot</w:t>
      </w:r>
    </w:p>
    <w:p>
      <w:pPr>
        <w:spacing w:after="80"/>
        <w:jc w:val="both"/>
      </w:pPr>
      <w:r>
        <w:rPr>
          <w:rFonts w:ascii="Calibri" w:hAnsi="Calibri"/>
          <w:color w:val="000000"/>
          <w:sz w:val="20"/>
        </w:rPr>
        <w:t>[6] OpenAI. CLIP GitHub Repository. https://github.com/openai/CLIP</w:t>
      </w:r>
    </w:p>
    <w:p>
      <w:pPr>
        <w:spacing w:after="80"/>
        <w:jc w:val="both"/>
      </w:pPr>
      <w:r>
        <w:rPr>
          <w:rFonts w:ascii="Calibri" w:hAnsi="Calibri"/>
          <w:color w:val="000000"/>
          <w:sz w:val="20"/>
        </w:rPr>
        <w:t>[7] Docker Inc. Docker Documentation. https://docs.docker.com/</w:t>
      </w:r>
    </w:p>
    <w:p>
      <w:pPr>
        <w:spacing w:after="80"/>
        <w:jc w:val="both"/>
      </w:pPr>
      <w:r>
        <w:rPr>
          <w:rFonts w:ascii="Calibri" w:hAnsi="Calibri"/>
          <w:color w:val="000000"/>
          <w:sz w:val="20"/>
        </w:rPr>
        <w:t>[8] Amazon Web Services. Amazon EC2 Documentation. https://docs.aws.amazon.com/ec2/</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