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1"/>
        </w:numPr>
        <w:spacing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¿Por qué ubuntu no me deja establecer la contraseña durante la instalación? ¿Cuáles son los procesos típicos de Linux?¿Cómo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D">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sz w:val="24"/>
          <w:szCs w:val="24"/>
          <w:rtl w:val="0"/>
        </w:rPr>
        <w:t xml:space="preserve">En Linux, el usuario "root" es el superusuario o administrador del sistema. Tiene privilegios completos y control total sobre el sistema operativo. El usuario root puede realizar cualquier acción en el sistema, incluyendo la instalación y desinstalación de programas, modificar configuraciones críticas del sistema y acceder a todos los archivos y directorios, incluso aquellos que están restringidos para otros usuarios. Por razones de seguridad, las distribuciones de Ubuntu, como muchas otras distribuciones de Linux, no permiten establecer una contraseña para el usuario root durante la instalación. En su lugar, se utiliza el enfoque de "sudo" (superuser do) que permite a los usuarios con privilegios de administración ejecutar comandos como root temporalmente. Cuando se requieren permisos de root, el usuario puede ingresar su propia contraseña para autenticarse y realizar la tarea deseada. En cuanto a los procesos típicos en Linux, existen muchos procesos en ejecución en un sistema en funcionamiento. Para identificarlos, puedes utilizar el comando ps en la línea de comandos. Aquí hay algunos ejemplos de cómo identificar procesos: ps aux: Muestra una lista de todos los procesos del sistema en formato detallado, incluyendo los procesos de todos los usuarios. ps -ef: Muestra una lista de todos los procesos del sistema en formato detallado, similar a ps aux. top: Muestra una vista dinámica en tiempo real de los procesos en ejecución, ordenados por uso de recursos. htop: Una herramienta similar a top, pero con una interfaz más interactiva y amigable. Estos comandos te proporcionarán información sobre los procesos en ejecución, como su ID de proceso (PID), uso de CPU, uso de memoria y otros detalles relevantes. Además, puedes utilizar herramientas adicionales como pstree para obtener una representación jerárquica de los procesos o lsof para listar los archivos abiertos por los procesos.</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F">
      <w:pPr>
        <w:pageBreakBefore w:val="0"/>
        <w:widowControl w:val="0"/>
        <w:numPr>
          <w:ilvl w:val="0"/>
          <w:numId w:val="1"/>
        </w:numPr>
        <w:spacing w:before="0" w:beforeAutospacing="0"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10">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2">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3">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4">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5">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6">
      <w:pPr>
        <w:widowControl w:val="0"/>
        <w:numPr>
          <w:ilvl w:val="0"/>
          <w:numId w:val="1"/>
        </w:numPr>
        <w:spacing w:before="0" w:beforeAutospacing="0"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7">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sectPr>
      <w:footerReference r:id="rId8"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