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Candidate</w:t>
      </w:r>
      <w:r>
        <w:t xml:space="preserve"> </w:t>
      </w:r>
      <w:r>
        <w:t xml:space="preserve">B:</w:t>
      </w:r>
      <w:r>
        <w:t xml:space="preserve"> </w:t>
      </w:r>
      <w:r>
        <w:t xml:space="preserve">Sequential</w:t>
      </w:r>
      <w:r>
        <w:t xml:space="preserve"> </w:t>
      </w:r>
      <w:r>
        <w:t xml:space="preserve">model</w:t>
      </w:r>
      <w:r>
        <w:t xml:space="preserve"> </w:t>
      </w:r>
      <w:r>
        <w:t xml:space="preserve">—</w:t>
      </w:r>
      <w:r>
        <w:t xml:space="preserve"> </w:t>
      </w:r>
      <w:r>
        <w:t xml:space="preserve">draft</w:t>
      </w:r>
      <w:r>
        <w:t xml:space="preserve"> </w:t>
      </w:r>
      <w:r>
        <w:t xml:space="preserve">section</w:t>
      </w:r>
      <w:r>
        <w:t xml:space="preserve"> </w:t>
      </w:r>
      <w:r>
        <w:t xml:space="preserve">for</w:t>
      </w:r>
      <w:r>
        <w:t xml:space="preserve"> </w:t>
      </w:r>
      <w:r>
        <w:t xml:space="preserve">the</w:t>
      </w:r>
      <w:r>
        <w:t xml:space="preserve"> </w:t>
      </w:r>
      <w:r>
        <w:t xml:space="preserve">AT2</w:t>
      </w:r>
      <w:r>
        <w:t xml:space="preserve"> </w:t>
      </w:r>
      <w:r>
        <w:t xml:space="preserve">report</w:t>
      </w:r>
    </w:p>
    <w:p>
      <w:pPr>
        <w:pStyle w:val="FirstParagraph"/>
      </w:pPr>
      <w:r>
        <w:rPr>
          <w:iCs/>
          <w:i/>
        </w:rPr>
        <w:t xml:space="preserve">Draft for team review. Yellow items in the final report: anything marked [verify] needs a source check. Structure mirrors Candidate A so the two can be compared directly.</w:t>
      </w:r>
    </w:p>
    <w:bookmarkStart w:id="29" w:name="candidate-b-sequential-model"/>
    <w:p>
      <w:pPr>
        <w:pStyle w:val="Heading2"/>
      </w:pPr>
      <w:r>
        <w:t xml:space="preserve">Candidate B: Sequential model</w:t>
      </w:r>
    </w:p>
    <w:bookmarkStart w:id="20" w:name="Xac48557cb8c31b0163022782ef6cc35d293ac12"/>
    <w:p>
      <w:pPr>
        <w:pStyle w:val="Heading3"/>
      </w:pPr>
      <w:r>
        <w:t xml:space="preserve">B.1 How the sequential model predicts the target</w:t>
      </w:r>
    </w:p>
    <w:p>
      <w:pPr>
        <w:pStyle w:val="FirstParagraph"/>
      </w:pPr>
      <w:r>
        <w:t xml:space="preserve">Candidate A looks at a catchment as a snapshot. A flash flood, however, is the end of a story: days of earlier rain wet the soil, and then a short burst of intense rain meets ground that cannot absorb it. That story is a time series, so Candidate B treats each catchment as a sequence of hourly records and learns from the order in which things happened. A recurrent network of the Long Short-Term Memory (LSTM) type (Hochreiter &amp; Schmidhuber, 1997) reads the last 72 hours, one hour at a time, and keeps a running memory of what it has seen. From that memory it outputs the shared target: the probability that a flash flood occurs in the catchment within the next 6 hours.</w:t>
      </w:r>
    </w:p>
    <w:bookmarkEnd w:id="20"/>
    <w:bookmarkStart w:id="21" w:name="b.2-inputs"/>
    <w:p>
      <w:pPr>
        <w:pStyle w:val="Heading3"/>
      </w:pPr>
      <w:r>
        <w:t xml:space="preserve">B.2 Inputs</w:t>
      </w:r>
    </w:p>
    <w:p>
      <w:pPr>
        <w:pStyle w:val="FirstParagraph"/>
      </w:pPr>
      <w:r>
        <w:t xml:space="preserve">Each hourly step holds a short vector, built from the same sources as Candidate A so that neither candidate gets data the other cannot use (Table B1). Radar rainfall is averaged over the catchment, and we add the heaviest 10-minute intensity in the hour because a short burst matters more than the hourly total. Soil wetness is the most recent daily AWRA-L value available before the issue time (the previous day’s), held constant within the day, so that it contains no rain from after the issue time. Static catchment attributes (area, mean slope, drainage density, soil infiltration, sealed fraction) are the catchment-averaged versions of Candidate A’s channels 4 to 8, and are attached to every step so one model can serve many catchments (Kratzert et al., 2019).</w:t>
      </w:r>
    </w:p>
    <w:p>
      <w:pPr>
        <w:pStyle w:val="BodyText"/>
      </w:pPr>
      <w:r>
        <w:rPr>
          <w:bCs/>
          <w:b/>
        </w:rPr>
        <w:t xml:space="preserve">Table B1.</w:t>
      </w:r>
      <w:r>
        <w:t xml:space="preserve"> </w:t>
      </w:r>
      <w:r>
        <w:t xml:space="preserve">Inputs to the sequential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Input</w:t>
            </w:r>
          </w:p>
        </w:tc>
        <w:tc>
          <w:tcPr/>
          <w:p>
            <w:pPr>
              <w:pStyle w:val="Compact"/>
              <w:jc w:val="left"/>
            </w:pPr>
            <w:r>
              <w:t xml:space="preserve">Per step or static</w:t>
            </w:r>
          </w:p>
        </w:tc>
        <w:tc>
          <w:tcPr/>
          <w:p>
            <w:pPr>
              <w:pStyle w:val="Compact"/>
              <w:jc w:val="left"/>
            </w:pPr>
            <w:r>
              <w:t xml:space="preserve">Source (shared with A)</w:t>
            </w:r>
          </w:p>
        </w:tc>
        <w:tc>
          <w:tcPr/>
          <w:p>
            <w:pPr>
              <w:pStyle w:val="Compact"/>
              <w:jc w:val="left"/>
            </w:pPr>
            <w:r>
              <w:t xml:space="preserve">Why it matters</w:t>
            </w:r>
          </w:p>
        </w:tc>
      </w:tr>
      <w:tr>
        <w:tc>
          <w:tcPr/>
          <w:p>
            <w:pPr>
              <w:pStyle w:val="Compact"/>
              <w:jc w:val="left"/>
            </w:pPr>
            <w:r>
              <w:t xml:space="preserve">Catchment-mean radar rain (mm/h)</w:t>
            </w:r>
          </w:p>
        </w:tc>
        <w:tc>
          <w:tcPr/>
          <w:p>
            <w:pPr>
              <w:pStyle w:val="Compact"/>
              <w:jc w:val="left"/>
            </w:pPr>
            <w:r>
              <w:t xml:space="preserve">Hourly</w:t>
            </w:r>
          </w:p>
        </w:tc>
        <w:tc>
          <w:tcPr/>
          <w:p>
            <w:pPr>
              <w:pStyle w:val="Compact"/>
              <w:jc w:val="left"/>
            </w:pPr>
            <w:r>
              <w:t xml:space="preserve">BoM radar rainfall</w:t>
            </w:r>
          </w:p>
        </w:tc>
        <w:tc>
          <w:tcPr/>
          <w:p>
            <w:pPr>
              <w:pStyle w:val="Compact"/>
              <w:jc w:val="left"/>
            </w:pPr>
            <w:r>
              <w:t xml:space="preserve">Storm intensity and duration</w:t>
            </w:r>
          </w:p>
        </w:tc>
      </w:tr>
      <w:tr>
        <w:tc>
          <w:tcPr/>
          <w:p>
            <w:pPr>
              <w:pStyle w:val="Compact"/>
              <w:jc w:val="left"/>
            </w:pPr>
            <w:r>
              <w:t xml:space="preserve">Peak 10-min rain rate in the hour</w:t>
            </w:r>
          </w:p>
        </w:tc>
        <w:tc>
          <w:tcPr/>
          <w:p>
            <w:pPr>
              <w:pStyle w:val="Compact"/>
              <w:jc w:val="left"/>
            </w:pPr>
            <w:r>
              <w:t xml:space="preserve">Hourly</w:t>
            </w:r>
          </w:p>
        </w:tc>
        <w:tc>
          <w:tcPr/>
          <w:p>
            <w:pPr>
              <w:pStyle w:val="Compact"/>
              <w:jc w:val="left"/>
            </w:pPr>
            <w:r>
              <w:t xml:space="preserve">BoM radar rainfall</w:t>
            </w:r>
          </w:p>
        </w:tc>
        <w:tc>
          <w:tcPr/>
          <w:p>
            <w:pPr>
              <w:pStyle w:val="Compact"/>
              <w:jc w:val="left"/>
            </w:pPr>
            <w:r>
              <w:t xml:space="preserve">Short bursts that hourly totals hide</w:t>
            </w:r>
          </w:p>
        </w:tc>
      </w:tr>
      <w:tr>
        <w:tc>
          <w:tcPr/>
          <w:p>
            <w:pPr>
              <w:pStyle w:val="Compact"/>
              <w:jc w:val="left"/>
            </w:pPr>
            <w:r>
              <w:t xml:space="preserve">Soil wetness (0 to 1)</w:t>
            </w:r>
          </w:p>
        </w:tc>
        <w:tc>
          <w:tcPr/>
          <w:p>
            <w:pPr>
              <w:pStyle w:val="Compact"/>
              <w:jc w:val="left"/>
            </w:pPr>
            <w:r>
              <w:t xml:space="preserve">Daily, repeated (previous day’s value)</w:t>
            </w:r>
          </w:p>
        </w:tc>
        <w:tc>
          <w:tcPr/>
          <w:p>
            <w:pPr>
              <w:pStyle w:val="Compact"/>
              <w:jc w:val="left"/>
            </w:pPr>
            <w:r>
              <w:t xml:space="preserve">AWRA-L</w:t>
            </w:r>
          </w:p>
        </w:tc>
        <w:tc>
          <w:tcPr/>
          <w:p>
            <w:pPr>
              <w:pStyle w:val="Compact"/>
              <w:jc w:val="left"/>
            </w:pPr>
            <w:r>
              <w:t xml:space="preserve">Ground already saturated or dry</w:t>
            </w:r>
          </w:p>
        </w:tc>
      </w:tr>
      <w:tr>
        <w:tc>
          <w:tcPr/>
          <w:p>
            <w:pPr>
              <w:pStyle w:val="Compact"/>
              <w:jc w:val="left"/>
            </w:pPr>
            <w:r>
              <w:t xml:space="preserve">Hours since last rain above 1 mm</w:t>
            </w:r>
          </w:p>
        </w:tc>
        <w:tc>
          <w:tcPr/>
          <w:p>
            <w:pPr>
              <w:pStyle w:val="Compact"/>
              <w:jc w:val="left"/>
            </w:pPr>
            <w:r>
              <w:t xml:space="preserve">Hourly (derived)</w:t>
            </w:r>
          </w:p>
        </w:tc>
        <w:tc>
          <w:tcPr/>
          <w:p>
            <w:pPr>
              <w:pStyle w:val="Compact"/>
              <w:jc w:val="left"/>
            </w:pPr>
            <w:r>
              <w:t xml:space="preserve">Radar</w:t>
            </w:r>
          </w:p>
        </w:tc>
        <w:tc>
          <w:tcPr/>
          <w:p>
            <w:pPr>
              <w:pStyle w:val="Compact"/>
              <w:jc w:val="left"/>
            </w:pPr>
            <w:r>
              <w:t xml:space="preserve">Dry spell versus continuing event</w:t>
            </w:r>
          </w:p>
        </w:tc>
      </w:tr>
      <w:tr>
        <w:tc>
          <w:tcPr/>
          <w:p>
            <w:pPr>
              <w:pStyle w:val="Compact"/>
              <w:jc w:val="left"/>
            </w:pPr>
            <w:r>
              <w:t xml:space="preserve">Area, slope, drainage density, infiltration, sealed fraction</w:t>
            </w:r>
          </w:p>
        </w:tc>
        <w:tc>
          <w:tcPr/>
          <w:p>
            <w:pPr>
              <w:pStyle w:val="Compact"/>
              <w:jc w:val="left"/>
            </w:pPr>
            <w:r>
              <w:t xml:space="preserve">Static</w:t>
            </w:r>
          </w:p>
        </w:tc>
        <w:tc>
          <w:tcPr/>
          <w:p>
            <w:pPr>
              <w:pStyle w:val="Compact"/>
              <w:jc w:val="left"/>
            </w:pPr>
            <w:r>
              <w:t xml:space="preserve">DEM, soil and land-cover grids</w:t>
            </w:r>
          </w:p>
        </w:tc>
        <w:tc>
          <w:tcPr/>
          <w:p>
            <w:pPr>
              <w:pStyle w:val="Compact"/>
              <w:jc w:val="left"/>
            </w:pPr>
            <w:r>
              <w:t xml:space="preserve">How fast this catchment responds</w:t>
            </w:r>
          </w:p>
        </w:tc>
      </w:tr>
    </w:tbl>
    <w:p>
      <w:pPr>
        <w:pStyle w:val="BodyText"/>
      </w:pPr>
      <w:r>
        <w:t xml:space="preserve">Two variants are trained.</w:t>
      </w:r>
      <w:r>
        <w:t xml:space="preserve"> </w:t>
      </w:r>
      <w:r>
        <w:rPr>
          <w:bCs/>
          <w:b/>
        </w:rPr>
        <w:t xml:space="preserve">B1</w:t>
      </w:r>
      <w:r>
        <w:t xml:space="preserve"> </w:t>
      </w:r>
      <w:r>
        <w:t xml:space="preserve">uses only the inputs above and works for any catchment, gauged or not (FR-3); this is the version entered in the head-to-head comparison.</w:t>
      </w:r>
      <w:r>
        <w:t xml:space="preserve"> </w:t>
      </w:r>
      <w:r>
        <w:rPr>
          <w:bCs/>
          <w:b/>
        </w:rPr>
        <w:t xml:space="preserve">B2</w:t>
      </w:r>
      <w:r>
        <w:t xml:space="preserve"> </w:t>
      </w:r>
      <w:r>
        <w:t xml:space="preserve">adds upstream river level where a gauge exists. It is reported separately as an operational upgrade, because Candidate A and C cannot use it.</w:t>
      </w:r>
    </w:p>
    <w:bookmarkEnd w:id="21"/>
    <w:bookmarkStart w:id="22" w:name="b.3-architecture"/>
    <w:p>
      <w:pPr>
        <w:pStyle w:val="Heading3"/>
      </w:pPr>
      <w:r>
        <w:t xml:space="preserve">B.3 Architecture</w:t>
      </w:r>
    </w:p>
    <w:p>
      <w:pPr>
        <w:pStyle w:val="FirstParagraph"/>
      </w:pPr>
      <w:r>
        <w:t xml:space="preserve">Rain, wetness and static attributes are concatenated into one vector per hour. A two-layer LSTM (128 hidden units, dropout 0.2; to be tuned) reads the 72 vectors in order. Its final memory state feeds a dense layer with six sigmoid outputs, one for each of the next six hours. The headline probability is the highest of the six, so the model can say not only that a flood is likely but roughly when. Floods are rare, so the loss gives extra weight to the flood class (weighted binary cross-entropy), as in Candidate A. One regional model is trained across all catchments, which lets catchments with few recorded floods borrow patterns from similar ones.</w:t>
      </w:r>
    </w:p>
    <w:bookmarkEnd w:id="22"/>
    <w:bookmarkStart w:id="23" w:name="b.4-evidence"/>
    <w:p>
      <w:pPr>
        <w:pStyle w:val="Heading3"/>
      </w:pPr>
      <w:r>
        <w:t xml:space="preserve">B.4 Evidence</w:t>
      </w:r>
    </w:p>
    <w:p>
      <w:pPr>
        <w:pStyle w:val="FirstParagraph"/>
      </w:pPr>
      <w:r>
        <w:t xml:space="preserve">LSTMs have become the reference approach for data-driven hydrology. Kratzert et al. (2018) showed that a single LSTM can learn rainfall-runoff behaviour from rain and weather records alone. Trained across many catchments it predicts better in catchments it has never seen than calibrated hydrological models (Kratzert et al., 2019), which is the situation FR-3 describes. Frame et al. (2022) found that LSTMs stayed accurate on extreme, high-return-period events and beat the US National Water Model, even when extremes were left out of training. Nearing et al. (2024) used LSTMs to forecast extreme floods in ungauged basins globally. Gauch et al. (2021) showed that one LSTM can work at hourly and daily scales together, which suits our hourly steps with daily soil data.</w:t>
      </w:r>
    </w:p>
    <w:p>
      <w:pPr>
        <w:pStyle w:val="BodyText"/>
      </w:pPr>
      <w:r>
        <w:t xml:space="preserve">One result in our own draft points the other way. Panahi et al. (2021) found a CNN beat a recurrent network (AUC 0.832 against 0.814) on Iranian flash flood data. That study mapped long-term flood susceptibility from static layers, with no time series, so a recurrent network had little to remember. Our task is different, and we test the question directly on shared held-out events rather than assume the answer.</w:t>
      </w:r>
    </w:p>
    <w:bookmarkEnd w:id="23"/>
    <w:bookmarkStart w:id="24" w:name="X152e1b1f2dfff0a285cbc0afa306809d5f3e3d4"/>
    <w:p>
      <w:pPr>
        <w:pStyle w:val="Heading3"/>
      </w:pPr>
      <w:r>
        <w:t xml:space="preserve">B.5 Alternatives considered within sequential models</w:t>
      </w:r>
    </w:p>
    <w:p>
      <w:pPr>
        <w:pStyle w:val="FirstParagraph"/>
      </w:pPr>
      <w:r>
        <w:t xml:space="preserve">We judged each alternative on one question: can it hold 72 hours of antecedent conditions and output the flood probability for an ungauged catchment at low latency (Table B2)?</w:t>
      </w:r>
    </w:p>
    <w:p>
      <w:pPr>
        <w:pStyle w:val="BodyText"/>
      </w:pPr>
      <w:r>
        <w:rPr>
          <w:bCs/>
          <w:b/>
        </w:rPr>
        <w:t xml:space="preserve">Table B2.</w:t>
      </w:r>
      <w:r>
        <w:t xml:space="preserve"> </w:t>
      </w:r>
      <w:r>
        <w:t xml:space="preserve">Sequential-model alternatives considered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Alternative</w:t>
            </w:r>
          </w:p>
        </w:tc>
        <w:tc>
          <w:tcPr/>
          <w:p>
            <w:pPr>
              <w:pStyle w:val="Compact"/>
              <w:jc w:val="left"/>
            </w:pPr>
            <w:r>
              <w:t xml:space="preserve">What it offers</w:t>
            </w:r>
          </w:p>
        </w:tc>
        <w:tc>
          <w:tcPr/>
          <w:p>
            <w:pPr>
              <w:pStyle w:val="Compact"/>
              <w:jc w:val="left"/>
            </w:pPr>
            <w:r>
              <w:t xml:space="preserve">Why we did not choose it as the main model</w:t>
            </w:r>
          </w:p>
        </w:tc>
      </w:tr>
      <w:tr>
        <w:tc>
          <w:tcPr/>
          <w:p>
            <w:pPr>
              <w:pStyle w:val="Compact"/>
              <w:jc w:val="left"/>
            </w:pPr>
            <w:r>
              <w:t xml:space="preserve">Rainfall intensity-duration threshold</w:t>
            </w:r>
          </w:p>
        </w:tc>
        <w:tc>
          <w:tcPr/>
          <w:p>
            <w:pPr>
              <w:pStyle w:val="Compact"/>
              <w:jc w:val="left"/>
            </w:pPr>
            <w:r>
              <w:t xml:space="preserve">Simple rule used operationally today</w:t>
            </w:r>
          </w:p>
        </w:tc>
        <w:tc>
          <w:tcPr/>
          <w:p>
            <w:pPr>
              <w:pStyle w:val="Compact"/>
              <w:jc w:val="left"/>
            </w:pPr>
            <w:r>
              <w:t xml:space="preserve">Ignores soil wetness and catchment; kept as the non-AI baseline</w:t>
            </w:r>
          </w:p>
        </w:tc>
      </w:tr>
      <w:tr>
        <w:tc>
          <w:tcPr/>
          <w:p>
            <w:pPr>
              <w:pStyle w:val="Compact"/>
              <w:jc w:val="left"/>
            </w:pPr>
            <w:r>
              <w:t xml:space="preserve">Logistic regression or gradient boosting on lagged features</w:t>
            </w:r>
          </w:p>
        </w:tc>
        <w:tc>
          <w:tcPr/>
          <w:p>
            <w:pPr>
              <w:pStyle w:val="Compact"/>
              <w:jc w:val="left"/>
            </w:pPr>
            <w:r>
              <w:t xml:space="preserve">Strong tabular baseline</w:t>
            </w:r>
          </w:p>
        </w:tc>
        <w:tc>
          <w:tcPr/>
          <w:p>
            <w:pPr>
              <w:pStyle w:val="Compact"/>
              <w:jc w:val="left"/>
            </w:pPr>
            <w:r>
              <w:t xml:space="preserve">Memory is hand-built (we pick the lags); kept as a baseline to show what the sequence adds</w:t>
            </w:r>
          </w:p>
        </w:tc>
      </w:tr>
      <w:tr>
        <w:tc>
          <w:tcPr/>
          <w:p>
            <w:pPr>
              <w:pStyle w:val="Compact"/>
              <w:jc w:val="left"/>
            </w:pPr>
            <w:r>
              <w:t xml:space="preserve">GRU (Cho et al., 2014)</w:t>
            </w:r>
          </w:p>
        </w:tc>
        <w:tc>
          <w:tcPr/>
          <w:p>
            <w:pPr>
              <w:pStyle w:val="Compact"/>
              <w:jc w:val="left"/>
            </w:pPr>
            <w:r>
              <w:t xml:space="preserve">Fewer parameters than LSTM</w:t>
            </w:r>
          </w:p>
        </w:tc>
        <w:tc>
          <w:tcPr/>
          <w:p>
            <w:pPr>
              <w:pStyle w:val="Compact"/>
              <w:jc w:val="left"/>
            </w:pPr>
            <w:r>
              <w:t xml:space="preserve">Similar skill expected; run as an ablation</w:t>
            </w:r>
          </w:p>
        </w:tc>
      </w:tr>
      <w:tr>
        <w:tc>
          <w:tcPr/>
          <w:p>
            <w:pPr>
              <w:pStyle w:val="Compact"/>
              <w:jc w:val="left"/>
            </w:pPr>
            <w:r>
              <w:t xml:space="preserve">Temporal convolutional network (Bai et al., 2018)</w:t>
            </w:r>
          </w:p>
        </w:tc>
        <w:tc>
          <w:tcPr/>
          <w:p>
            <w:pPr>
              <w:pStyle w:val="Compact"/>
              <w:jc w:val="left"/>
            </w:pPr>
            <w:r>
              <w:t xml:space="preserve">Fast, parallel training</w:t>
            </w:r>
          </w:p>
        </w:tc>
        <w:tc>
          <w:tcPr/>
          <w:p>
            <w:pPr>
              <w:pStyle w:val="Compact"/>
              <w:jc w:val="left"/>
            </w:pPr>
            <w:r>
              <w:t xml:space="preserve">Fixed receptive field; harder to read what hour mattered</w:t>
            </w:r>
          </w:p>
        </w:tc>
      </w:tr>
      <w:tr>
        <w:tc>
          <w:tcPr/>
          <w:p>
            <w:pPr>
              <w:pStyle w:val="Compact"/>
              <w:jc w:val="left"/>
            </w:pPr>
            <w:r>
              <w:t xml:space="preserve">Transformer or Temporal Fusion Transformer (Lim et al., 2021)</w:t>
            </w:r>
          </w:p>
        </w:tc>
        <w:tc>
          <w:tcPr/>
          <w:p>
            <w:pPr>
              <w:pStyle w:val="Compact"/>
              <w:jc w:val="left"/>
            </w:pPr>
            <w:r>
              <w:t xml:space="preserve">Attention shows which hours mattered; handles mixed inputs</w:t>
            </w:r>
          </w:p>
        </w:tc>
        <w:tc>
          <w:tcPr/>
          <w:p>
            <w:pPr>
              <w:pStyle w:val="Compact"/>
              <w:jc w:val="left"/>
            </w:pPr>
            <w:r>
              <w:t xml:space="preserve">Needs more data than rare flood labels give; kept as a stretch comparison</w:t>
            </w:r>
          </w:p>
        </w:tc>
      </w:tr>
      <w:tr>
        <w:tc>
          <w:tcPr/>
          <w:p>
            <w:pPr>
              <w:pStyle w:val="Compact"/>
              <w:jc w:val="left"/>
            </w:pPr>
            <w:r>
              <w:t xml:space="preserve">Physics-based hydrodynamic model</w:t>
            </w:r>
          </w:p>
        </w:tc>
        <w:tc>
          <w:tcPr/>
          <w:p>
            <w:pPr>
              <w:pStyle w:val="Compact"/>
              <w:jc w:val="left"/>
            </w:pPr>
            <w:r>
              <w:t xml:space="preserve">Physically grounded</w:t>
            </w:r>
          </w:p>
        </w:tc>
        <w:tc>
          <w:tcPr/>
          <w:p>
            <w:pPr>
              <w:pStyle w:val="Compact"/>
              <w:jc w:val="left"/>
            </w:pPr>
            <w:r>
              <w:t xml:space="preserve">Hours to run and needs calibration (Problem statement)</w:t>
            </w:r>
          </w:p>
        </w:tc>
      </w:tr>
    </w:tbl>
    <w:bookmarkEnd w:id="24"/>
    <w:bookmarkStart w:id="25" w:name="b.6-strengths-and-limitations"/>
    <w:p>
      <w:pPr>
        <w:pStyle w:val="Heading3"/>
      </w:pPr>
      <w:r>
        <w:t xml:space="preserve">B.6 Strengths and limitations</w:t>
      </w:r>
    </w:p>
    <w:p>
      <w:pPr>
        <w:pStyle w:val="FirstParagraph"/>
      </w:pPr>
      <w:r>
        <w:t xml:space="preserve">The LSTM suits the requirements. It uses real-time inputs only (FR-2), needs no river gauge in B1 (FR-3), and runs in milliseconds per catchment, so 90 seconds per regional sweep is easily met (NFR-1). For FR-4 we use integrated gradients (Sundararajan et al., 2017) to show which hours of rain and which inputs pushed a prediction up, which a controller can check against the radar. It covers Candidate A’s main weakness, memory, since A only sees the last 6 hours of rain.</w:t>
      </w:r>
    </w:p>
    <w:p>
      <w:pPr>
        <w:pStyle w:val="BodyText"/>
      </w:pPr>
      <w:r>
        <w:t xml:space="preserve">Its own limits mirror A’s. It sees one averaged value per catchment, so it cannot tell whether the rain fell on the steep upper valley or the flat lower reach, which is the spatial detail A captures. Flood labels are few, so the model may over-predict or under-predict at extremes; we select on held-out extreme events, not average skill. Radar underestimates rain in mountains. Finally, any label noise in the event list passes straight to the model.</w:t>
      </w:r>
    </w:p>
    <w:bookmarkEnd w:id="25"/>
    <w:bookmarkStart w:id="26" w:name="b.7-how-b-connects-to-a-and-c"/>
    <w:p>
      <w:pPr>
        <w:pStyle w:val="Heading3"/>
      </w:pPr>
      <w:r>
        <w:t xml:space="preserve">B.7 How B connects to A and C</w:t>
      </w:r>
    </w:p>
    <w:p>
      <w:pPr>
        <w:pStyle w:val="FirstParagraph"/>
      </w:pPr>
      <w:r>
        <w:t xml:space="preserve">A is strong in space but short on memory; B is strong in time but blind to where rain fell. We therefore test one hypothesis in the common evaluation: that a late-fusion ensemble (average or logistic stack of A’s and B’s probabilities) beats either alone. Following the draft’s rule, it is adopted only if it does. The same hourly sequences can also feed Candidate C as its time-series input.</w:t>
      </w:r>
    </w:p>
    <w:bookmarkEnd w:id="26"/>
    <w:bookmarkStart w:id="27" w:name="X8a75a341b42ef5c71d7a92bb7c913418d270e5f"/>
    <w:p>
      <w:pPr>
        <w:pStyle w:val="Heading3"/>
      </w:pPr>
      <w:r>
        <w:t xml:space="preserve">Rows for the technique comparison table (column 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B: Sequential</w:t>
            </w:r>
          </w:p>
        </w:tc>
      </w:tr>
      <w:tr>
        <w:tc>
          <w:tcPr/>
          <w:p>
            <w:pPr>
              <w:pStyle w:val="Compact"/>
              <w:jc w:val="left"/>
            </w:pPr>
            <w:r>
              <w:t xml:space="preserve">Input representation</w:t>
            </w:r>
          </w:p>
        </w:tc>
        <w:tc>
          <w:tcPr/>
          <w:p>
            <w:pPr>
              <w:pStyle w:val="Compact"/>
              <w:jc w:val="left"/>
            </w:pPr>
            <w:r>
              <w:t xml:space="preserve">Hourly multivariate time series per catchment (72 h) plus static attributes</w:t>
            </w:r>
          </w:p>
        </w:tc>
      </w:tr>
      <w:tr>
        <w:tc>
          <w:tcPr/>
          <w:p>
            <w:pPr>
              <w:pStyle w:val="Compact"/>
              <w:jc w:val="left"/>
            </w:pPr>
            <w:r>
              <w:t xml:space="preserve">Recall / probability of detection</w:t>
            </w:r>
          </w:p>
        </w:tc>
        <w:tc>
          <w:tcPr/>
          <w:p>
            <w:pPr>
              <w:pStyle w:val="Compact"/>
              <w:jc w:val="left"/>
            </w:pPr>
            <w:r>
              <w:t xml:space="preserve">[from evaluation]</w:t>
            </w:r>
          </w:p>
        </w:tc>
      </w:tr>
      <w:tr>
        <w:tc>
          <w:tcPr/>
          <w:p>
            <w:pPr>
              <w:pStyle w:val="Compact"/>
              <w:jc w:val="left"/>
            </w:pPr>
            <w:r>
              <w:t xml:space="preserve">False alarm ratio</w:t>
            </w:r>
          </w:p>
        </w:tc>
        <w:tc>
          <w:tcPr/>
          <w:p>
            <w:pPr>
              <w:pStyle w:val="Compact"/>
              <w:jc w:val="left"/>
            </w:pPr>
            <w:r>
              <w:t xml:space="preserve">[from evaluation]</w:t>
            </w:r>
          </w:p>
        </w:tc>
      </w:tr>
      <w:tr>
        <w:tc>
          <w:tcPr/>
          <w:p>
            <w:pPr>
              <w:pStyle w:val="Compact"/>
              <w:jc w:val="left"/>
            </w:pPr>
            <w:r>
              <w:t xml:space="preserve">Warning lead time</w:t>
            </w:r>
          </w:p>
        </w:tc>
        <w:tc>
          <w:tcPr/>
          <w:p>
            <w:pPr>
              <w:pStyle w:val="Compact"/>
              <w:jc w:val="left"/>
            </w:pPr>
            <w:r>
              <w:t xml:space="preserve">Up to 6 h target window, with a per-hour breakdown</w:t>
            </w:r>
          </w:p>
        </w:tc>
      </w:tr>
      <w:tr>
        <w:tc>
          <w:tcPr/>
          <w:p>
            <w:pPr>
              <w:pStyle w:val="Compact"/>
              <w:jc w:val="left"/>
            </w:pPr>
            <w:r>
              <w:t xml:space="preserve">Ungauged catchments</w:t>
            </w:r>
          </w:p>
        </w:tc>
        <w:tc>
          <w:tcPr/>
          <w:p>
            <w:pPr>
              <w:pStyle w:val="Compact"/>
              <w:jc w:val="left"/>
            </w:pPr>
            <w:r>
              <w:t xml:space="preserve">Yes in B1: rain, soil and static attributes only; regional model</w:t>
            </w:r>
          </w:p>
        </w:tc>
      </w:tr>
      <w:tr>
        <w:tc>
          <w:tcPr/>
          <w:p>
            <w:pPr>
              <w:pStyle w:val="Compact"/>
              <w:jc w:val="left"/>
            </w:pPr>
            <w:r>
              <w:t xml:space="preserve">Data and labels needed</w:t>
            </w:r>
          </w:p>
        </w:tc>
        <w:tc>
          <w:tcPr/>
          <w:p>
            <w:pPr>
              <w:pStyle w:val="Compact"/>
              <w:jc w:val="left"/>
            </w:pPr>
            <w:r>
              <w:t xml:space="preserve">Moderate; long hourly records, labelled flood events</w:t>
            </w:r>
          </w:p>
        </w:tc>
      </w:tr>
      <w:tr>
        <w:tc>
          <w:tcPr/>
          <w:p>
            <w:pPr>
              <w:pStyle w:val="Compact"/>
              <w:jc w:val="left"/>
            </w:pPr>
            <w:r>
              <w:t xml:space="preserve">Explainability (FR-4)</w:t>
            </w:r>
          </w:p>
        </w:tc>
        <w:tc>
          <w:tcPr/>
          <w:p>
            <w:pPr>
              <w:pStyle w:val="Compact"/>
              <w:jc w:val="left"/>
            </w:pPr>
            <w:r>
              <w:t xml:space="preserve">Medium: integrated gradients show influential hours and inputs</w:t>
            </w:r>
          </w:p>
        </w:tc>
      </w:tr>
      <w:tr>
        <w:tc>
          <w:tcPr/>
          <w:p>
            <w:pPr>
              <w:pStyle w:val="Compact"/>
              <w:jc w:val="left"/>
            </w:pPr>
            <w:r>
              <w:t xml:space="preserve">Compute and latency (NFR-1)</w:t>
            </w:r>
          </w:p>
        </w:tc>
        <w:tc>
          <w:tcPr/>
          <w:p>
            <w:pPr>
              <w:pStyle w:val="Compact"/>
              <w:jc w:val="left"/>
            </w:pPr>
            <w:r>
              <w:t xml:space="preserve">Very low at inference; training on one GPU in hours</w:t>
            </w:r>
          </w:p>
        </w:tc>
      </w:tr>
      <w:tr>
        <w:tc>
          <w:tcPr/>
          <w:p>
            <w:pPr>
              <w:pStyle w:val="Compact"/>
              <w:jc w:val="left"/>
            </w:pPr>
            <w:r>
              <w:t xml:space="preserve">Key weakness</w:t>
            </w:r>
          </w:p>
        </w:tc>
        <w:tc>
          <w:tcPr/>
          <w:p>
            <w:pPr>
              <w:pStyle w:val="Compact"/>
              <w:jc w:val="left"/>
            </w:pPr>
            <w:r>
              <w:t xml:space="preserve">Spatially averaged inputs; rare-event imbalance</w:t>
            </w:r>
          </w:p>
        </w:tc>
      </w:tr>
    </w:tbl>
    <w:bookmarkEnd w:id="27"/>
    <w:bookmarkStart w:id="28" w:name="Xeed26b6b2e1df04a5e1c5465fbfa9fb1b285c69"/>
    <w:p>
      <w:pPr>
        <w:pStyle w:val="Heading3"/>
      </w:pPr>
      <w:r>
        <w:t xml:space="preserve">Additional references for the List of References (UTS APA 7th)</w:t>
      </w:r>
    </w:p>
    <w:p>
      <w:pPr>
        <w:pStyle w:val="FirstParagraph"/>
      </w:pPr>
      <w:r>
        <w:t xml:space="preserve">Bai, S., Kolter, J. Z., &amp; Koltun, V. (2018).</w:t>
      </w:r>
      <w:r>
        <w:t xml:space="preserve"> </w:t>
      </w:r>
      <w:r>
        <w:rPr>
          <w:iCs/>
          <w:i/>
        </w:rPr>
        <w:t xml:space="preserve">An empirical evaluation of generic convolutional and recurrent networks for sequence modeling</w:t>
      </w:r>
      <w:r>
        <w:t xml:space="preserve"> </w:t>
      </w:r>
      <w:r>
        <w:t xml:space="preserve">(arXiv:1803.01271). arXiv. https://arxiv.org/abs/1803.01271 [verify]</w:t>
      </w:r>
    </w:p>
    <w:p>
      <w:pPr>
        <w:pStyle w:val="BodyText"/>
      </w:pPr>
      <w:r>
        <w:t xml:space="preserve">Cho, K., van Merriënboer, B., Gulcehre, C., Bahdanau, D., Bougares, F., Schwenk, H., &amp; Bengio, Y. (2014). Learning phrase representations using RNN encoder-decoder for statistical machine translation.</w:t>
      </w:r>
      <w:r>
        <w:t xml:space="preserve"> </w:t>
      </w:r>
      <w:r>
        <w:rPr>
          <w:iCs/>
          <w:i/>
        </w:rPr>
        <w:t xml:space="preserve">Proceedings of EMNLP 2014</w:t>
      </w:r>
      <w:r>
        <w:t xml:space="preserve">, 1724-1734. [verify]</w:t>
      </w:r>
    </w:p>
    <w:p>
      <w:pPr>
        <w:pStyle w:val="BodyText"/>
      </w:pPr>
      <w:r>
        <w:t xml:space="preserve">Frame, J. M., Kratzert, F., Klotz, D., Gauch, M., Shalev, G., Gilon, O., Qualls, L. M., Gupta, H. V., &amp; Nearing, G. S. (2022). Deep learning rainfall-runoff predictions of extreme events.</w:t>
      </w:r>
      <w:r>
        <w:t xml:space="preserve"> </w:t>
      </w:r>
      <w:r>
        <w:rPr>
          <w:iCs/>
          <w:i/>
        </w:rPr>
        <w:t xml:space="preserve">Hydrology and Earth System Sciences, 26</w:t>
      </w:r>
      <w:r>
        <w:t xml:space="preserve">(13), 3377-3392. https://doi.org/10.5194/hess-26-3377-2022</w:t>
      </w:r>
    </w:p>
    <w:p>
      <w:pPr>
        <w:pStyle w:val="BodyText"/>
      </w:pPr>
      <w:r>
        <w:t xml:space="preserve">Gauch, M., Kratzert, F., Klotz, D., Nearing, G., Lin, J., &amp; Hochreiter, S. (2021). Rainfall-runoff prediction at multiple timescales with a single long short-term memory network.</w:t>
      </w:r>
      <w:r>
        <w:t xml:space="preserve"> </w:t>
      </w:r>
      <w:r>
        <w:rPr>
          <w:iCs/>
          <w:i/>
        </w:rPr>
        <w:t xml:space="preserve">Hydrology and Earth System Sciences, 25</w:t>
      </w:r>
      <w:r>
        <w:t xml:space="preserve">(4), 2045-2062. https://doi.org/10.5194/hess-25-2045-2021</w:t>
      </w:r>
    </w:p>
    <w:p>
      <w:pPr>
        <w:pStyle w:val="BodyText"/>
      </w:pPr>
      <w:r>
        <w:t xml:space="preserve">Hochreiter, S., &amp; Schmidhuber, J. (1997). Long short-term memory.</w:t>
      </w:r>
      <w:r>
        <w:t xml:space="preserve"> </w:t>
      </w:r>
      <w:r>
        <w:rPr>
          <w:iCs/>
          <w:i/>
        </w:rPr>
        <w:t xml:space="preserve">Neural Computation, 9</w:t>
      </w:r>
      <w:r>
        <w:t xml:space="preserve">(8), 1735-1780. [verify]</w:t>
      </w:r>
    </w:p>
    <w:p>
      <w:pPr>
        <w:pStyle w:val="BodyText"/>
      </w:pPr>
      <w:r>
        <w:t xml:space="preserve">Kratzert, F., Klotz, D., Brenner, C., Schulz, K., &amp; Herrnegger, M. (2018). Rainfall-runoff modelling using long short-term memory (LSTM) networks.</w:t>
      </w:r>
      <w:r>
        <w:t xml:space="preserve"> </w:t>
      </w:r>
      <w:r>
        <w:rPr>
          <w:iCs/>
          <w:i/>
        </w:rPr>
        <w:t xml:space="preserve">Hydrology and Earth System Sciences, 22</w:t>
      </w:r>
      <w:r>
        <w:t xml:space="preserve">(11), 6005-6022. https://doi.org/10.5194/hess-22-6005-2018 [verify]</w:t>
      </w:r>
    </w:p>
    <w:p>
      <w:pPr>
        <w:pStyle w:val="BodyText"/>
      </w:pPr>
      <w:r>
        <w:t xml:space="preserve">Kratzert, F., Klotz, D., Herrnegger, M., Sampson, A. K., Hochreiter, S., &amp; Nearing, G. S. (2019). Toward improved predictions in ungauged basins: Exploiting the power of machine learning.</w:t>
      </w:r>
      <w:r>
        <w:t xml:space="preserve"> </w:t>
      </w:r>
      <w:r>
        <w:rPr>
          <w:iCs/>
          <w:i/>
        </w:rPr>
        <w:t xml:space="preserve">Water Resources Research, 55</w:t>
      </w:r>
      <w:r>
        <w:t xml:space="preserve">(12), 11344-11354. https://doi.org/10.1029/2019WR026065</w:t>
      </w:r>
    </w:p>
    <w:p>
      <w:pPr>
        <w:pStyle w:val="BodyText"/>
      </w:pPr>
      <w:r>
        <w:t xml:space="preserve">Lim, B., Arık, S. Ö., Loeff, N., &amp; Pfister, T. (2021). Temporal Fusion Transformers for interpretable multi-horizon time series forecasting.</w:t>
      </w:r>
      <w:r>
        <w:t xml:space="preserve"> </w:t>
      </w:r>
      <w:r>
        <w:rPr>
          <w:iCs/>
          <w:i/>
        </w:rPr>
        <w:t xml:space="preserve">International Journal of Forecasting, 37</w:t>
      </w:r>
      <w:r>
        <w:t xml:space="preserve">(4), 1748-1764. [verify]</w:t>
      </w:r>
    </w:p>
    <w:p>
      <w:pPr>
        <w:pStyle w:val="BodyText"/>
      </w:pPr>
      <w:r>
        <w:t xml:space="preserve">Nearing, G., Cohen, D., Dube, V., Gauch, M., Gilon, O., Harrigan, S., Hassidim, A., Klotz, D., Kratzert, F., Metzger, A., Nevo, S., Pappenberger, F., Prudhomme, C., Shalev, G., Shenzis, S., Tekalign, T. Y., Weitzner, D., &amp; Matias, Y. (2024). Global prediction of extreme floods in ungauged watersheds.</w:t>
      </w:r>
      <w:r>
        <w:t xml:space="preserve"> </w:t>
      </w:r>
      <w:r>
        <w:rPr>
          <w:iCs/>
          <w:i/>
        </w:rPr>
        <w:t xml:space="preserve">Nature, 627</w:t>
      </w:r>
      <w:r>
        <w:t xml:space="preserve">, 559-563. https://doi.org/10.1038/s41586-024-07145-1</w:t>
      </w:r>
    </w:p>
    <w:p>
      <w:pPr>
        <w:pStyle w:val="BodyText"/>
      </w:pPr>
      <w:r>
        <w:t xml:space="preserve">Sundararajan, M., Taly, A., &amp; Yan, Q. (2017). Axiomatic attribution for deep networks.</w:t>
      </w:r>
      <w:r>
        <w:t xml:space="preserve"> </w:t>
      </w:r>
      <w:r>
        <w:rPr>
          <w:iCs/>
          <w:i/>
        </w:rPr>
        <w:t xml:space="preserve">Proceedings of the 34th International Conference on Machine Learning, 70</w:t>
      </w:r>
      <w:r>
        <w:t xml:space="preserve">, 3319-3328. [verify]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pPr>
      <w:spacing w:after="180" w:before="180"/>
    </w:pPr>
    <w:qFormat/>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rFonts w:ascii="Times New Roman" w:hAnsi="Times New Roman"/>
      <w:b/>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color w:val="008000"/>
      <w:rFonts w:ascii="Times New Roman" w:hAnsi="Times New Roman"/>
      <w:b/>
    </w:rPr>
  </w:style>
  <w:style w:type="character" w:customStyle="1" w:styleId="CommentTok">
    <w:name w:val="CommentTok"/>
    <w:basedOn w:val="VerbatimChar"/>
    <w:rPr>
      <w:color w:val="60a0b0"/>
      <w:rFonts w:ascii="Times New Roman" w:hAnsi="Times New Roman"/>
      <w:i/>
    </w:rPr>
  </w:style>
  <w:style w:type="character" w:customStyle="1" w:styleId="DocumentationTok">
    <w:name w:val="DocumentationTok"/>
    <w:basedOn w:val="VerbatimChar"/>
    <w:rPr>
      <w:color w:val="ba2121"/>
      <w:rFonts w:ascii="Times New Roman" w:hAnsi="Times New Roman"/>
      <w:i/>
    </w:rPr>
  </w:style>
  <w:style w:type="character" w:customStyle="1" w:styleId="AnnotationTok">
    <w:name w:val="AnnotationTok"/>
    <w:basedOn w:val="VerbatimChar"/>
    <w:rPr>
      <w:color w:val="60a0b0"/>
      <w:rFonts w:ascii="Times New Roman" w:hAnsi="Times New Roman"/>
      <w:b/>
      <w:i/>
    </w:rPr>
  </w:style>
  <w:style w:type="character" w:customStyle="1" w:styleId="CommentVarTok">
    <w:name w:val="CommentVarTok"/>
    <w:basedOn w:val="VerbatimChar"/>
    <w:rPr>
      <w:color w:val="60a0b0"/>
      <w:rFonts w:ascii="Times New Roman" w:hAnsi="Times New Roman"/>
      <w:b/>
      <w:i/>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color w:val="007020"/>
      <w:rFonts w:ascii="Times New Roman" w:hAnsi="Times New Roman"/>
      <w:b/>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color w:val="60a0b0"/>
      <w:rFonts w:ascii="Times New Roman" w:hAnsi="Times New Roman"/>
      <w:b/>
      <w:i/>
    </w:rPr>
  </w:style>
  <w:style w:type="character" w:customStyle="1" w:styleId="WarningTok">
    <w:name w:val="WarningTok"/>
    <w:basedOn w:val="VerbatimChar"/>
    <w:rPr>
      <w:color w:val="60a0b0"/>
      <w:rFonts w:ascii="Times New Roman" w:hAnsi="Times New Roman"/>
      <w:b/>
      <w:i/>
    </w:rPr>
  </w:style>
  <w:style w:type="character" w:customStyle="1" w:styleId="AlertTok">
    <w:name w:val="AlertTok"/>
    <w:basedOn w:val="VerbatimChar"/>
    <w:rPr>
      <w:color w:val="ff0000"/>
      <w:rFonts w:ascii="Times New Roman" w:hAnsi="Times New Roman"/>
      <w:b/>
    </w:rPr>
  </w:style>
  <w:style w:type="character" w:customStyle="1" w:styleId="ErrorTok">
    <w:name w:val="ErrorTok"/>
    <w:basedOn w:val="VerbatimChar"/>
    <w:rPr>
      <w:color w:val="ff0000"/>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B: Sequential model — draft section for the AT2 report</dc:title>
  <dc:creator/>
  <cp:keywords/>
  <dcterms:created xsi:type="dcterms:W3CDTF">2026-10-16T09:32:23Z</dcterms:created>
  <dcterms:modified xsi:type="dcterms:W3CDTF">2026-10-16T09:32:23Z</dcterms:modified>
</cp:coreProperties>
</file>

<file path=docProps/custom.xml><?xml version="1.0" encoding="utf-8"?>
<Properties xmlns="http://schemas.openxmlformats.org/officeDocument/2006/custom-properties" xmlns:vt="http://schemas.openxmlformats.org/officeDocument/2006/docPropsVTypes"/>
</file>