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Proposal</w:t>
      </w:r>
      <w:r>
        <w:t xml:space="preserve"> </w:t>
      </w:r>
      <w:r>
        <w:t xml:space="preserve">—</w:t>
      </w:r>
      <w:r>
        <w:t xml:space="preserve"> </w:t>
      </w:r>
      <w:r>
        <w:t xml:space="preserve">draft</w:t>
      </w:r>
      <w:r>
        <w:t xml:space="preserve"> </w:t>
      </w:r>
      <w:r>
        <w:t xml:space="preserve">sections</w:t>
      </w:r>
      <w:r>
        <w:t xml:space="preserve"> </w:t>
      </w:r>
      <w:r>
        <w:t xml:space="preserve">for</w:t>
      </w:r>
      <w:r>
        <w:t xml:space="preserve"> </w:t>
      </w:r>
      <w:r>
        <w:t xml:space="preserve">the</w:t>
      </w:r>
      <w:r>
        <w:t xml:space="preserve"> </w:t>
      </w:r>
      <w:r>
        <w:t xml:space="preserve">AT2</w:t>
      </w:r>
      <w:r>
        <w:t xml:space="preserve"> </w:t>
      </w:r>
      <w:r>
        <w:t xml:space="preserve">report</w:t>
      </w:r>
      <w:r>
        <w:t xml:space="preserve"> </w:t>
      </w:r>
      <w:r>
        <w:t xml:space="preserve">(v2:</w:t>
      </w:r>
      <w:r>
        <w:t xml:space="preserve"> </w:t>
      </w:r>
      <w:r>
        <w:t xml:space="preserve">8</w:t>
      </w:r>
      <w:r>
        <w:t xml:space="preserve"> </w:t>
      </w:r>
      <w:r>
        <w:t xml:space="preserve">weeks,</w:t>
      </w:r>
      <w:r>
        <w:t xml:space="preserve"> </w:t>
      </w:r>
      <w:r>
        <w:t xml:space="preserve">3</w:t>
      </w:r>
      <w:r>
        <w:t xml:space="preserve"> </w:t>
      </w:r>
      <w:r>
        <w:t xml:space="preserve">members)</w:t>
      </w:r>
    </w:p>
    <w:p>
      <w:pPr>
        <w:pStyle w:val="FirstParagraph"/>
      </w:pPr>
      <w:r>
        <w:rPr>
          <w:iCs/>
          <w:i/>
        </w:rPr>
        <w:t xml:space="preserve">Replaces the guidance text under each Project Proposal heading. Task IDs (T1 to T7), objectives (O1 to O4) and requirement IDs (FR, NFR, SR) follow the existing draft. Items in [brackets] are assumptions the team must confirm.</w:t>
      </w:r>
    </w:p>
    <w:bookmarkStart w:id="32" w:name="project-proposal"/>
    <w:p>
      <w:pPr>
        <w:pStyle w:val="Heading2"/>
      </w:pPr>
      <w:r>
        <w:t xml:space="preserve">Project Proposal</w:t>
      </w:r>
    </w:p>
    <w:bookmarkStart w:id="20" w:name="project-aims-and-objectives"/>
    <w:p>
      <w:pPr>
        <w:pStyle w:val="Heading3"/>
      </w:pPr>
      <w:r>
        <w:t xml:space="preserve">Project aims and Objectives</w:t>
      </w:r>
    </w:p>
    <w:p>
      <w:pPr>
        <w:pStyle w:val="FirstParagraph"/>
      </w:pPr>
      <w:r>
        <w:rPr>
          <w:bCs/>
          <w:b/>
        </w:rPr>
        <w:t xml:space="preserve">Aim.</w:t>
      </w:r>
      <w:r>
        <w:t xml:space="preserve"> </w:t>
      </w:r>
      <w:r>
        <w:t xml:space="preserve">To build and compare, within 8 weeks, three AI predictors that estimate for each catchment in selected NSW river valleys the probability that a flash flood occurs within the next 6 hours, and to recommend the best one for use in a controller-approved alert workflow.</w:t>
      </w:r>
    </w:p>
    <w:p>
      <w:pPr>
        <w:pStyle w:val="BodyText"/>
      </w:pPr>
      <w:r>
        <w:t xml:space="preserve">The aim serves the business objective set out in the Business context: closing the operational blindspot between coarse weather models and valley-scale flooding, so that lead time, local precision and public trust improve together.</w:t>
      </w:r>
    </w:p>
    <w:p>
      <w:pPr>
        <w:pStyle w:val="BodyText"/>
      </w:pPr>
      <w:r>
        <w:t xml:space="preserve">All three candidates produce the same output:</w:t>
      </w:r>
      <w:r>
        <w:t xml:space="preserve"> </w:t>
      </w:r>
      <w:r>
        <w:rPr>
          <w:bCs/>
          <w:b/>
        </w:rPr>
        <w:t xml:space="preserve">one probability per catchment for the next 6 hours</w:t>
      </w:r>
      <w:r>
        <w:t xml:space="preserve">. Their inputs and training set-ups differ because each technique needs a different representation of the same sources (Table 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Objective</w:t>
            </w:r>
          </w:p>
        </w:tc>
        <w:tc>
          <w:tcPr/>
          <w:p>
            <w:pPr>
              <w:pStyle w:val="Compact"/>
              <w:jc w:val="left"/>
            </w:pPr>
            <w:r>
              <w:t xml:space="preserve">Measure of success</w:t>
            </w:r>
          </w:p>
        </w:tc>
        <w:tc>
          <w:tcPr/>
          <w:p>
            <w:pPr>
              <w:pStyle w:val="Compact"/>
              <w:jc w:val="left"/>
            </w:pPr>
            <w:r>
              <w:t xml:space="preserve">Requirements</w:t>
            </w:r>
          </w:p>
        </w:tc>
      </w:tr>
      <w:tr>
        <w:tc>
          <w:tcPr/>
          <w:p>
            <w:pPr>
              <w:pStyle w:val="Compact"/>
              <w:jc w:val="left"/>
            </w:pPr>
            <w:r>
              <w:t xml:space="preserve">O1</w:t>
            </w:r>
          </w:p>
        </w:tc>
        <w:tc>
          <w:tcPr/>
          <w:p>
            <w:pPr>
              <w:pStyle w:val="Compact"/>
              <w:jc w:val="left"/>
            </w:pPr>
            <w:r>
              <w:t xml:space="preserve">Build a shared event dataset and a common test table of cases, each defined by catchment, issue time and label, with one train/validation/test split by event and the 2022 Lismore flood held out</w:t>
            </w:r>
          </w:p>
        </w:tc>
        <w:tc>
          <w:tcPr/>
          <w:p>
            <w:pPr>
              <w:pStyle w:val="Compact"/>
              <w:jc w:val="left"/>
            </w:pPr>
            <w:r>
              <w:t xml:space="preserve">Test table and split signed off by all three members by the end of week 2; data sources and licences documented</w:t>
            </w:r>
          </w:p>
        </w:tc>
        <w:tc>
          <w:tcPr/>
          <w:p>
            <w:pPr>
              <w:pStyle w:val="Compact"/>
              <w:jc w:val="left"/>
            </w:pPr>
            <w:r>
              <w:t xml:space="preserve">FR-2</w:t>
            </w:r>
          </w:p>
        </w:tc>
      </w:tr>
      <w:tr>
        <w:tc>
          <w:tcPr/>
          <w:p>
            <w:pPr>
              <w:pStyle w:val="Compact"/>
              <w:jc w:val="left"/>
            </w:pPr>
            <w:r>
              <w:t xml:space="preserve">O2</w:t>
            </w:r>
          </w:p>
        </w:tc>
        <w:tc>
          <w:tcPr/>
          <w:p>
            <w:pPr>
              <w:pStyle w:val="Compact"/>
              <w:jc w:val="left"/>
            </w:pPr>
            <w:r>
              <w:t xml:space="preserve">Develop three candidate predictors of the shared target: computer vision (A), sequential model (B), foundation model (C)</w:t>
            </w:r>
          </w:p>
        </w:tc>
        <w:tc>
          <w:tcPr/>
          <w:p>
            <w:pPr>
              <w:pStyle w:val="Compact"/>
              <w:jc w:val="left"/>
            </w:pPr>
            <w:r>
              <w:t xml:space="preserve">Each outputs a 6-hour probability per test case, needs no river gauge as input, and reports its main drivers</w:t>
            </w:r>
          </w:p>
        </w:tc>
        <w:tc>
          <w:tcPr/>
          <w:p>
            <w:pPr>
              <w:pStyle w:val="Compact"/>
              <w:jc w:val="left"/>
            </w:pPr>
            <w:r>
              <w:t xml:space="preserve">FR-1, FR-3, FR-4, NFR-1</w:t>
            </w:r>
          </w:p>
        </w:tc>
      </w:tr>
      <w:tr>
        <w:tc>
          <w:tcPr/>
          <w:p>
            <w:pPr>
              <w:pStyle w:val="Compact"/>
              <w:jc w:val="left"/>
            </w:pPr>
            <w:r>
              <w:t xml:space="preserve">O3</w:t>
            </w:r>
          </w:p>
        </w:tc>
        <w:tc>
          <w:tcPr/>
          <w:p>
            <w:pPr>
              <w:pStyle w:val="Compact"/>
              <w:jc w:val="left"/>
            </w:pPr>
            <w:r>
              <w:t xml:space="preserve">Compare the candidates on the same held-out test cases</w:t>
            </w:r>
          </w:p>
        </w:tc>
        <w:tc>
          <w:tcPr/>
          <w:p>
            <w:pPr>
              <w:pStyle w:val="Compact"/>
              <w:jc w:val="left"/>
            </w:pPr>
            <w:r>
              <w:t xml:space="preserve">Recall, false alarm ratio, warning lead time and probability quality (Brier score) reported for each candidate and for a rainfall-threshold baseline, plus each candidate’s own diagnostics</w:t>
            </w:r>
          </w:p>
        </w:tc>
        <w:tc>
          <w:tcPr/>
          <w:p>
            <w:pPr>
              <w:pStyle w:val="Compact"/>
              <w:jc w:val="left"/>
            </w:pPr>
            <w:r>
              <w:t xml:space="preserve">SR-2</w:t>
            </w:r>
          </w:p>
        </w:tc>
      </w:tr>
      <w:tr>
        <w:tc>
          <w:tcPr/>
          <w:p>
            <w:pPr>
              <w:pStyle w:val="Compact"/>
              <w:jc w:val="left"/>
            </w:pPr>
            <w:r>
              <w:t xml:space="preserve">O4</w:t>
            </w:r>
          </w:p>
        </w:tc>
        <w:tc>
          <w:tcPr/>
          <w:p>
            <w:pPr>
              <w:pStyle w:val="Compact"/>
              <w:jc w:val="left"/>
            </w:pPr>
            <w:r>
              <w:t xml:space="preserve">Select the best candidate (or a combination, only if it beats the best single model) and specify an alert decision rule with human sign-off, tested by replaying held-out events</w:t>
            </w:r>
          </w:p>
        </w:tc>
        <w:tc>
          <w:tcPr/>
          <w:p>
            <w:pPr>
              <w:pStyle w:val="Compact"/>
              <w:jc w:val="left"/>
            </w:pPr>
            <w:r>
              <w:t xml:space="preserve">Recall and lead time better than the rainfall-threshold baseline at an equal or lower false alarm ratio [target values to be agreed]; every public alert requires controller approval in the specified workflow</w:t>
            </w:r>
          </w:p>
        </w:tc>
        <w:tc>
          <w:tcPr/>
          <w:p>
            <w:pPr>
              <w:pStyle w:val="Compact"/>
              <w:jc w:val="left"/>
            </w:pPr>
            <w:r>
              <w:t xml:space="preserve">FR-4, SR-1, SR-2</w:t>
            </w:r>
          </w:p>
        </w:tc>
      </w:tr>
    </w:tbl>
    <w:bookmarkEnd w:id="20"/>
    <w:bookmarkStart w:id="21" w:name="methodology"/>
    <w:p>
      <w:pPr>
        <w:pStyle w:val="Heading3"/>
      </w:pPr>
      <w:r>
        <w:t xml:space="preserve">Methodology</w:t>
      </w:r>
    </w:p>
    <w:p>
      <w:pPr>
        <w:pStyle w:val="FirstParagraph"/>
      </w:pPr>
      <w:r>
        <w:t xml:space="preserve">The project runs for</w:t>
      </w:r>
      <w:r>
        <w:t xml:space="preserve"> </w:t>
      </w:r>
      <w:r>
        <w:rPr>
          <w:bCs/>
          <w:b/>
        </w:rPr>
        <w:t xml:space="preserve">8 weeks</w:t>
      </w:r>
      <w:r>
        <w:t xml:space="preserve"> </w:t>
      </w:r>
      <w:r>
        <w:t xml:space="preserve">with three team members. Tasks T2 to T4 run in parallel because the candidates are independent until the common evaluation in T5.</w:t>
      </w:r>
    </w:p>
    <w:p>
      <w:pPr>
        <w:pStyle w:val="BodyText"/>
      </w:pPr>
      <w:r>
        <w:rPr>
          <w:bCs/>
          <w:b/>
        </w:rPr>
        <w:t xml:space="preserve">Table 3.</w:t>
      </w:r>
      <w:r>
        <w:t xml:space="preserve"> </w:t>
      </w:r>
      <w:r>
        <w:t xml:space="preserve">Project tasks, time allocation and milestones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Task</w:t>
            </w:r>
          </w:p>
        </w:tc>
        <w:tc>
          <w:tcPr/>
          <w:p>
            <w:pPr>
              <w:pStyle w:val="Compact"/>
              <w:jc w:val="left"/>
            </w:pPr>
            <w:r>
              <w:t xml:space="preserve">Description and expected result</w:t>
            </w:r>
          </w:p>
        </w:tc>
        <w:tc>
          <w:tcPr/>
          <w:p>
            <w:pPr>
              <w:pStyle w:val="Compact"/>
              <w:jc w:val="left"/>
            </w:pPr>
            <w:r>
              <w:t xml:space="preserve">Weeks</w:t>
            </w:r>
          </w:p>
        </w:tc>
        <w:tc>
          <w:tcPr/>
          <w:p>
            <w:pPr>
              <w:pStyle w:val="Compact"/>
              <w:jc w:val="left"/>
            </w:pPr>
            <w:r>
              <w:t xml:space="preserve">Milestone</w:t>
            </w:r>
          </w:p>
        </w:tc>
        <w:tc>
          <w:tcPr/>
          <w:p>
            <w:pPr>
              <w:pStyle w:val="Compact"/>
              <w:jc w:val="left"/>
            </w:pPr>
            <w:r>
              <w:t xml:space="preserve">Objective</w:t>
            </w:r>
          </w:p>
        </w:tc>
      </w:tr>
      <w:tr>
        <w:tc>
          <w:tcPr/>
          <w:p>
            <w:pPr>
              <w:pStyle w:val="Compact"/>
              <w:jc w:val="left"/>
            </w:pPr>
            <w:r>
              <w:t xml:space="preserve">T1</w:t>
            </w:r>
          </w:p>
        </w:tc>
        <w:tc>
          <w:tcPr/>
          <w:p>
            <w:pPr>
              <w:pStyle w:val="Compact"/>
              <w:jc w:val="left"/>
            </w:pPr>
            <w:r>
              <w:rPr>
                <w:bCs/>
                <w:b/>
              </w:rPr>
              <w:t xml:space="preserve">Shared dataset and test table.</w:t>
            </w:r>
            <w:r>
              <w:t xml:space="preserve"> </w:t>
            </w:r>
            <w:r>
              <w:t xml:space="preserve">Choose a small study area [one or two NSW valleys, to confirm]; assemble event labels and the common inputs (radar or gridded rainfall, rain gauges, soil, terrain, land cover); agree data licences; fix the split by event; build the test table (catchment, hourly issue time, label). All inputs for a test case use only data available before its issue time (for soil wetness, the previous day’s value, so that no rain from after the issue time is included). Each test case must have at least 72 hours of input data before its issue time, and events are separated by at least 78 hours (72 h history plus the 6 h label window) so that no history window crosses the split.</w:t>
            </w:r>
          </w:p>
        </w:tc>
        <w:tc>
          <w:tcPr/>
          <w:p>
            <w:pPr>
              <w:pStyle w:val="Compact"/>
              <w:jc w:val="left"/>
            </w:pPr>
            <w:r>
              <w:t xml:space="preserve">1 to 2</w:t>
            </w:r>
          </w:p>
        </w:tc>
        <w:tc>
          <w:tcPr/>
          <w:p>
            <w:pPr>
              <w:pStyle w:val="Compact"/>
              <w:jc w:val="left"/>
            </w:pPr>
            <w:r>
              <w:t xml:space="preserve">M1: test table and split signed off</w:t>
            </w:r>
          </w:p>
        </w:tc>
        <w:tc>
          <w:tcPr/>
          <w:p>
            <w:pPr>
              <w:pStyle w:val="Compact"/>
              <w:jc w:val="left"/>
            </w:pPr>
            <w:r>
              <w:t xml:space="preserve">O1</w:t>
            </w:r>
          </w:p>
        </w:tc>
      </w:tr>
      <w:tr>
        <w:tc>
          <w:tcPr/>
          <w:p>
            <w:pPr>
              <w:pStyle w:val="Compact"/>
              <w:jc w:val="left"/>
            </w:pPr>
            <w:r>
              <w:t xml:space="preserve">T2</w:t>
            </w:r>
          </w:p>
        </w:tc>
        <w:tc>
          <w:tcPr/>
          <w:p>
            <w:pPr>
              <w:pStyle w:val="Compact"/>
              <w:jc w:val="left"/>
            </w:pPr>
            <w:r>
              <w:rPr>
                <w:bCs/>
                <w:b/>
              </w:rPr>
              <w:t xml:space="preserve">Candidate A, computer vision.</w:t>
            </w:r>
            <w:r>
              <w:t xml:space="preserve"> </w:t>
            </w:r>
            <w:r>
              <w:t xml:space="preserve">Build 10-channel tiles for each issue time and train the CNN. Result: model and probabilities</w:t>
            </w:r>
          </w:p>
        </w:tc>
        <w:tc>
          <w:tcPr/>
          <w:p>
            <w:pPr>
              <w:pStyle w:val="Compact"/>
              <w:jc w:val="left"/>
            </w:pPr>
            <w:r>
              <w:t xml:space="preserve">3 to 5</w:t>
            </w:r>
          </w:p>
        </w:tc>
        <w:tc>
          <w:tcPr/>
          <w:p>
            <w:pPr>
              <w:pStyle w:val="Compact"/>
              <w:jc w:val="left"/>
            </w:pPr>
            <w:r>
              <w:t xml:space="preserve">M2: all candidates give probabilities on the validation set (end of week 5)</w:t>
            </w:r>
          </w:p>
        </w:tc>
        <w:tc>
          <w:tcPr/>
          <w:p>
            <w:pPr>
              <w:pStyle w:val="Compact"/>
              <w:jc w:val="left"/>
            </w:pPr>
            <w:r>
              <w:t xml:space="preserve">O2</w:t>
            </w:r>
          </w:p>
        </w:tc>
      </w:tr>
      <w:tr>
        <w:tc>
          <w:tcPr/>
          <w:p>
            <w:pPr>
              <w:pStyle w:val="Compact"/>
              <w:jc w:val="left"/>
            </w:pPr>
            <w:r>
              <w:t xml:space="preserve">T3</w:t>
            </w:r>
          </w:p>
        </w:tc>
        <w:tc>
          <w:tcPr/>
          <w:p>
            <w:pPr>
              <w:pStyle w:val="Compact"/>
              <w:jc w:val="left"/>
            </w:pPr>
            <w:r>
              <w:rPr>
                <w:bCs/>
                <w:b/>
              </w:rPr>
              <w:t xml:space="preserve">Candidate B, sequential model.</w:t>
            </w:r>
            <w:r>
              <w:t xml:space="preserve"> </w:t>
            </w:r>
            <w:r>
              <w:t xml:space="preserve">Build 72-hour hourly sequences before each issue time and train the LSTM. Result: model and probabilities</w:t>
            </w:r>
          </w:p>
        </w:tc>
        <w:tc>
          <w:tcPr/>
          <w:p>
            <w:pPr>
              <w:pStyle w:val="Compact"/>
              <w:jc w:val="left"/>
            </w:pPr>
            <w:r>
              <w:t xml:space="preserve">3 to 5</w:t>
            </w:r>
          </w:p>
        </w:tc>
        <w:tc>
          <w:tcPr/>
          <w:p>
            <w:pPr>
              <w:pStyle w:val="Compact"/>
              <w:jc w:val="left"/>
            </w:pPr>
            <w:r>
              <w:t xml:space="preserve">M2</w:t>
            </w:r>
          </w:p>
        </w:tc>
        <w:tc>
          <w:tcPr/>
          <w:p>
            <w:pPr>
              <w:pStyle w:val="Compact"/>
              <w:jc w:val="left"/>
            </w:pPr>
            <w:r>
              <w:t xml:space="preserve">O2</w:t>
            </w:r>
          </w:p>
        </w:tc>
      </w:tr>
      <w:tr>
        <w:tc>
          <w:tcPr/>
          <w:p>
            <w:pPr>
              <w:pStyle w:val="Compact"/>
              <w:jc w:val="left"/>
            </w:pPr>
            <w:r>
              <w:t xml:space="preserve">T4</w:t>
            </w:r>
          </w:p>
        </w:tc>
        <w:tc>
          <w:tcPr/>
          <w:p>
            <w:pPr>
              <w:pStyle w:val="Compact"/>
              <w:jc w:val="left"/>
            </w:pPr>
            <w:r>
              <w:rPr>
                <w:bCs/>
                <w:b/>
              </w:rPr>
              <w:t xml:space="preserve">Candidate C, foundation model.</w:t>
            </w:r>
            <w:r>
              <w:t xml:space="preserve"> </w:t>
            </w:r>
            <w:r>
              <w:t xml:space="preserve">Fine-tune a pretrained geospatial or weather model on the same labels with light fine-tuning to fit the time available. Result: model and probabilities</w:t>
            </w:r>
          </w:p>
        </w:tc>
        <w:tc>
          <w:tcPr/>
          <w:p>
            <w:pPr>
              <w:pStyle w:val="Compact"/>
              <w:jc w:val="left"/>
            </w:pPr>
            <w:r>
              <w:t xml:space="preserve">3 to 5</w:t>
            </w:r>
          </w:p>
        </w:tc>
        <w:tc>
          <w:tcPr/>
          <w:p>
            <w:pPr>
              <w:pStyle w:val="Compact"/>
              <w:jc w:val="left"/>
            </w:pPr>
            <w:r>
              <w:t xml:space="preserve">M2</w:t>
            </w:r>
          </w:p>
        </w:tc>
        <w:tc>
          <w:tcPr/>
          <w:p>
            <w:pPr>
              <w:pStyle w:val="Compact"/>
              <w:jc w:val="left"/>
            </w:pPr>
            <w:r>
              <w:t xml:space="preserve">O2</w:t>
            </w:r>
          </w:p>
        </w:tc>
      </w:tr>
      <w:tr>
        <w:tc>
          <w:tcPr/>
          <w:p>
            <w:pPr>
              <w:pStyle w:val="Compact"/>
              <w:jc w:val="left"/>
            </w:pPr>
            <w:r>
              <w:t xml:space="preserve">T5</w:t>
            </w:r>
          </w:p>
        </w:tc>
        <w:tc>
          <w:tcPr/>
          <w:p>
            <w:pPr>
              <w:pStyle w:val="Compact"/>
              <w:jc w:val="left"/>
            </w:pPr>
            <w:r>
              <w:rPr>
                <w:bCs/>
                <w:b/>
              </w:rPr>
              <w:t xml:space="preserve">Common evaluation.</w:t>
            </w:r>
            <w:r>
              <w:t xml:space="preserve"> </w:t>
            </w:r>
            <w:r>
              <w:t xml:space="preserve">Run all candidates and baselines on the same test table; compute the shared metrics; run candidate-specific diagnostics; test whether a combination beats the best single model. Result: filled technique comparison table</w:t>
            </w:r>
          </w:p>
        </w:tc>
        <w:tc>
          <w:tcPr/>
          <w:p>
            <w:pPr>
              <w:pStyle w:val="Compact"/>
              <w:jc w:val="left"/>
            </w:pPr>
            <w:r>
              <w:t xml:space="preserve">6</w:t>
            </w:r>
          </w:p>
        </w:tc>
        <w:tc>
          <w:tcPr/>
          <w:p>
            <w:pPr>
              <w:pStyle w:val="Compact"/>
              <w:jc w:val="left"/>
            </w:pPr>
            <w:r>
              <w:t xml:space="preserve">M3: comparison complete (end of week 6)</w:t>
            </w:r>
          </w:p>
        </w:tc>
        <w:tc>
          <w:tcPr/>
          <w:p>
            <w:pPr>
              <w:pStyle w:val="Compact"/>
              <w:jc w:val="left"/>
            </w:pPr>
            <w:r>
              <w:t xml:space="preserve">O3</w:t>
            </w:r>
          </w:p>
        </w:tc>
      </w:tr>
      <w:tr>
        <w:tc>
          <w:tcPr/>
          <w:p>
            <w:pPr>
              <w:pStyle w:val="Compact"/>
              <w:jc w:val="left"/>
            </w:pPr>
            <w:r>
              <w:t xml:space="preserve">T6</w:t>
            </w:r>
          </w:p>
        </w:tc>
        <w:tc>
          <w:tcPr/>
          <w:p>
            <w:pPr>
              <w:pStyle w:val="Compact"/>
              <w:jc w:val="left"/>
            </w:pPr>
            <w:r>
              <w:rPr>
                <w:bCs/>
                <w:b/>
              </w:rPr>
              <w:t xml:space="preserve">Selection and alert decision rule.</w:t>
            </w:r>
            <w:r>
              <w:t xml:space="preserve"> </w:t>
            </w:r>
            <w:r>
              <w:t xml:space="preserve">Choose the model, calibrate the probability threshold, and specify the human sign-off workflow. Result: selection decision and alert rule</w:t>
            </w:r>
          </w:p>
        </w:tc>
        <w:tc>
          <w:tcPr/>
          <w:p>
            <w:pPr>
              <w:pStyle w:val="Compact"/>
              <w:jc w:val="left"/>
            </w:pPr>
            <w:r>
              <w:t xml:space="preserve">7</w:t>
            </w:r>
          </w:p>
        </w:tc>
        <w:tc>
          <w:tcPr/>
          <w:p>
            <w:pPr>
              <w:pStyle w:val="Compact"/>
              <w:jc w:val="left"/>
            </w:pPr>
            <w:r>
              <w:t xml:space="preserve">M4: selection agreed (end of week 7)</w:t>
            </w:r>
          </w:p>
        </w:tc>
        <w:tc>
          <w:tcPr/>
          <w:p>
            <w:pPr>
              <w:pStyle w:val="Compact"/>
              <w:jc w:val="left"/>
            </w:pPr>
            <w:r>
              <w:t xml:space="preserve">O4</w:t>
            </w:r>
          </w:p>
        </w:tc>
      </w:tr>
      <w:tr>
        <w:tc>
          <w:tcPr/>
          <w:p>
            <w:pPr>
              <w:pStyle w:val="Compact"/>
              <w:jc w:val="left"/>
            </w:pPr>
            <w:r>
              <w:t xml:space="preserve">T7</w:t>
            </w:r>
          </w:p>
        </w:tc>
        <w:tc>
          <w:tcPr/>
          <w:p>
            <w:pPr>
              <w:pStyle w:val="Compact"/>
              <w:jc w:val="left"/>
            </w:pPr>
            <w:r>
              <w:rPr>
                <w:bCs/>
                <w:b/>
              </w:rPr>
              <w:t xml:space="preserve">Replay test and handover.</w:t>
            </w:r>
            <w:r>
              <w:t xml:space="preserve"> </w:t>
            </w:r>
            <w:r>
              <w:t xml:space="preserve">Replay held-out events, including Lismore 2022, hour by hour through the selected model and alert rule, and record warnings, misses and false alarms. Finish documentation. Result: replay report</w:t>
            </w:r>
          </w:p>
        </w:tc>
        <w:tc>
          <w:tcPr/>
          <w:p>
            <w:pPr>
              <w:pStyle w:val="Compact"/>
              <w:jc w:val="left"/>
            </w:pPr>
            <w:r>
              <w:t xml:space="preserve">7 to 8</w:t>
            </w:r>
          </w:p>
        </w:tc>
        <w:tc>
          <w:tcPr/>
          <w:p>
            <w:pPr>
              <w:pStyle w:val="Compact"/>
              <w:jc w:val="left"/>
            </w:pPr>
            <w:r>
              <w:t xml:space="preserve">M5: final deliverables ready (end of week 8)</w:t>
            </w:r>
          </w:p>
        </w:tc>
        <w:tc>
          <w:tcPr/>
          <w:p>
            <w:pPr>
              <w:pStyle w:val="Compact"/>
              <w:jc w:val="left"/>
            </w:pPr>
            <w:r>
              <w:t xml:space="preserve">O4</w:t>
            </w:r>
          </w:p>
        </w:tc>
      </w:tr>
    </w:tbl>
    <w:p>
      <w:pPr>
        <w:pStyle w:val="BodyText"/>
      </w:pPr>
      <w:r>
        <w:t xml:space="preserve">The set-up differs by candidate, but the test cases and output do not.</w:t>
      </w:r>
    </w:p>
    <w:p>
      <w:pPr>
        <w:pStyle w:val="BodyText"/>
      </w:pPr>
      <w:r>
        <w:rPr>
          <w:bCs/>
          <w:b/>
        </w:rPr>
        <w:t xml:space="preserve">Table 4.</w:t>
      </w:r>
      <w:r>
        <w:t xml:space="preserve"> </w:t>
      </w:r>
      <w:r>
        <w:t xml:space="preserve">Candidate-specific input set-up and diagnostics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A: Computer vision</w:t>
            </w:r>
          </w:p>
        </w:tc>
        <w:tc>
          <w:tcPr/>
          <w:p>
            <w:pPr>
              <w:pStyle w:val="Compact"/>
              <w:jc w:val="left"/>
            </w:pPr>
            <w:r>
              <w:t xml:space="preserve">B: Sequential</w:t>
            </w:r>
          </w:p>
        </w:tc>
        <w:tc>
          <w:tcPr/>
          <w:p>
            <w:pPr>
              <w:pStyle w:val="Compact"/>
              <w:jc w:val="left"/>
            </w:pPr>
            <w:r>
              <w:t xml:space="preserve">C: Foundation model</w:t>
            </w:r>
          </w:p>
        </w:tc>
      </w:tr>
      <w:tr>
        <w:tc>
          <w:tcPr/>
          <w:p>
            <w:pPr>
              <w:pStyle w:val="Compact"/>
              <w:jc w:val="left"/>
            </w:pPr>
            <w:r>
              <w:t xml:space="preserve">Input per test case</w:t>
            </w:r>
          </w:p>
        </w:tc>
        <w:tc>
          <w:tcPr/>
          <w:p>
            <w:pPr>
              <w:pStyle w:val="Compact"/>
              <w:jc w:val="left"/>
            </w:pPr>
            <w:r>
              <w:t xml:space="preserve">10-channel 64 × 64 tile at the issue time, with rain windows of 1, 3 and 6 h</w:t>
            </w:r>
          </w:p>
        </w:tc>
        <w:tc>
          <w:tcPr/>
          <w:p>
            <w:pPr>
              <w:pStyle w:val="Compact"/>
              <w:jc w:val="left"/>
            </w:pPr>
            <w:r>
              <w:t xml:space="preserve">72 hourly steps before the issue time, plus static catchment attributes</w:t>
            </w:r>
          </w:p>
        </w:tc>
        <w:tc>
          <w:tcPr/>
          <w:p>
            <w:pPr>
              <w:pStyle w:val="Compact"/>
              <w:jc w:val="left"/>
            </w:pPr>
            <w:r>
              <w:t xml:space="preserve">[Candidate C owner to define]</w:t>
            </w:r>
          </w:p>
        </w:tc>
      </w:tr>
      <w:tr>
        <w:tc>
          <w:tcPr/>
          <w:p>
            <w:pPr>
              <w:pStyle w:val="Compact"/>
              <w:jc w:val="left"/>
            </w:pPr>
            <w:r>
              <w:t xml:space="preserve">Extra data needed beyond the test case</w:t>
            </w:r>
          </w:p>
        </w:tc>
        <w:tc>
          <w:tcPr/>
          <w:p>
            <w:pPr>
              <w:pStyle w:val="Compact"/>
              <w:jc w:val="left"/>
            </w:pPr>
            <w:r>
              <w:t xml:space="preserve">The 6 hours of radar rain before the issue time over the whole 16 km tile (including land outside the catchment), the static layers for that tile, and soil wetness known before the issue time</w:t>
            </w:r>
          </w:p>
        </w:tc>
        <w:tc>
          <w:tcPr/>
          <w:p>
            <w:pPr>
              <w:pStyle w:val="Compact"/>
              <w:jc w:val="left"/>
            </w:pPr>
            <w:r>
              <w:t xml:space="preserve">72 hours of rain and soil history before each issue time, plus catchment-averaged static attributes</w:t>
            </w:r>
          </w:p>
        </w:tc>
        <w:tc>
          <w:tcPr/>
          <w:p>
            <w:pPr>
              <w:pStyle w:val="Compact"/>
              <w:jc w:val="left"/>
            </w:pPr>
            <w:r>
              <w:t xml:space="preserve">[ ]</w:t>
            </w:r>
          </w:p>
        </w:tc>
      </w:tr>
      <w:tr>
        <w:tc>
          <w:tcPr/>
          <w:p>
            <w:pPr>
              <w:pStyle w:val="Compact"/>
              <w:jc w:val="left"/>
            </w:pPr>
            <w:r>
              <w:t xml:space="preserve">Shared metrics</w:t>
            </w:r>
          </w:p>
        </w:tc>
        <w:tc>
          <w:tcPr/>
          <w:p>
            <w:pPr>
              <w:pStyle w:val="Compact"/>
              <w:jc w:val="left"/>
            </w:pPr>
            <w:r>
              <w:t xml:space="preserve">Recall, false alarm ratio, lead time, Brier score</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Own diagnostics</w:t>
            </w:r>
          </w:p>
        </w:tc>
        <w:tc>
          <w:tcPr/>
          <w:p>
            <w:pPr>
              <w:pStyle w:val="Compact"/>
              <w:jc w:val="left"/>
            </w:pPr>
            <w:r>
              <w:t xml:space="preserve">Saliency maps; error by terrain and region</w:t>
            </w:r>
          </w:p>
        </w:tc>
        <w:tc>
          <w:tcPr/>
          <w:p>
            <w:pPr>
              <w:pStyle w:val="Compact"/>
              <w:jc w:val="left"/>
            </w:pPr>
            <w:r>
              <w:t xml:space="preserve">Error by time to flood onset (within 1 to 2 h, 3 to 4 h, 5 to 6 h); influence of each past hour; ablation with a 6-hour input to separate the effect of architecture from that of longer memory</w:t>
            </w:r>
          </w:p>
        </w:tc>
        <w:tc>
          <w:tcPr/>
          <w:p>
            <w:pPr>
              <w:pStyle w:val="Compact"/>
              <w:jc w:val="left"/>
            </w:pPr>
            <w:r>
              <w:t xml:space="preserve">[ ]</w:t>
            </w:r>
          </w:p>
        </w:tc>
      </w:tr>
    </w:tbl>
    <w:bookmarkEnd w:id="21"/>
    <w:bookmarkStart w:id="22" w:name="expected-outcomes"/>
    <w:p>
      <w:pPr>
        <w:pStyle w:val="Heading3"/>
      </w:pPr>
      <w:r>
        <w:t xml:space="preserve">Expected outcomes</w:t>
      </w:r>
    </w:p>
    <w:p>
      <w:pPr>
        <w:pStyle w:val="FirstParagraph"/>
      </w:pPr>
      <w:r>
        <w:t xml:space="preserve">On completion the project delivers:</w:t>
      </w:r>
    </w:p>
    <w:p>
      <w:pPr>
        <w:numPr>
          <w:ilvl w:val="0"/>
          <w:numId w:val="1001"/>
        </w:numPr>
        <w:pStyle w:val="Compact"/>
      </w:pPr>
      <w:r>
        <w:rPr>
          <w:bCs/>
          <w:b/>
        </w:rPr>
        <w:t xml:space="preserve">A shared data package</w:t>
      </w:r>
      <w:r>
        <w:t xml:space="preserve">: the event table, the common test table (catchment, issue time, label), the split, and a datasheet stating sources, licences, labelling method and known limits.</w:t>
      </w:r>
    </w:p>
    <w:p>
      <w:pPr>
        <w:numPr>
          <w:ilvl w:val="0"/>
          <w:numId w:val="1001"/>
        </w:numPr>
        <w:pStyle w:val="Compact"/>
      </w:pPr>
      <w:r>
        <w:rPr>
          <w:bCs/>
          <w:b/>
        </w:rPr>
        <w:t xml:space="preserve">Three trained candidate models.</w:t>
      </w:r>
      <w:r>
        <w:t xml:space="preserve"> </w:t>
      </w:r>
      <w:r>
        <w:t xml:space="preserve">Each outputs one number per test case: the probability of a flash flood in the catchment within the next 6 hours. Input formats differ by candidate (Table 4).</w:t>
      </w:r>
    </w:p>
    <w:p>
      <w:pPr>
        <w:numPr>
          <w:ilvl w:val="0"/>
          <w:numId w:val="1001"/>
        </w:numPr>
        <w:pStyle w:val="Compact"/>
      </w:pPr>
      <w:r>
        <w:rPr>
          <w:bCs/>
          <w:b/>
        </w:rPr>
        <w:t xml:space="preserve">An evaluation report</w:t>
      </w:r>
      <w:r>
        <w:t xml:space="preserve"> </w:t>
      </w:r>
      <w:r>
        <w:t xml:space="preserve">with the filled technique comparison on the shared metrics, each candidate’s own diagnostics, results by region, and the selection decision.</w:t>
      </w:r>
    </w:p>
    <w:p>
      <w:pPr>
        <w:numPr>
          <w:ilvl w:val="0"/>
          <w:numId w:val="1001"/>
        </w:numPr>
        <w:pStyle w:val="Compact"/>
      </w:pPr>
      <w:r>
        <w:rPr>
          <w:bCs/>
          <w:b/>
        </w:rPr>
        <w:t xml:space="preserve">An alert decision rule</w:t>
      </w:r>
      <w:r>
        <w:t xml:space="preserve"> </w:t>
      </w:r>
      <w:r>
        <w:t xml:space="preserve">for the selected model: the probability threshold, the human sign-off step and the fallback to existing official warnings, tested by replaying held-out events.</w:t>
      </w:r>
    </w:p>
    <w:p>
      <w:pPr>
        <w:numPr>
          <w:ilvl w:val="0"/>
          <w:numId w:val="1001"/>
        </w:numPr>
        <w:pStyle w:val="Compact"/>
      </w:pPr>
      <w:r>
        <w:rPr>
          <w:bCs/>
          <w:b/>
        </w:rPr>
        <w:t xml:space="preserve">The replay report and project documentation.</w:t>
      </w:r>
    </w:p>
    <w:p>
      <w:pPr>
        <w:pStyle w:val="FirstParagraph"/>
      </w:pPr>
      <w:r>
        <w:t xml:space="preserve">The project does not deliver a live system, public alerts, flood-depth maps or a dashboard. Its output is a validated probability and the evidence an agency would need to decide whether to build one.</w:t>
      </w:r>
    </w:p>
    <w:bookmarkEnd w:id="22"/>
    <w:bookmarkStart w:id="23" w:name="X8710952a79ad916a4d803aff04e505ad09e8fbf"/>
    <w:p>
      <w:pPr>
        <w:pStyle w:val="Heading3"/>
      </w:pPr>
      <w:r>
        <w:t xml:space="preserve">Benefits and significance of this project</w:t>
      </w:r>
    </w:p>
    <w:p>
      <w:pPr>
        <w:pStyle w:val="FirstParagraph"/>
      </w:pPr>
      <w:r>
        <w:rPr>
          <w:bCs/>
          <w:b/>
        </w:rPr>
        <w:t xml:space="preserve">Why AI is necessary.</w:t>
      </w:r>
      <w:r>
        <w:t xml:space="preserve"> </w:t>
      </w:r>
      <w:r>
        <w:t xml:space="preserve">Each non-AI alternative fails on a different part of the requirement (Table 5).</w:t>
      </w:r>
    </w:p>
    <w:p>
      <w:pPr>
        <w:pStyle w:val="BodyText"/>
      </w:pPr>
      <w:r>
        <w:rPr>
          <w:bCs/>
          <w:b/>
        </w:rPr>
        <w:t xml:space="preserve">Table 5.</w:t>
      </w:r>
      <w:r>
        <w:t xml:space="preserve"> </w:t>
      </w:r>
      <w:r>
        <w:t xml:space="preserve">Alternatives to the proposed AI approach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Alternative</w:t>
            </w:r>
          </w:p>
        </w:tc>
        <w:tc>
          <w:tcPr/>
          <w:p>
            <w:pPr>
              <w:pStyle w:val="Compact"/>
              <w:jc w:val="left"/>
            </w:pPr>
            <w:r>
              <w:t xml:space="preserve">Limitation for flash floods</w:t>
            </w:r>
          </w:p>
        </w:tc>
        <w:tc>
          <w:tcPr/>
          <w:p>
            <w:pPr>
              <w:pStyle w:val="Compact"/>
              <w:jc w:val="left"/>
            </w:pPr>
            <w:r>
              <w:t xml:space="preserve">Where AI helps</w:t>
            </w:r>
          </w:p>
        </w:tc>
      </w:tr>
      <w:tr>
        <w:tc>
          <w:tcPr/>
          <w:p>
            <w:pPr>
              <w:pStyle w:val="Compact"/>
              <w:jc w:val="left"/>
            </w:pPr>
            <w:r>
              <w:t xml:space="preserve">Global weather models</w:t>
            </w:r>
          </w:p>
        </w:tc>
        <w:tc>
          <w:tcPr/>
          <w:p>
            <w:pPr>
              <w:pStyle w:val="Compact"/>
              <w:jc w:val="left"/>
            </w:pPr>
            <w:r>
              <w:t xml:space="preserve">Grids of about 9 km and 6-hour update cycles (ECMWF, 2016) average out the narrow valleys where flash floods start</w:t>
            </w:r>
          </w:p>
        </w:tc>
        <w:tc>
          <w:tcPr/>
          <w:p>
            <w:pPr>
              <w:pStyle w:val="Compact"/>
              <w:jc w:val="left"/>
            </w:pPr>
            <w:r>
              <w:t xml:space="preserve">Learns the link between local rain, terrain and soil at catchment scale</w:t>
            </w:r>
          </w:p>
        </w:tc>
      </w:tr>
      <w:tr>
        <w:tc>
          <w:tcPr/>
          <w:p>
            <w:pPr>
              <w:pStyle w:val="Compact"/>
              <w:jc w:val="left"/>
            </w:pPr>
            <w:r>
              <w:t xml:space="preserve">Physics-based hydrological and hydrodynamic models</w:t>
            </w:r>
          </w:p>
        </w:tc>
        <w:tc>
          <w:tcPr/>
          <w:p>
            <w:pPr>
              <w:pStyle w:val="Compact"/>
              <w:jc w:val="left"/>
            </w:pPr>
            <w:r>
              <w:t xml:space="preserve">Simulations take 4 to 6 hours on high-performance clusters [source needed], so results arrive after the rain</w:t>
            </w:r>
          </w:p>
        </w:tc>
        <w:tc>
          <w:tcPr/>
          <w:p>
            <w:pPr>
              <w:pStyle w:val="Compact"/>
              <w:jc w:val="left"/>
            </w:pPr>
            <w:r>
              <w:t xml:space="preserve">A trained model runs in seconds, within the radar cycle (NFR-1)</w:t>
            </w:r>
          </w:p>
        </w:tc>
      </w:tr>
      <w:tr>
        <w:tc>
          <w:tcPr/>
          <w:p>
            <w:pPr>
              <w:pStyle w:val="Compact"/>
              <w:jc w:val="left"/>
            </w:pPr>
            <w:r>
              <w:t xml:space="preserve">Gauge-based forecasting</w:t>
            </w:r>
          </w:p>
        </w:tc>
        <w:tc>
          <w:tcPr/>
          <w:p>
            <w:pPr>
              <w:pStyle w:val="Compact"/>
              <w:jc w:val="left"/>
            </w:pPr>
            <w:r>
              <w:t xml:space="preserve">Over 70% of headwater creeks are ungauged [source needed]</w:t>
            </w:r>
          </w:p>
        </w:tc>
        <w:tc>
          <w:tcPr/>
          <w:p>
            <w:pPr>
              <w:pStyle w:val="Compact"/>
              <w:jc w:val="left"/>
            </w:pPr>
            <w:r>
              <w:t xml:space="preserve">Models trained across many catchments can predict at catchments they have never seen (Kratzert et al., 2019; Nearing et al., 2024)</w:t>
            </w:r>
          </w:p>
        </w:tc>
      </w:tr>
      <w:tr>
        <w:tc>
          <w:tcPr/>
          <w:p>
            <w:pPr>
              <w:pStyle w:val="Compact"/>
              <w:jc w:val="left"/>
            </w:pPr>
            <w:r>
              <w:t xml:space="preserve">Fixed rainfall thresholds</w:t>
            </w:r>
          </w:p>
        </w:tc>
        <w:tc>
          <w:tcPr/>
          <w:p>
            <w:pPr>
              <w:pStyle w:val="Compact"/>
              <w:jc w:val="left"/>
            </w:pPr>
            <w:r>
              <w:t xml:space="preserve">Ignore how wet the ground already is and how each catchment responds [source needed]</w:t>
            </w:r>
          </w:p>
        </w:tc>
        <w:tc>
          <w:tcPr/>
          <w:p>
            <w:pPr>
              <w:pStyle w:val="Compact"/>
              <w:jc w:val="left"/>
            </w:pPr>
            <w:r>
              <w:t xml:space="preserve">Candidates use soil wetness and catchment attributes, and the threshold is the baseline they must beat</w:t>
            </w:r>
          </w:p>
        </w:tc>
      </w:tr>
    </w:tbl>
    <w:p>
      <w:pPr>
        <w:pStyle w:val="BodyText"/>
      </w:pPr>
      <w:r>
        <w:t xml:space="preserve">Published work supports the technical case. A CNN trained to emulate a physics-based urban flood model predicted maximum flood depth from terrain in about 0.5% of the simulation time (Guo et al., 2021). LSTM models trained on many basins beat calibrated and process-based models in basins they had never seen (Kratzert et al., 2019), stayed accurate on extreme events (Frame et al., 2022), and now support an operational global flood forecasting service (Nearing et al., 2024). These studies concern urban depth emulation or daily river flow rather than hourly flash floods, so they support the approach, not a particular level of skill, which our evaluation must show.</w:t>
      </w:r>
    </w:p>
    <w:p>
      <w:pPr>
        <w:pStyle w:val="BodyText"/>
      </w:pPr>
      <w:r>
        <w:rPr>
          <w:bCs/>
          <w:b/>
        </w:rPr>
        <w:t xml:space="preserve">Societal value.</w:t>
      </w:r>
      <w:r>
        <w:t xml:space="preserve"> </w:t>
      </w:r>
      <w:r>
        <w:t xml:space="preserve">Lead time decides survival in rapid-onset flooding, and vehicle drownings account for about half of Australian flood fatalities (FitzGerald et al., 2010; Haynes et al., 2017). The 2022 Lismore flood, where the Wilsons River peaked at over 14.4 m, 2.12 m above the 1890 record, two days after a forecast of minor to moderate flooding, shows the cost of forecast error (Australian Institute for Disaster Resilience [AIDR], n.d.). Benefits are measured by recall, false alarm ratio and lead time against the baseline (see Evaluation design), not asserted.</w:t>
      </w:r>
    </w:p>
    <w:p>
      <w:pPr>
        <w:pStyle w:val="BodyText"/>
      </w:pPr>
      <w:r>
        <w:rPr>
          <w:bCs/>
          <w:b/>
        </w:rPr>
        <w:t xml:space="preserve">Equity and trust.</w:t>
      </w:r>
      <w:r>
        <w:t xml:space="preserve"> </w:t>
      </w:r>
      <w:r>
        <w:t xml:space="preserve">Catchment-level probabilities allow targeted warnings instead of blanket ones, reducing the alert fatigue that teaches residents to ignore alerts. Because the models need no river gauge, rural and headwater communities that gauge-based systems miss gain the most. Results are reported by region so that weaker coverage is visible.</w:t>
      </w:r>
    </w:p>
    <w:p>
      <w:pPr>
        <w:pStyle w:val="BodyText"/>
      </w:pPr>
      <w:r>
        <w:rPr>
          <w:bCs/>
          <w:b/>
        </w:rPr>
        <w:t xml:space="preserve">Significance.</w:t>
      </w:r>
      <w:r>
        <w:t xml:space="preserve"> </w:t>
      </w:r>
      <w:r>
        <w:t xml:space="preserve">The project is a controlled head-to-head test of three AI families on one problem with shared test cases. Whatever the outcome, it tells flood agencies which approach merits further investment.</w:t>
      </w:r>
    </w:p>
    <w:bookmarkEnd w:id="23"/>
    <w:bookmarkStart w:id="24" w:name="resources"/>
    <w:p>
      <w:pPr>
        <w:pStyle w:val="Heading3"/>
      </w:pPr>
      <w:r>
        <w:t xml:space="preserve">Resources</w:t>
      </w:r>
    </w:p>
    <w:p>
      <w:pPr>
        <w:pStyle w:val="FirstParagraph"/>
      </w:pPr>
      <w:r>
        <w:rPr>
          <w:bCs/>
          <w:b/>
        </w:rPr>
        <w:t xml:space="preserve">Table 6.</w:t>
      </w:r>
      <w:r>
        <w:t xml:space="preserve"> </w:t>
      </w:r>
      <w:r>
        <w:t xml:space="preserve">Project team (three members) and external support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Member</w:t>
            </w:r>
          </w:p>
        </w:tc>
        <w:tc>
          <w:tcPr/>
          <w:p>
            <w:pPr>
              <w:pStyle w:val="Compact"/>
              <w:jc w:val="left"/>
            </w:pPr>
            <w:r>
              <w:t xml:space="preserve">Technique task</w:t>
            </w:r>
          </w:p>
        </w:tc>
        <w:tc>
          <w:tcPr/>
          <w:p>
            <w:pPr>
              <w:pStyle w:val="Compact"/>
              <w:jc w:val="left"/>
            </w:pPr>
            <w:r>
              <w:t xml:space="preserve">Shared responsibility [suggested split, to confirm]</w:t>
            </w:r>
          </w:p>
        </w:tc>
      </w:tr>
      <w:tr>
        <w:tc>
          <w:tcPr/>
          <w:p>
            <w:pPr>
              <w:pStyle w:val="Compact"/>
              <w:jc w:val="left"/>
            </w:pPr>
            <w:r>
              <w:t xml:space="preserve">Member A</w:t>
            </w:r>
          </w:p>
        </w:tc>
        <w:tc>
          <w:tcPr/>
          <w:p>
            <w:pPr>
              <w:pStyle w:val="Compact"/>
              <w:jc w:val="left"/>
            </w:pPr>
            <w:r>
              <w:t xml:space="preserve">Candidate A, computer vision (T2)</w:t>
            </w:r>
          </w:p>
        </w:tc>
        <w:tc>
          <w:tcPr/>
          <w:p>
            <w:pPr>
              <w:pStyle w:val="Compact"/>
              <w:jc w:val="left"/>
            </w:pPr>
            <w:r>
              <w:t xml:space="preserve">Lead for data pipeline and test table (T1)</w:t>
            </w:r>
          </w:p>
        </w:tc>
      </w:tr>
      <w:tr>
        <w:tc>
          <w:tcPr/>
          <w:p>
            <w:pPr>
              <w:pStyle w:val="Compact"/>
              <w:jc w:val="left"/>
            </w:pPr>
            <w:r>
              <w:t xml:space="preserve">Member B</w:t>
            </w:r>
          </w:p>
        </w:tc>
        <w:tc>
          <w:tcPr/>
          <w:p>
            <w:pPr>
              <w:pStyle w:val="Compact"/>
              <w:jc w:val="left"/>
            </w:pPr>
            <w:r>
              <w:t xml:space="preserve">Candidate B, sequential model (T3)</w:t>
            </w:r>
          </w:p>
        </w:tc>
        <w:tc>
          <w:tcPr/>
          <w:p>
            <w:pPr>
              <w:pStyle w:val="Compact"/>
              <w:jc w:val="left"/>
            </w:pPr>
            <w:r>
              <w:t xml:space="preserve">Lead for common evaluation and risk register (T5)</w:t>
            </w:r>
          </w:p>
        </w:tc>
      </w:tr>
      <w:tr>
        <w:tc>
          <w:tcPr/>
          <w:p>
            <w:pPr>
              <w:pStyle w:val="Compact"/>
              <w:jc w:val="left"/>
            </w:pPr>
            <w:r>
              <w:t xml:space="preserve">Member C</w:t>
            </w:r>
          </w:p>
        </w:tc>
        <w:tc>
          <w:tcPr/>
          <w:p>
            <w:pPr>
              <w:pStyle w:val="Compact"/>
              <w:jc w:val="left"/>
            </w:pPr>
            <w:r>
              <w:t xml:space="preserve">Candidate C, foundation model (T4)</w:t>
            </w:r>
          </w:p>
        </w:tc>
        <w:tc>
          <w:tcPr/>
          <w:p>
            <w:pPr>
              <w:pStyle w:val="Compact"/>
              <w:jc w:val="left"/>
            </w:pPr>
            <w:r>
              <w:t xml:space="preserve">Lead for selection, alert decision rule and replay (T6, T7)</w:t>
            </w:r>
          </w:p>
        </w:tc>
      </w:tr>
    </w:tbl>
    <w:p>
      <w:pPr>
        <w:pStyle w:val="BodyText"/>
      </w:pPr>
      <w:r>
        <w:t xml:space="preserve">All three members share the report, video and weekly progress log. Roles that a full-scale project would need but this team does not have, namely a hydrology adviser, an emergency management partner and an ethics and legal adviser, are covered through the unit teaching staff, public documentation and the guidance of partner agencies [to confirm].</w:t>
      </w:r>
    </w:p>
    <w:p>
      <w:pPr>
        <w:pStyle w:val="BodyText"/>
      </w:pPr>
      <w:r>
        <w:rPr>
          <w:bCs/>
          <w:b/>
        </w:rPr>
        <w:t xml:space="preserve">Computational resources.</w:t>
      </w:r>
      <w:r>
        <w:t xml:space="preserve"> </w:t>
      </w:r>
      <w:r>
        <w:t xml:space="preserve">One GPU workstation or cloud GPU per member for training [to confirm availability], storage for the study-area data, and a laptop-class machine for replay. The study area is kept small so that the data fit.</w:t>
      </w:r>
    </w:p>
    <w:p>
      <w:pPr>
        <w:pStyle w:val="BodyText"/>
      </w:pPr>
      <w:r>
        <w:rPr>
          <w:bCs/>
          <w:b/>
        </w:rPr>
        <w:t xml:space="preserve">Data.</w:t>
      </w:r>
      <w:r>
        <w:t xml:space="preserve"> </w:t>
      </w:r>
      <w:r>
        <w:t xml:space="preserve">Rainfall from radar or gridded products, rain gauges and river levels; AWRA-L soil moisture; the 30 m elevation model; the Soil and Landscape Grid of Australia; land-cover mapping; Sentinel-1 flood maps as a check on event labels; flood event records. Sources, licences and any cost are fixed in T1; open or CC BY sources are preferred.</w:t>
      </w:r>
    </w:p>
    <w:bookmarkEnd w:id="24"/>
    <w:bookmarkStart w:id="25" w:name="risks"/>
    <w:p>
      <w:pPr>
        <w:pStyle w:val="Heading3"/>
      </w:pPr>
      <w:r>
        <w:t xml:space="preserve">Risks</w:t>
      </w:r>
    </w:p>
    <w:p>
      <w:pPr>
        <w:pStyle w:val="FirstParagraph"/>
      </w:pPr>
      <w:r>
        <w:t xml:space="preserve">Mitigations are in Risk management. Risk factors are:</w:t>
      </w:r>
    </w:p>
    <w:p>
      <w:pPr>
        <w:numPr>
          <w:ilvl w:val="0"/>
          <w:numId w:val="1002"/>
        </w:numPr>
        <w:pStyle w:val="Compact"/>
      </w:pPr>
      <w:r>
        <w:rPr>
          <w:bCs/>
          <w:b/>
        </w:rPr>
        <w:t xml:space="preserve">Schedule and personnel:</w:t>
      </w:r>
      <w:r>
        <w:t xml:space="preserve"> </w:t>
      </w:r>
      <w:r>
        <w:t xml:space="preserve">eight weeks is short; delayed data access in weeks 1 to 2 would compress T2 to T4; one absent member removes a whole candidate.</w:t>
      </w:r>
    </w:p>
    <w:p>
      <w:pPr>
        <w:numPr>
          <w:ilvl w:val="0"/>
          <w:numId w:val="1002"/>
        </w:numPr>
        <w:pStyle w:val="Compact"/>
      </w:pPr>
      <w:r>
        <w:rPr>
          <w:bCs/>
          <w:b/>
        </w:rPr>
        <w:t xml:space="preserve">Data:</w:t>
      </w:r>
      <w:r>
        <w:t xml:space="preserve"> </w:t>
      </w:r>
      <w:r>
        <w:t xml:space="preserve">few labelled flash floods, which are rare; noise in event labels; radar or gridded rainfall may underestimate rain in mountains; delays or licence limits on radar and gauge data; uneven gauge and radar coverage between regions; time-zone mismatches between sources.</w:t>
      </w:r>
    </w:p>
    <w:p>
      <w:pPr>
        <w:numPr>
          <w:ilvl w:val="0"/>
          <w:numId w:val="1002"/>
        </w:numPr>
        <w:pStyle w:val="Compact"/>
      </w:pPr>
      <w:r>
        <w:rPr>
          <w:bCs/>
          <w:b/>
        </w:rPr>
        <w:t xml:space="preserve">Computational:</w:t>
      </w:r>
      <w:r>
        <w:t xml:space="preserve"> </w:t>
      </w:r>
      <w:r>
        <w:t xml:space="preserve">foundation model fine-tuning exceeds the available GPU time.</w:t>
      </w:r>
    </w:p>
    <w:p>
      <w:pPr>
        <w:numPr>
          <w:ilvl w:val="0"/>
          <w:numId w:val="1002"/>
        </w:numPr>
        <w:pStyle w:val="Compact"/>
      </w:pPr>
      <w:r>
        <w:rPr>
          <w:bCs/>
          <w:b/>
        </w:rPr>
        <w:t xml:space="preserve">Technical:</w:t>
      </w:r>
      <w:r>
        <w:t xml:space="preserve"> </w:t>
      </w:r>
      <w:r>
        <w:t xml:space="preserve">skill falls on rare, heavy rain, the case that matters most; models do not transfer to catchments or storms unlike the training events.</w:t>
      </w:r>
    </w:p>
    <w:p>
      <w:pPr>
        <w:numPr>
          <w:ilvl w:val="0"/>
          <w:numId w:val="1002"/>
        </w:numPr>
        <w:pStyle w:val="Compact"/>
      </w:pPr>
      <w:r>
        <w:rPr>
          <w:bCs/>
          <w:b/>
        </w:rPr>
        <w:t xml:space="preserve">Deployment (future):</w:t>
      </w:r>
      <w:r>
        <w:t xml:space="preserve"> </w:t>
      </w:r>
      <w:r>
        <w:t xml:space="preserve">integration with agency systems, degraded connectivity and latency beyond the radar cycle.</w:t>
      </w:r>
    </w:p>
    <w:p>
      <w:pPr>
        <w:numPr>
          <w:ilvl w:val="0"/>
          <w:numId w:val="1002"/>
        </w:numPr>
        <w:pStyle w:val="Compact"/>
      </w:pPr>
      <w:r>
        <w:rPr>
          <w:bCs/>
          <w:b/>
        </w:rPr>
        <w:t xml:space="preserve">Social:</w:t>
      </w:r>
      <w:r>
        <w:t xml:space="preserve"> </w:t>
      </w:r>
      <w:r>
        <w:t xml:space="preserve">alert fatigue from false alarms; low controller trust.</w:t>
      </w:r>
    </w:p>
    <w:p>
      <w:pPr>
        <w:numPr>
          <w:ilvl w:val="0"/>
          <w:numId w:val="1002"/>
        </w:numPr>
        <w:pStyle w:val="Compact"/>
      </w:pPr>
      <w:r>
        <w:rPr>
          <w:bCs/>
          <w:b/>
        </w:rPr>
        <w:t xml:space="preserve">Ethical:</w:t>
      </w:r>
      <w:r>
        <w:t xml:space="preserve"> </w:t>
      </w:r>
      <w:r>
        <w:t xml:space="preserve">weaker warnings for rural and underserved communities.</w:t>
      </w:r>
    </w:p>
    <w:p>
      <w:pPr>
        <w:numPr>
          <w:ilvl w:val="0"/>
          <w:numId w:val="1002"/>
        </w:numPr>
        <w:pStyle w:val="Compact"/>
      </w:pPr>
      <w:r>
        <w:rPr>
          <w:bCs/>
          <w:b/>
        </w:rPr>
        <w:t xml:space="preserve">Legal:</w:t>
      </w:r>
      <w:r>
        <w:t xml:space="preserve"> </w:t>
      </w:r>
      <w:r>
        <w:t xml:space="preserve">liability for a missed or wrong warning; data licensing breaches.</w:t>
      </w:r>
    </w:p>
    <w:p>
      <w:pPr>
        <w:numPr>
          <w:ilvl w:val="0"/>
          <w:numId w:val="1002"/>
        </w:numPr>
        <w:pStyle w:val="Compact"/>
      </w:pPr>
      <w:r>
        <w:rPr>
          <w:bCs/>
          <w:b/>
        </w:rPr>
        <w:t xml:space="preserve">Safety:</w:t>
      </w:r>
      <w:r>
        <w:t xml:space="preserve"> </w:t>
      </w:r>
      <w:r>
        <w:t xml:space="preserve">a missed event leaves people without warning.</w:t>
      </w:r>
    </w:p>
    <w:p>
      <w:pPr>
        <w:numPr>
          <w:ilvl w:val="0"/>
          <w:numId w:val="1002"/>
        </w:numPr>
        <w:pStyle w:val="Compact"/>
      </w:pPr>
      <w:r>
        <w:rPr>
          <w:bCs/>
          <w:b/>
        </w:rPr>
        <w:t xml:space="preserve">Misuse:</w:t>
      </w:r>
      <w:r>
        <w:t xml:space="preserve"> </w:t>
      </w:r>
      <w:r>
        <w:t xml:space="preserve">spoofed alerts or misread probabilities spreading misinformation.</w:t>
      </w:r>
    </w:p>
    <w:bookmarkEnd w:id="25"/>
    <w:bookmarkStart w:id="29" w:name="timeline"/>
    <w:p>
      <w:pPr>
        <w:pStyle w:val="Heading3"/>
      </w:pPr>
      <w:r>
        <w:t xml:space="preserve">Timeline</w:t>
      </w:r>
    </w:p>
    <w:p>
      <w:pPr>
        <w:pStyle w:val="FirstParagraph"/>
      </w:pPr>
      <w:r>
        <w:t xml:space="preserve">The 8-week plan is in Figure 3. T2 to T4 overlap so that the three candidates reach evaluation together at week 6.</w:t>
      </w:r>
    </w:p>
    <w:p>
      <w:pPr>
        <w:pStyle w:val="CaptionedFigure"/>
      </w:pPr>
      <w:r>
        <w:drawing>
          <wp:inline>
            <wp:extent cx="5334000" cy="2266950"/>
            <wp:effectExtent b="0" l="0" r="0" t="0"/>
            <wp:docPr descr="Figure 3. Project timeline. Dotted lines mark milestones M1 (test table and split signed off, end of week 2), M2 (candidates give probabilities, week 5), M3 (comparison complete, week 6), M4 (selection agreed, week 7) and M5 (final deliverables ready, week 8)." title="" id="27" name="Picture"/>
            <a:graphic>
              <a:graphicData uri="http://schemas.openxmlformats.org/drawingml/2006/picture">
                <pic:pic>
                  <pic:nvPicPr>
                    <pic:cNvPr descr="gantt8.png" id="28" name="Picture"/>
                    <pic:cNvPicPr>
                      <a:picLocks noChangeArrowheads="1" noChangeAspect="1"/>
                    </pic:cNvPicPr>
                  </pic:nvPicPr>
                  <pic:blipFill>
                    <a:blip r:embed="rId26"/>
                    <a:stretch>
                      <a:fillRect/>
                    </a:stretch>
                  </pic:blipFill>
                  <pic:spPr bwMode="auto">
                    <a:xfrm>
                      <a:off x="0" y="0"/>
                      <a:ext cx="5334000" cy="2266950"/>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Project timeline. Dotted lines mark milestones M1 (test table and split signed off, end of week 2), M2 (candidates give probabilities, week 5), M3 (comparison complete, week 6), M4 (selection agreed, week 7) and M5 (final deliverables ready, week 8).</w:t>
      </w:r>
    </w:p>
    <w:bookmarkEnd w:id="29"/>
    <w:bookmarkStart w:id="30" w:name="communication-of-expected-outcomes"/>
    <w:p>
      <w:pPr>
        <w:pStyle w:val="Heading3"/>
      </w:pPr>
      <w:r>
        <w:t xml:space="preserve">Communication of expected outcomes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Audience</w:t>
            </w:r>
          </w:p>
        </w:tc>
        <w:tc>
          <w:tcPr/>
          <w:p>
            <w:pPr>
              <w:pStyle w:val="Compact"/>
              <w:jc w:val="left"/>
            </w:pPr>
            <w:r>
              <w:t xml:space="preserve">What they receive</w:t>
            </w:r>
          </w:p>
        </w:tc>
        <w:tc>
          <w:tcPr/>
          <w:p>
            <w:pPr>
              <w:pStyle w:val="Compact"/>
              <w:jc w:val="left"/>
            </w:pPr>
            <w:r>
              <w:t xml:space="preserve">Channel</w:t>
            </w:r>
          </w:p>
        </w:tc>
      </w:tr>
      <w:tr>
        <w:tc>
          <w:tcPr/>
          <w:p>
            <w:pPr>
              <w:pStyle w:val="Compact"/>
              <w:jc w:val="left"/>
            </w:pPr>
            <w:r>
              <w:t xml:space="preserve">Emergency managers and Bureau hydrologists</w:t>
            </w:r>
          </w:p>
        </w:tc>
        <w:tc>
          <w:tcPr/>
          <w:p>
            <w:pPr>
              <w:pStyle w:val="Compact"/>
              <w:jc w:val="left"/>
            </w:pPr>
            <w:r>
              <w:t xml:space="preserve">Evaluation report, replay of the Lismore event, alert decision rule</w:t>
            </w:r>
          </w:p>
        </w:tc>
        <w:tc>
          <w:tcPr/>
          <w:p>
            <w:pPr>
              <w:pStyle w:val="Compact"/>
              <w:jc w:val="left"/>
            </w:pPr>
            <w:r>
              <w:t xml:space="preserve">Briefing to partner agencies [to confirm]</w:t>
            </w:r>
          </w:p>
        </w:tc>
      </w:tr>
      <w:tr>
        <w:tc>
          <w:tcPr/>
          <w:p>
            <w:pPr>
              <w:pStyle w:val="Compact"/>
              <w:jc w:val="left"/>
            </w:pPr>
            <w:r>
              <w:t xml:space="preserve">Frontline responders and infrastructure operators</w:t>
            </w:r>
          </w:p>
        </w:tc>
        <w:tc>
          <w:tcPr/>
          <w:p>
            <w:pPr>
              <w:pStyle w:val="Compact"/>
              <w:jc w:val="left"/>
            </w:pPr>
            <w:r>
              <w:t xml:space="preserve">Summary of what the probability means, its limits, and its false alarm rate</w:t>
            </w:r>
          </w:p>
        </w:tc>
        <w:tc>
          <w:tcPr/>
          <w:p>
            <w:pPr>
              <w:pStyle w:val="Compact"/>
              <w:jc w:val="left"/>
            </w:pPr>
            <w:r>
              <w:t xml:space="preserve">Short plain-language brief</w:t>
            </w:r>
          </w:p>
        </w:tc>
      </w:tr>
      <w:tr>
        <w:tc>
          <w:tcPr/>
          <w:p>
            <w:pPr>
              <w:pStyle w:val="Compact"/>
              <w:jc w:val="left"/>
            </w:pPr>
            <w:r>
              <w:t xml:space="preserve">Affected communities</w:t>
            </w:r>
          </w:p>
        </w:tc>
        <w:tc>
          <w:tcPr/>
          <w:p>
            <w:pPr>
              <w:pStyle w:val="Compact"/>
              <w:jc w:val="left"/>
            </w:pPr>
            <w:r>
              <w:t xml:space="preserve">Plain-language explanation of what the system does and its limits; warnings only through official channels</w:t>
            </w:r>
          </w:p>
        </w:tc>
        <w:tc>
          <w:tcPr/>
          <w:p>
            <w:pPr>
              <w:pStyle w:val="Compact"/>
              <w:jc w:val="left"/>
            </w:pPr>
            <w:r>
              <w:t xml:space="preserve">Community-facing explainer in the project video; later through agencies</w:t>
            </w:r>
          </w:p>
        </w:tc>
      </w:tr>
      <w:tr>
        <w:tc>
          <w:tcPr/>
          <w:p>
            <w:pPr>
              <w:pStyle w:val="Compact"/>
              <w:jc w:val="left"/>
            </w:pPr>
            <w:r>
              <w:t xml:space="preserve">Research community</w:t>
            </w:r>
          </w:p>
        </w:tc>
        <w:tc>
          <w:tcPr/>
          <w:p>
            <w:pPr>
              <w:pStyle w:val="Compact"/>
              <w:jc w:val="left"/>
            </w:pPr>
            <w:r>
              <w:t xml:space="preserve">Dataset datasheet, methods and results</w:t>
            </w:r>
          </w:p>
        </w:tc>
        <w:tc>
          <w:tcPr/>
          <w:p>
            <w:pPr>
              <w:pStyle w:val="Compact"/>
              <w:jc w:val="left"/>
            </w:pPr>
            <w:r>
              <w:t xml:space="preserve">Open documentation [subject to licence terms]</w:t>
            </w:r>
          </w:p>
        </w:tc>
      </w:tr>
    </w:tbl>
    <w:bookmarkEnd w:id="30"/>
    <w:bookmarkStart w:id="31" w:name="Xb9f2ee5190ac3137e9d1a2cb74570277179553f"/>
    <w:p>
      <w:pPr>
        <w:pStyle w:val="Heading3"/>
      </w:pPr>
      <w:r>
        <w:t xml:space="preserve">References to add to the List of References (Project Proposal only)</w:t>
      </w:r>
    </w:p>
    <w:p>
      <w:pPr>
        <w:pStyle w:val="FirstParagraph"/>
      </w:pPr>
      <w:r>
        <w:rPr>
          <w:iCs/>
          <w:i/>
        </w:rPr>
        <w:t xml:space="preserve">Only sources not already in the draft’s list. Guo et al. (2021) is also cited in Candidate A (A.4), where the description of its inputs needs the same correction.</w:t>
      </w:r>
    </w:p>
    <w:p>
      <w:pPr>
        <w:pStyle w:val="BodyText"/>
      </w:pPr>
      <w:r>
        <w:t xml:space="preserve">Frame, J. M., Kratzert, F., Klotz, D., Gauch, M., Shalev, G., Gilon, O., Qualls, L. M., Gupta, H. V., &amp; Nearing, G. S. (2022). Deep learning rainfall-runoff predictions of extreme events.</w:t>
      </w:r>
      <w:r>
        <w:t xml:space="preserve"> </w:t>
      </w:r>
      <w:r>
        <w:rPr>
          <w:iCs/>
          <w:i/>
        </w:rPr>
        <w:t xml:space="preserve">Hydrology and Earth System Sciences, 26</w:t>
      </w:r>
      <w:r>
        <w:t xml:space="preserve">(13), 3377-3392. https://doi.org/10.5194/hess-26-3377-2022</w:t>
      </w:r>
    </w:p>
    <w:p>
      <w:pPr>
        <w:pStyle w:val="BodyText"/>
      </w:pPr>
      <w:r>
        <w:t xml:space="preserve">Guo, Z., Leitão, J. P., Simões, N. E., &amp; Moosavi, V. (2021). Data-driven flood emulation: Speeding up urban flood predictions by deep convolutional neural networks.</w:t>
      </w:r>
      <w:r>
        <w:t xml:space="preserve"> </w:t>
      </w:r>
      <w:r>
        <w:rPr>
          <w:iCs/>
          <w:i/>
        </w:rPr>
        <w:t xml:space="preserve">Journal of Flood Risk Management, 14</w:t>
      </w:r>
      <w:r>
        <w:t xml:space="preserve">(1), Article e12684. https://doi.org/10.1111/jfr3.12684</w:t>
      </w:r>
    </w:p>
    <w:p>
      <w:pPr>
        <w:pStyle w:val="BodyText"/>
      </w:pPr>
      <w:r>
        <w:t xml:space="preserve">Kratzert, F., Klotz, D., Herrnegger, M., Sampson, A. K., Hochreiter, S., &amp; Nearing, G. S. (2019). Toward improved predictions in ungauged basins: Exploiting the power of machine learning.</w:t>
      </w:r>
      <w:r>
        <w:t xml:space="preserve"> </w:t>
      </w:r>
      <w:r>
        <w:rPr>
          <w:iCs/>
          <w:i/>
        </w:rPr>
        <w:t xml:space="preserve">Water Resources Research, 55</w:t>
      </w:r>
      <w:r>
        <w:t xml:space="preserve">(12), 11344-11354. https://doi.org/10.1029/2019WR026065</w:t>
      </w:r>
    </w:p>
    <w:p>
      <w:pPr>
        <w:pStyle w:val="BodyText"/>
      </w:pPr>
      <w:r>
        <w:t xml:space="preserve">Nearing, G., Cohen, D., Dube, V., Gauch, M., Gilon, O., Harrigan, S., Hassidim, A., Klotz, D., Kratzert, F., Metzger, A., Nevo, S., Pappenberger, F., Prudhomme, C., Shalev, G., Shenzis, S., Tekalign, T. Y., Weitzner, D., &amp; Matias, Y. (2024). Global prediction of extreme floods in ungauged watersheds.</w:t>
      </w:r>
      <w:r>
        <w:t xml:space="preserve"> </w:t>
      </w:r>
      <w:r>
        <w:rPr>
          <w:iCs/>
          <w:i/>
        </w:rPr>
        <w:t xml:space="preserve">Nature, 627</w:t>
      </w:r>
      <w:r>
        <w:t xml:space="preserve">(8004), 559-563. https://doi.org/10.1038/s41586-024-07145-1</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pPr>
      <w:spacing w:after="180" w:before="180"/>
    </w:pPr>
    <w:qFormat/>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color w:val="007020"/>
      <w:rFonts w:ascii="Times New Roman" w:hAnsi="Times New Roman"/>
      <w:b/>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color w:val="008000"/>
      <w:rFonts w:ascii="Times New Roman" w:hAnsi="Times New Roman"/>
      <w:b/>
    </w:rPr>
  </w:style>
  <w:style w:type="character" w:customStyle="1" w:styleId="CommentTok">
    <w:name w:val="CommentTok"/>
    <w:basedOn w:val="VerbatimChar"/>
    <w:rPr>
      <w:color w:val="60a0b0"/>
      <w:rFonts w:ascii="Times New Roman" w:hAnsi="Times New Roman"/>
      <w:i/>
    </w:rPr>
  </w:style>
  <w:style w:type="character" w:customStyle="1" w:styleId="DocumentationTok">
    <w:name w:val="DocumentationTok"/>
    <w:basedOn w:val="VerbatimChar"/>
    <w:rPr>
      <w:color w:val="ba2121"/>
      <w:rFonts w:ascii="Times New Roman" w:hAnsi="Times New Roman"/>
      <w:i/>
    </w:rPr>
  </w:style>
  <w:style w:type="character" w:customStyle="1" w:styleId="AnnotationTok">
    <w:name w:val="AnnotationTok"/>
    <w:basedOn w:val="VerbatimChar"/>
    <w:rPr>
      <w:color w:val="60a0b0"/>
      <w:rFonts w:ascii="Times New Roman" w:hAnsi="Times New Roman"/>
      <w:b/>
      <w:i/>
    </w:rPr>
  </w:style>
  <w:style w:type="character" w:customStyle="1" w:styleId="CommentVarTok">
    <w:name w:val="CommentVarTok"/>
    <w:basedOn w:val="VerbatimChar"/>
    <w:rPr>
      <w:color w:val="60a0b0"/>
      <w:rFonts w:ascii="Times New Roman" w:hAnsi="Times New Roman"/>
      <w:b/>
      <w:i/>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color w:val="007020"/>
      <w:rFonts w:ascii="Times New Roman" w:hAnsi="Times New Roman"/>
      <w:b/>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color w:val="60a0b0"/>
      <w:rFonts w:ascii="Times New Roman" w:hAnsi="Times New Roman"/>
      <w:b/>
      <w:i/>
    </w:rPr>
  </w:style>
  <w:style w:type="character" w:customStyle="1" w:styleId="WarningTok">
    <w:name w:val="WarningTok"/>
    <w:basedOn w:val="VerbatimChar"/>
    <w:rPr>
      <w:color w:val="60a0b0"/>
      <w:rFonts w:ascii="Times New Roman" w:hAnsi="Times New Roman"/>
      <w:b/>
      <w:i/>
    </w:rPr>
  </w:style>
  <w:style w:type="character" w:customStyle="1" w:styleId="AlertTok">
    <w:name w:val="AlertTok"/>
    <w:basedOn w:val="VerbatimChar"/>
    <w:rPr>
      <w:color w:val="ff0000"/>
      <w:rFonts w:ascii="Times New Roman" w:hAnsi="Times New Roman"/>
      <w:b/>
    </w:rPr>
  </w:style>
  <w:style w:type="character" w:customStyle="1" w:styleId="ErrorTok">
    <w:name w:val="ErrorTok"/>
    <w:basedOn w:val="VerbatimChar"/>
    <w:rPr>
      <w:color w:val="ff0000"/>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 draft sections for the AT2 report (v2: 8 weeks, 3 members)</dc:title>
  <dc:creator/>
  <cp:keywords/>
  <dcterms:created xsi:type="dcterms:W3CDTF">2026-10-16T10:03:42Z</dcterms:created>
  <dcterms:modified xsi:type="dcterms:W3CDTF">2026-10-16T10:03:42Z</dcterms:modified>
</cp:coreProperties>
</file>

<file path=docProps/custom.xml><?xml version="1.0" encoding="utf-8"?>
<Properties xmlns="http://schemas.openxmlformats.org/officeDocument/2006/custom-properties" xmlns:vt="http://schemas.openxmlformats.org/officeDocument/2006/docPropsVTypes"/>
</file>