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3"/>
      </w:pPr>
      <w:r>
        <w:t xml:space="preserve">Table ST1</w:t>
      </w:r>
    </w:p>
    <w:p>
      <w:pPr>
        <w:pStyle w:val="Normal"/>
      </w:pPr>
      <w:r>
        <w:t xml:space="preserve">Detection Sensitivity: Logistic Mixed-Effects Model Results Across Studies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1584"/>
        <w:gridCol w:w="1584"/>
        <w:gridCol w:w="1224"/>
        <w:gridCol w:w="2160"/>
        <w:gridCol w:w="1224"/>
      </w:tblGrid>
      <w:tr>
        <w:trPr>
          <w:trHeight w:val="360" w:hRule="auto"/>
          <w:tblHeader/>
        </w:trPr>
        header1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
            </w:r>
          </w:p>
        </w:tc>
        <w:tc>
          <w:tcPr>
            <w:gridSpan w:val="2"/>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Odds Ratios</w:t>
            </w:r>
          </w:p>
        </w:tc>
        <w:tc>
          <w:tcPr>
            <w:gridSpan w:val="2"/>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Quadratic Term (Change²)</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
            </w:r>
          </w:p>
        </w:tc>
      </w:tr>
      <w:tr>
        <w:trPr>
          <w:trHeight w:val="360" w:hRule="auto"/>
          <w:tblHeader/>
        </w:trPr>
        header2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OR (Change)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OR (Change²)</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partial 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95% CI</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 (LRT)</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1A (staircase)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2.66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76.7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.198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[.161, .235]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[.200, .258]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3 (fixed magnitudes)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[.178,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[.096,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.165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[.146, .184]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Multilevel logistic regression predicting 3AFC detection accuracy from linear (Change) and quadratic (Change²) breathing rate change terms, with random intercepts per participant. OR = odds ratio for a one-unit increase in Change or Change². partial r for Change² is approximated from the z-statistic using the arousal model residual df as a proxy for trial count. p (LRT) = likelihood ratio test p-value for the quadratic term improvement. Study 1B (ascending-limits procedure) is excluded as structurally incompatible.</w:t>
      </w:r>
    </w:p>
    <w:p>
      <w:pPr>
        <w:pStyle w:val="Normal"/>
      </w:pPr>
      <w:r>
        <w:t xml:space="preserve"/>
      </w:r>
    </w:p>
    <w:p>
      <w:pPr>
        <w:pStyle w:val="Titre3"/>
      </w:pPr>
      <w:r>
        <w:t xml:space="preserve">Table ST2</w:t>
      </w:r>
    </w:p>
    <w:p>
      <w:pPr>
        <w:pStyle w:val="Normal"/>
      </w:pPr>
      <w:r>
        <w:t xml:space="preserve">Threshold Validation: Direction, Salience, and Predictive Validity</w:t>
      </w:r>
    </w:p>
    <w:tbl xmlns:a="http://schemas.openxmlformats.org/drawingml/2006/main" xmlns:pic="http://schemas.openxmlformats.org/drawingml/2006/picture">
      <w:tblPr>
        <w:tblLayout w:type="fixed"/>
        <w:jc w:val="center"/>
        <w:tblLook w:firstRow="1" w:lastRow="0" w:firstColumn="0" w:lastColumn="0" w:noHBand="0" w:noVBand="1"/>
      </w:tblPr>
      <w:tblGrid>
        <w:gridCol w:w="1152"/>
        <w:gridCol w:w="1440"/>
        <w:gridCol w:w="1008"/>
        <w:gridCol w:w="792"/>
        <w:gridCol w:w="1440"/>
        <w:gridCol w:w="1008"/>
        <w:gridCol w:w="792"/>
        <w:gridCol w:w="1440"/>
        <w:gridCol w:w="792"/>
      </w:tblGrid>
      <w:tr>
        <w:trPr>
          <w:trHeight w:val="360" w:hRule="auto"/>
          <w:tblHeader/>
        </w:trPr>
        header1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
            </w:r>
          </w:p>
        </w:tc>
        <w:tc>
          <w:tcPr>
            <w:gridSpan w:val="3"/>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H1: Direction</w:t>
            </w:r>
          </w:p>
        </w:tc>
        <w:tc>
          <w:tcPr>
            <w:gridSpan w:val="3"/>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H2: Salience</w:t>
            </w:r>
          </w:p>
        </w:tc>
        <w:tc>
          <w:tcPr>
            <w:gridSpan w:val="2"/>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H5: Test validity</w:t>
            </w:r>
          </w:p>
        </w:tc>
      </w:tr>
      <w:tr>
        <w:trPr>
          <w:trHeight w:val="360" w:hRule="auto"/>
          <w:tblHeader/>
        </w:trPr>
        header2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b (SE)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partial 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b (SE)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partial 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b (SE)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1A</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0.01 (0.00)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.052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1Bᵃ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-0.05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0.13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-0.06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0.64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0.09 (0.01)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-0.07 (0.01)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0.88 (0.10)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H1: effect of breathing direction (Slower vs. Faster) on individually estimated staircase threshold, from mixed-effects regression with random intercepts per participant. H2: effect of salience manipulation (High vs. Low abruptness of onset) on threshold; Studies 4 and 5 only. H5: logistic regression of staircase-derived threshold on test-block accuracy (predictive validity); Studies 4 and 5 only. b and SE are unstandardised coefficients. partial r computed from the t-statistic (r = t / √(t² + df)). Dashes indicate the hypothesis was not tested in that study.</w:t>
      </w:r>
      <w:r>
        <w:rPr>
          <w:rFonts w:ascii="Times New Roman" w:hAnsi="Times New Roman" w:eastAsia="Times New Roman" w:cs="Times New Roman"/>
          <w:i w:val="false"/>
          <w:b w:val="true"/>
          <w:u w:val="none"/>
          <w:sz w:val="18"/>
          <w:szCs w:val="18"/>
          <w:color w:val="000000"/>
        </w:rPr>
        <w:t xml:space="preserve"> a </w:t>
      </w:r>
      <w:r>
        <w:rPr>
          <w:rFonts w:ascii="Times New Roman" w:hAnsi="Times New Roman" w:eastAsia="Times New Roman" w:cs="Times New Roman"/>
          <w:i w:val="false"/>
          <w:b w:val="false"/>
          <w:u w:val="none"/>
          <w:sz w:val="18"/>
          <w:szCs w:val="18"/>
          <w:color w:val="000000"/>
        </w:rPr>
        <w:t xml:space="preserve">Study 1B used an ascending-limits procedure rather than a staircase. H1 is reported for comparison purposes; ascending-limits thresholds are not comparable with staircase thresholds from other studies.</w:t>
      </w:r>
    </w:p>
    <w:p>
      <w:pPr>
        <w:pStyle w:val="Normal"/>
      </w:pPr>
      <w:r>
        <w:t xml:space="preserve"/>
      </w:r>
    </w:p>
    <w:p>
      <w:pPr>
        <w:pStyle w:val="Titre3"/>
      </w:pPr>
      <w:r>
        <w:t xml:space="preserve">Table ST3</w:t>
      </w:r>
    </w:p>
    <w:p>
      <w:pPr>
        <w:pStyle w:val="Normal"/>
      </w:pPr>
      <w:r>
        <w:t xml:space="preserve">Staircase Convergence: Within-Person Variability Reduction Across Studies</w:t>
      </w:r>
    </w:p>
    <w:tbl xmlns:a="http://schemas.openxmlformats.org/drawingml/2006/main" xmlns:pic="http://schemas.openxmlformats.org/drawingml/2006/picture">
      <w:tblPr>
        <w:tblLayout w:type="fixed"/>
        <w:jc w:val="center"/>
        <w:tblLook w:firstRow="1" w:lastRow="0" w:firstColumn="0" w:lastColumn="0" w:noHBand="0" w:noVBand="1"/>
      </w:tblPr>
      <w:tblGrid>
        <w:gridCol w:w="1008"/>
        <w:gridCol w:w="2304"/>
        <w:gridCol w:w="648"/>
        <w:gridCol w:w="1224"/>
        <w:gridCol w:w="1368"/>
        <w:gridCol w:w="1368"/>
        <w:gridCol w:w="1224"/>
        <w:gridCol w:w="1008"/>
        <w:gridCol w:w="1008"/>
      </w:tblGrid>
      <w:tr>
        <w:trPr>
          <w:trHeight w:val="360"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Condition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Mean trials</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SD (first 6)</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SD (last 6)</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Reduction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dₚ</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w:t>
            </w:r>
          </w:p>
        </w:tc>
      </w:tr>
      <w:tr>
        <w:trPr>
          <w:trHeight w:val="360" w:hRule="auto"/>
        </w:trPr>
        body1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Study2</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All conditions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166</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17.0</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0.088</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0.029</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66.8%</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1.835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body2
        <w:tc>
          <w:tcPr>
            <w:vMerge w:val="restart"/>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 × Faster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0.078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29.8%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body3
        <w:tc>
          <w:tcPr>
            <w:vMerge/>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 × Slower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 × Faster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body5
        <w:tc>
          <w:tcPr>
            <w:vMerge/>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 × Slower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0.094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28.1%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.688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body6
        <w:tc>
          <w:tcPr>
            <w:vMerge w:val="restart"/>
            <w:tcBorders>
              <w:bottom w:val="single" w:sz="12"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 × Faster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238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0.090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0.066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.960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body7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 × Slower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 × Faster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body9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 × Slower</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242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0.115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0.077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.773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Within-person SD of the staircase change magnitude was computed separately for the first and last 6 effective change trials per staircase condition. Reduction = percentage decrease from SD (first 6) to SD (last 6). dₚ = Cohen’s d for paired differences (within-person). All reductions significant at p &lt; .001. Study 2 used a single undifferentiated staircase (all conditions pooled); Studies 4 and 5 report separate estimates per Salience × Direction cell.</w:t>
      </w:r>
    </w:p>
    <w:p>
      <w:pPr>
        <w:pStyle w:val="Normal"/>
      </w:pPr>
      <w:r>
        <w:t xml:space="preserve"/>
      </w:r>
    </w:p>
    <w:p>
      <w:pPr>
        <w:pStyle w:val="Titre3"/>
      </w:pPr>
      <w:r>
        <w:t xml:space="preserve">Table ST4</w:t>
      </w:r>
    </w:p>
    <w:p>
      <w:pPr>
        <w:pStyle w:val="Normal"/>
      </w:pPr>
      <w:r>
        <w:t xml:space="preserve">Threshold Descriptives by Salience and Direction (Studies 4 and 5)</w:t>
      </w:r>
    </w:p>
    <w:tbl xmlns:a="http://schemas.openxmlformats.org/drawingml/2006/main" xmlns:pic="http://schemas.openxmlformats.org/drawingml/2006/picture">
      <w:tblPr>
        <w:tblLayout w:type="fixed"/>
        <w:jc w:val="center"/>
        <w:tblLook w:firstRow="1" w:lastRow="0" w:firstColumn="0" w:lastColumn="0" w:noHBand="0" w:noVBand="1"/>
      </w:tblPr>
      <w:tblGrid>
        <w:gridCol w:w="2304"/>
        <w:gridCol w:w="1152"/>
        <w:gridCol w:w="1224"/>
        <w:gridCol w:w="720"/>
        <w:gridCol w:w="1008"/>
        <w:gridCol w:w="1008"/>
      </w:tblGrid>
      <w:tr>
        <w:trPr>
          <w:trHeight w:val="360" w:hRule="auto"/>
          <w:tblHeader/>
        </w:trPr>
        header 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 / Session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Salience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Direction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SD (%)</w:t>
            </w:r>
          </w:p>
        </w:tc>
      </w:tr>
      <w:tr>
        <w:trPr>
          <w:trHeight w:val="360" w:hRule="auto"/>
        </w:trPr>
        body 1
        <w:tc>
          <w:tcPr>
            <w:vMerge w:val="restart"/>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Study4 Session 1</w:t>
            </w:r>
          </w:p>
        </w:tc>
        <w:tc>
          <w:tcPr>
            <w:vMerge w:val="restart"/>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Faster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50.9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19.1</w:t>
            </w:r>
          </w:p>
        </w:tc>
      </w:tr>
      <w:tr>
        <w:trPr>
          <w:trHeight w:val="360" w:hRule="auto"/>
        </w:trPr>
        body 2
        <w:tc>
          <w:tcPr>
            <w:vMerge/>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Slower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29.8</w:t>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val="restart"/>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Faster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19.8</w:t>
            </w:r>
          </w:p>
        </w:tc>
      </w:tr>
      <w:tr>
        <w:trPr>
          <w:trHeight w:val="360" w:hRule="auto"/>
        </w:trPr>
        body 4
        <w:tc>
          <w:tcPr>
            <w:vMerge/>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Slower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58.2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33.1</w:t>
            </w:r>
          </w:p>
        </w:tc>
      </w:tr>
      <w:tr>
        <w:trPr>
          <w:trHeight w:val="360" w:hRule="auto"/>
        </w:trPr>
        body 5
        <w:tc>
          <w:tcPr>
            <w:vMerge w:val="restart"/>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Study5 Session 1</w:t>
            </w:r>
          </w:p>
        </w:tc>
        <w:tc>
          <w:tcPr>
            <w:vMerge w:val="restart"/>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Faster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13.6</w:t>
            </w:r>
          </w:p>
        </w:tc>
      </w:tr>
      <w:tr>
        <w:trPr>
          <w:trHeight w:val="360" w:hRule="auto"/>
        </w:trPr>
        body 6
        <w:tc>
          <w:tcPr>
            <w:vMerge/>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Slower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23.9</w:t>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val="restart"/>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Faster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12.3</w:t>
            </w:r>
          </w:p>
        </w:tc>
      </w:tr>
      <w:tr>
        <w:trPr>
          <w:trHeight w:val="360" w:hRule="auto"/>
        </w:trPr>
        body 8
        <w:tc>
          <w:tcPr>
            <w:vMerge/>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Slower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22.1</w:t>
            </w:r>
          </w:p>
        </w:tc>
      </w:tr>
      <w:tr>
        <w:trPr>
          <w:trHeight w:val="360" w:hRule="auto"/>
        </w:trPr>
        body 9
        <w:tc>
          <w:tcPr>
            <w:vMerge w:val="restart"/>
            <w:tcBorders>
              <w:bottom w:val="single" w:sz="12"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Study5 Session 2</w:t>
            </w:r>
          </w:p>
        </w:tc>
        <w:tc>
          <w:tcPr>
            <w:vMerge w:val="restart"/>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Faster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34.4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14.4</w:t>
            </w:r>
          </w:p>
        </w:tc>
      </w:tr>
      <w:tr>
        <w:trPr>
          <w:trHeight w:val="360" w:hRule="auto"/>
        </w:trPr>
        body10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Slower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23.3</w:t>
            </w:r>
          </w:p>
        </w:tc>
      </w:tr>
      <w:tr>
        <w:trPr>
          <w:trHeight w:val="36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val="restart"/>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Faster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13.1</w:t>
            </w:r>
          </w:p>
        </w:tc>
      </w:tr>
      <w:tr>
        <w:trPr>
          <w:trHeight w:val="360" w:hRule="auto"/>
        </w:trPr>
        body12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Slower</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37.2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21.8</w:t>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Detection thresholds expressed as percent change in breathing rate from baseline. Thresholds estimated as the mean of the final two Quest staircase trials per condition. Higher threshold values indicate lower detection sensitivity (larger change required for reliable detection). Study 5 Session 2 = Block 2 (all participants completed Breath condition).</w:t>
      </w:r>
    </w:p>
    <w:p>
      <w:pPr>
        <w:pStyle w:val="Normal"/>
      </w:pPr>
      <w:r>
        <w:t xml:space="preserve"/>
      </w:r>
    </w:p>
    <w:p>
      <w:pPr>
        <w:pStyle w:val="Titre3"/>
      </w:pPr>
      <w:r>
        <w:t xml:space="preserve">Table ST5</w:t>
      </w:r>
    </w:p>
    <w:p>
      <w:pPr>
        <w:pStyle w:val="Normal"/>
      </w:pPr>
      <w:r>
        <w:t xml:space="preserve">Test Block Detection Sensitivity (d') by Salience Condition</w:t>
      </w:r>
    </w:p>
    <w:tbl xmlns:a="http://schemas.openxmlformats.org/drawingml/2006/main" xmlns:pic="http://schemas.openxmlformats.org/drawingml/2006/picture">
      <w:tblPr>
        <w:tblLayout w:type="fixed"/>
        <w:jc w:val="center"/>
        <w:tblLook w:firstRow="1" w:lastRow="0" w:firstColumn="0" w:lastColumn="0" w:noHBand="0" w:noVBand="1"/>
      </w:tblPr>
      <w:tblGrid>
        <w:gridCol w:w="1008"/>
        <w:gridCol w:w="1152"/>
        <w:gridCol w:w="1080"/>
        <w:gridCol w:w="1080"/>
        <w:gridCol w:w="1584"/>
        <w:gridCol w:w="1296"/>
        <w:gridCol w:w="936"/>
      </w:tblGrid>
      <w:tr>
        <w:trPr>
          <w:trHeight w:val="360"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Group</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Salience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 trials</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 participants</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P(correct)</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d'</w:t>
            </w:r>
          </w:p>
        </w:tc>
      </w:tr>
      <w:tr>
        <w:trPr>
          <w:trHeight w:val="360" w:hRule="auto"/>
        </w:trPr>
        body1
        <w:tc>
          <w:tcPr>
            <w:vMerge w:val="restart"/>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Study4</w:t>
            </w:r>
          </w:p>
        </w:tc>
        <w:tc>
          <w:tcPr>
            <w:vMerge w:val="restart"/>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Breath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0.766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1.50</w:t>
            </w:r>
          </w:p>
        </w:tc>
      </w:tr>
      <w:tr>
        <w:trPr>
          <w:trHeight w:val="360" w:hRule="auto"/>
        </w:trPr>
        body2
        <w:tc>
          <w:tcPr>
            <w:vMerge/>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0.675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1.14</w:t>
            </w:r>
          </w:p>
        </w:tc>
      </w:tr>
      <w:tr>
        <w:trPr>
          <w:trHeight w:val="360" w:hRule="auto"/>
        </w:trPr>
        body3
        <w:tc>
          <w:tcPr>
            <w:vMerge w:val="restart"/>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Study5</w:t>
            </w:r>
          </w:p>
        </w:tc>
        <w:tc>
          <w:tcPr>
            <w:vMerge w:val="restart"/>
            <w:tcBorders>
              <w:bottom w:val="single" w:sz="12"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All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0.753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1.45</w:t>
            </w:r>
          </w:p>
        </w:tc>
      </w:tr>
      <w:tr>
        <w:trPr>
          <w:trHeight w:val="360" w:hRule="auto"/>
        </w:trPr>
        body4
        <w:tc>
          <w:tcPr>
            <w:vMerge/>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0.569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0.78</w:t>
            </w:r>
          </w:p>
        </w:tc>
      </w:tr>
      <w:tr>
        <w:trPr>
          <w:trHeight w:val="360" w:hRule="auto"/>
        </w:trPr>
        body5
        <w:tc>
          <w:tcPr>
            <w:vMerge w:val="restart"/>
            <w:tcBorders>
              <w:bottom w:val="single" w:sz="12"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Study5_Visual</w:t>
            </w:r>
          </w:p>
        </w:tc>
        <w:tc>
          <w:tcPr>
            <w:vMerge/>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444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0.782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1.57</w:t>
            </w:r>
          </w:p>
        </w:tc>
      </w:tr>
      <w:tr>
        <w:trPr>
          <w:trHeight w:val="360" w:hRule="auto"/>
        </w:trPr>
        body6
        <w:tc>
          <w:tcPr>
            <w:vMerge/>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1.00</w:t>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d' computed via numerical inversion of the unbiased 3AFC operating characteristic. The fixed-level test block was administered at each participant’s individually estimated high-salience staircase threshold. High-salience d' matched the Quest target (≈1.50 / 75% correct) in both studies. Lower d' on low-salience trials is expected as the threshold was calibrated for high salience.</w:t>
      </w:r>
    </w:p>
    <w:p>
      <w:pPr>
        <w:pStyle w:val="Normal"/>
      </w:pPr>
      <w:r>
        <w:t xml:space="preserve"/>
      </w:r>
    </w:p>
    <w:p>
      <w:pPr>
        <w:pStyle w:val="Titre3"/>
      </w:pPr>
      <w:r>
        <w:t xml:space="preserve">Table ST6</w:t>
      </w:r>
    </w:p>
    <w:p>
      <w:pPr>
        <w:pStyle w:val="Normal"/>
      </w:pPr>
      <w:r>
        <w:t xml:space="preserve">Test-Retest Reliability of Staircase Threshold Estimates (Study 5)</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2160"/>
        <w:gridCol w:w="648"/>
        <w:gridCol w:w="1008"/>
        <w:gridCol w:w="2160"/>
      </w:tblGrid>
      <w:tr>
        <w:trPr>
          <w:trHeight w:val="360"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Group</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Condition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ICC(2,1)</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95% CI</w:t>
            </w:r>
          </w:p>
        </w:tc>
      </w:tr>
      <w:tr>
        <w:trPr>
          <w:trHeight w:val="360" w:hRule="auto"/>
        </w:trPr>
        body1
        <w:tc>
          <w:tcPr>
            <w:vMerge w:val="restart"/>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Breath–Breath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 / Faster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.297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[.063, .501]</w:t>
            </w:r>
          </w:p>
        </w:tc>
      </w:tr>
      <w:tr>
        <w:trPr>
          <w:trHeight w:val="360" w:hRule="auto"/>
        </w:trPr>
        body2
        <w:tc>
          <w:tcPr>
            <w:vMerge/>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 / Slower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[.117, .542]</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 / Faster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[-.002, .449]</w:t>
            </w:r>
          </w:p>
        </w:tc>
      </w:tr>
      <w:tr>
        <w:trPr>
          <w:trHeight w:val="360" w:hRule="auto"/>
        </w:trPr>
        body4
        <w:tc>
          <w:tcPr>
            <w:vMerge/>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 / Slower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.589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[.408, .725]</w:t>
            </w:r>
          </w:p>
        </w:tc>
      </w:tr>
      <w:tr>
        <w:trPr>
          <w:trHeight w:val="360" w:hRule="auto"/>
        </w:trPr>
        body5
        <w:tc>
          <w:tcPr>
            <w:vMerge w:val="restart"/>
            <w:tcBorders>
              <w:bottom w:val="single" w:sz="12"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Visual–Breath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 / Faster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[-.209, .194]</w:t>
            </w:r>
          </w:p>
        </w:tc>
      </w:tr>
      <w:tr>
        <w:trPr>
          <w:trHeight w:val="360" w:hRule="auto"/>
        </w:trPr>
        body6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High / Slower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[.114, .487]</w:t>
            </w:r>
          </w:p>
        </w:tc>
      </w:tr>
      <w:tr>
        <w:trPr>
          <w:trHeight w:val="360" w:hRule="auto"/>
        </w:trPr>
        body7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 / Faster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[-.133, .279]</w:t>
            </w:r>
          </w:p>
        </w:tc>
      </w:tr>
      <w:tr>
        <w:trPr>
          <w:trHeight w:val="360" w:hRule="auto"/>
        </w:trPr>
        body8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Low / Slower</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[.196, .549]</w:t>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ICC(2,1) = two-way random-effects intraclass correlation, single rater, absolute agreement. Breath–Breath group: participants who completed Breath condition in both blocks (n ≈ 65). Visual–Breath group: participants who completed Visual condition in Block 1 and Breath in Block 2; ICC reflects cross-condition (not test-retest) reliability. Pre-registered criterion ICC ≥ .70 was not met at the condition level. Aggregate r across conditions: Breath–Breath = .673, Visual–Breath = .318 (see main text).</w:t>
      </w:r>
    </w:p>
    <w:p>
      <w:pPr>
        <w:pStyle w:val="Normal"/>
      </w:pPr>
      <w:r>
        <w:t xml:space="preserve"/>
      </w:r>
    </w:p>
    <w:p>
      <w:pPr>
        <w:pStyle w:val="Titre3"/>
      </w:pPr>
      <w:r>
        <w:t xml:space="preserve">Table ST7</w:t>
      </w:r>
    </w:p>
    <w:p>
      <w:pPr>
        <w:pStyle w:val="Normal"/>
      </w:pPr>
      <w:r>
        <w:t xml:space="preserve">Belt Compliance and Physiological Arousal Effects (Study 5)</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1152"/>
        <w:gridCol w:w="1008"/>
        <w:gridCol w:w="1008"/>
        <w:gridCol w:w="1008"/>
        <w:gridCol w:w="2304"/>
      </w:tblGrid>
      <w:tr>
        <w:trPr>
          <w:trHeight w:val="360"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Model / Condition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b</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 / χ²</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95% CI</w:t>
            </w:r>
          </w:p>
        </w:tc>
      </w:tr>
      <w:tr>
        <w:trPr>
          <w:trHeight w:val="36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Hits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-0.0742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0.0080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-9.27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[-.0899, -.0585]</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Misses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[-.0239, .0219]</w:t>
            </w:r>
          </w:p>
        </w:tc>
      </w:tr>
      <w:tr>
        <w:trPr>
          <w:trHeight w:val="360" w:hRule="auto"/>
        </w:trPr>
        body3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dur_within x Accuracy (interaction)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-0.0649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0.0141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21.28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Rows 1–2: multilevel linear regression of within-person respiratory duration change (dur_b1_vs_b4) on subjective arousal, estimated separately for detected (Hits) and missed (Misses) trials. Negative b = larger breath duration change predicts higher arousal. Row 3: likelihood ratio test (LRT) for the duration × Accuracy interaction, testing whether detection moderates the physiology–arousal relationship. Analysis restricted to participants with non-unusable belt quality and valid session onset (N = 171; 9,270 paced trials).</w:t>
      </w:r>
    </w:p>
    <w:p>
      <w:pPr>
        <w:pStyle w:val="Normal"/>
      </w:pPr>
      <w:r>
        <w:t xml:space="preserve"/>
      </w:r>
    </w:p>
    <w:p>
      <w:pPr>
        <w:pStyle w:val="Titre3"/>
      </w:pPr>
      <w:r>
        <w:t xml:space="preserve">Table ST8</w:t>
      </w:r>
    </w:p>
    <w:p>
      <w:pPr>
        <w:pStyle w:val="Normal"/>
      </w:pPr>
      <w:r>
        <w:t xml:space="preserve">MAIA-Confidence Association Controlling for Self-Esteem (Study 5)</w:t>
      </w:r>
    </w:p>
    <w:tbl xmlns:a="http://schemas.openxmlformats.org/drawingml/2006/main" xmlns:pic="http://schemas.openxmlformats.org/drawingml/2006/picture">
      <w:tblPr>
        <w:tblLayout w:type="fixed"/>
        <w:jc w:val="center"/>
        <w:tblLook w:firstRow="1" w:lastRow="0" w:firstColumn="0" w:lastColumn="0" w:noHBand="0" w:noVBand="1"/>
      </w:tblPr>
      <w:tblGrid>
        <w:gridCol w:w="1008"/>
        <w:gridCol w:w="2448"/>
        <w:gridCol w:w="720"/>
        <w:gridCol w:w="1296"/>
        <w:gridCol w:w="1008"/>
      </w:tblGrid>
      <w:tr>
        <w:trPr>
          <w:trHeight w:val="360"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Session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Covariate controlled</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partial r</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w:t>
            </w:r>
          </w:p>
        </w:tc>
      </w:tr>
      <w:tr>
        <w:trPr>
          <w:trHeight w:val="360" w:hRule="auto"/>
        </w:trPr>
        body1
        <w:tc>
          <w:tcPr>
            <w:vMerge w:val="restart"/>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None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body2
        <w:tc>
          <w:tcPr>
            <w:vMerge/>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MSES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.003</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MSES self-doubt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.002</w:t>
            </w:r>
          </w:p>
        </w:tc>
      </w:tr>
      <w:tr>
        <w:trPr>
          <w:trHeight w:val="360" w:hRule="auto"/>
        </w:trPr>
        body4
        <w:tc>
          <w:tcPr>
            <w:vMerge/>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Both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.003</w:t>
            </w:r>
          </w:p>
        </w:tc>
      </w:tr>
      <w:tr>
        <w:trPr>
          <w:trHeight w:val="360" w:hRule="auto"/>
        </w:trPr>
        body5
        <w:tc>
          <w:tcPr>
            <w:vMerge w:val="restart"/>
            <w:tcBorders>
              <w:bottom w:val="single" w:sz="12"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None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.293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body6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MSES 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MSES self-doubt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body8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Both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.001</w:t>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Partial correlations of MAIA total score with session-level mean detection confidence, after controlling for self-esteem measures (Study 5). Session 1 = Block 1 (Breath or Visual condition, counterbalanced; N = 201). Session 2 = Block 2 (all participants: Breath condition; N = 155). MSES = Multidimensional Self-Esteem Scale–12 (Rentzsch et al., 2022). The MAIA–confidence association remained significant and largely unchanged in magnitude after controlling for both MSES total and self-doubt subscale.</w:t>
      </w:r>
    </w:p>
    <w:p>
      <w:pPr>
        <w:pStyle w:val="Normal"/>
      </w:pPr>
      <w:r>
        <w:t xml:space="preserve"/>
      </w:r>
    </w:p>
    <w:p>
      <w:pPr>
        <w:pStyle w:val="Titre3"/>
      </w:pPr>
      <w:r>
        <w:t xml:space="preserve">Table ST9</w:t>
      </w:r>
    </w:p>
    <w:p>
      <w:pPr>
        <w:pStyle w:val="Normal"/>
      </w:pPr>
      <w:r>
        <w:t xml:space="preserve">Individual Differences: Questionnaire Associations Replicating Across Studies 4 and 5</w:t>
      </w:r>
    </w:p>
    <w:tbl xmlns:a="http://schemas.openxmlformats.org/drawingml/2006/main" xmlns:pic="http://schemas.openxmlformats.org/drawingml/2006/picture">
      <w:tblPr>
        <w:tblLayout w:type="fixed"/>
        <w:jc w:val="center"/>
        <w:tblLook w:firstRow="1" w:lastRow="0" w:firstColumn="0" w:lastColumn="0" w:noHBand="0" w:noVBand="1"/>
      </w:tblPr>
      <w:tblGrid>
        <w:gridCol w:w="2736"/>
        <w:gridCol w:w="2232"/>
        <w:gridCol w:w="504"/>
        <w:gridCol w:w="576"/>
        <w:gridCol w:w="1584"/>
        <w:gridCol w:w="720"/>
        <w:gridCol w:w="504"/>
        <w:gridCol w:w="576"/>
        <w:gridCol w:w="1584"/>
        <w:gridCol w:w="720"/>
      </w:tblGrid>
      <w:tr>
        <w:trPr>
          <w:trHeight w:val="360" w:hRule="auto"/>
          <w:tblHeader/>
        </w:trPr>
        header1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
            </w:r>
          </w:p>
        </w:tc>
        <w:tc>
          <w:tcPr>
            <w:gridSpan w:val="4"/>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Study 4</w:t>
            </w:r>
          </w:p>
        </w:tc>
        <w:tc>
          <w:tcPr>
            <w:gridSpan w:val="4"/>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true"/>
                <w:b w:val="false"/>
                <w:u w:val="none"/>
                <w:sz w:val="22"/>
                <w:szCs w:val="22"/>
                <w:color w:val="000000"/>
              </w:rPr>
            </w:pPr>
            <w:r>
              <w:rPr>
                <w:rFonts w:ascii="Times New Roman" w:hAnsi="Times New Roman" w:eastAsia="Times New Roman" w:cs="Times New Roman"/>
                <w:i w:val="true"/>
                <w:b w:val="false"/>
                <w:u w:val="none"/>
                <w:sz w:val="22"/>
                <w:szCs w:val="22"/>
                <w:color w:val="000000"/>
              </w:rPr>
              <w:t xml:space="preserve">Study 5</w:t>
            </w:r>
          </w:p>
        </w:tc>
      </w:tr>
      <w:tr>
        <w:trPr>
          <w:trHeight w:val="360" w:hRule="auto"/>
          <w:tblHeader/>
        </w:trPr>
        header2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Task feature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Questionnaire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95% CI</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95% CI</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p</w:t>
            </w:r>
          </w:p>
        </w:tc>
      </w:tr>
      <w:tr>
        <w:trPr>
          <w:trHeight w:val="360" w:hRule="auto"/>
        </w:trPr>
        body1
        <w:tc>
          <w:tcPr>
            <w:vMerge w:val="restart"/>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Mean detection confidence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MAIA Total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 .55]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 .40]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&lt; .001</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MAIA Emotional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[.09,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.002</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Arousal slope: hit trials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MAIA Emotional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[-.43,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[-.31,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.019</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Confidence–accuracy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MAIA Trusting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[-.35,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[-.30,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.034</w:t>
            </w:r>
          </w:p>
        </w:tc>
      </w:tr>
      <w:tr>
        <w:trPr>
          <w:trHeight w:val="360" w:hRule="auto"/>
        </w:trPr>
        body5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Mean arousal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MAIA Total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63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[-.03, .45]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.081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181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 .30]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.029</w:t>
            </w:r>
          </w:p>
        </w:tc>
      </w:tr>
    </w:tbl>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18"/>
          <w:szCs w:val="18"/>
          <w:color w:val="000000"/>
        </w:rPr>
        <w:t xml:space="preserve">Note. </w:t>
      </w:r>
      <w:r>
        <w:rPr>
          <w:rFonts w:ascii="Times New Roman" w:hAnsi="Times New Roman" w:eastAsia="Times New Roman" w:cs="Times New Roman"/>
          <w:i w:val="false"/>
          <w:b w:val="false"/>
          <w:u w:val="none"/>
          <w:sz w:val="18"/>
          <w:szCs w:val="18"/>
          <w:color w:val="000000"/>
        </w:rPr>
        <w:t xml:space="preserve">Pearson correlations between person-level task features and questionnaire scores, restricted to the five task × questionnaire pairs showing directional replication across Studies 4 and 5 (same sign and nominally significant in Study 5). Task features: ‘Mean detection confidence’ = mean trial-level confidence rating; ‘Arousal slope: hit trials’ = within-person regression slope of arousal on breathing change magnitude, hit trials only; ‘Confidence–accuracy correlation’ = within-person r(confidence, accuracy). All correlations are uncorrected for multiple comparisons and should be treated as exploratory. MAIA = Multidimensional Assessment of Interoceptive Awareness (total and subscale scores). 95% CIs based on Fisher r-to-z transformation.</w:t>
      </w:r>
    </w:p>
    <w:p>
      <w:pPr>
        <w:pStyle w:val="Normal"/>
      </w:pPr>
      <w:r>
        <w:t xml:space="preserve"/>
      </w:r>
    </w:p>
    <w:sectPr>
      <w:pgMar w:header="708" w:bottom="1440" w:top="1440" w:right="1440" w:left="144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2026-05-17T00:11:20Z</dcterms:modified>
  <cp:category/>
</cp:coreProperties>
</file>