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3"/>
      </w:pPr>
      <w:r>
        <w:t xml:space="preserve">Table SR1</w:t>
      </w:r>
    </w:p>
    <w:p>
      <w:pPr>
        <w:pStyle w:val="Normal"/>
      </w:pPr>
      <w:r>
        <w:t xml:space="preserve">MAIA Internal Consistency Across Studies and Versions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576"/>
        <w:gridCol w:w="1901"/>
        <w:gridCol w:w="1901"/>
        <w:gridCol w:w="1901"/>
        <w:gridCol w:w="1901"/>
        <w:gridCol w:w="1901"/>
      </w:tblGrid>
      <w:tr>
        <w:trPr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Subscale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Items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Study 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 = 184)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Study 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 = 167)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Study 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 = 246)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Study 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 = 146)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Study 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 = 225)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MAIA-2 (37 items)   Mehling et al., 2018; scale 0–5; Studies 1–2</w:t>
            </w:r>
          </w:p>
        </w:tc>
        <w:tc>
          <w:tcPr>
            <w:gridSpan w:val="6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Noticing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Not-Distracting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Not-Worrying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Attention Regulation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Emotional Awareness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Self-Regulation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Listening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.88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.88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MAIA-1 (32 items)   Mehling et al., 2012; scale 1–7 in Study 3; means not comparable with MAIA-2</w:t>
            </w:r>
          </w:p>
        </w:tc>
        <w:tc>
          <w:tcPr>
            <w:gridSpan w:val="6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Noticing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Not-Distracting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Not-Worrying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Attention Regulation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Emotional Awareness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Self-Regulation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Listening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.91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Brief MAIA-2 (24 items)   Rogowska et al., 2023; 3 items per subscale; scale 0–5; Studies 4–5</w:t>
            </w:r>
          </w:p>
        </w:tc>
        <w:tc>
          <w:tcPr>
            <w:gridSpan w:val="6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Noticing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.52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Not-Distracting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.79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Not-Worrying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.81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Attention Regulation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.83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Emotional Awareness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.80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Self-Regulation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.79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Listening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.79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.88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.81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.80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18"/>
          <w:szCs w:val="18"/>
          <w:color w:val="000000"/>
        </w:rPr>
        <w:t xml:space="preserve">Note.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z w:val="18"/>
          <w:szCs w:val="18"/>
          <w:color w:val="000000"/>
        </w:rPr>
        <w:t xml:space="preserve">α = Cronbach’s alpha.  -- = scale not administered.  MAIA-1: original 32-item version (Mehling et al., 2012).  MAIA-2: revised 37-item version (Mehling et al., 2018).  Brief MAIA-2: 24-item version with 3 items per subscale (Rogowska et al., 2023).  Subscale means are not comparable across versions (MAIA-1: 1–7; MAIA-2: 0–5).  3-item subscales (Brief MAIA-2) should be interpreted with caution.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Table SR2</w:t>
      </w:r>
    </w:p>
    <w:p>
      <w:pPr>
        <w:pStyle w:val="Normal"/>
      </w:pPr>
      <w:r>
        <w:t xml:space="preserve">Scale Internal Consistency: All Other Measures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6"/>
        <w:gridCol w:w="2880"/>
        <w:gridCol w:w="648"/>
        <w:gridCol w:w="2218"/>
        <w:gridCol w:w="2218"/>
        <w:gridCol w:w="2218"/>
        <w:gridCol w:w="2218"/>
      </w:tblGrid>
      <w:tr>
        <w:trPr>
          <w:trHeight w:val="360" w:hRule="auto"/>
          <w:tblHeader/>
        </w:trPr>
        header 1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Subscale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Items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Study 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 = 167)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Study 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 = 246)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Study 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 = 146)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Study 5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 = 225)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BIPS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.83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BARQ-R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.72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MSES-12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.88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Self-Doubt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 = .61†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PANAS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Positive Affect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Negative Affect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9‡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PAQ-S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.79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PHQ-4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 = .79†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 = .79†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 = .59†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 = .60†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PSS-10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.88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Stress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Single item (VAS)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Wellbeing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.73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--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z w:val="18"/>
          <w:szCs w:val="18"/>
          <w:color w:val="000000"/>
        </w:rPr>
        <w:t xml:space="preserve">Note. 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z w:val="18"/>
          <w:szCs w:val="18"/>
          <w:color w:val="000000"/>
        </w:rPr>
        <w:t xml:space="preserve">α = Cronbach’s alpha.  -- = scale not administered.  n/a = not applicable (behavioral task or single item).  † Inter-item Pearson r reported; α not appropriate for 2-item scales.  ‡ PANAS Negative Affect has 9 items in Study 3; item 20 (“Afraid”) was inadvertently omitted.  BIPS = Brief Inventory of Perceived Stress; BARQ-R = Body Awareness Rating Questionnaire–Revised; PAQ-S = Perth Alexithymia Questionnaire–Short Form; MSES-12 = Multidimensional Self-Esteem Scale ultra-short form; SPANE = Scale of Positive and Negative Experience.  BIS/BAS, BART, GAD-7, PHQ-9, PHQ-15, and REI were administered as exploratory individual difference measures and are not included in this table (see SM2).</w:t>
      </w:r>
    </w:p>
    <w:sectPr>
      <w:pgMar w:header="708" w:bottom="1080" w:top="1080" w:right="1080" w:left="1080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2026-05-16T17:12:22Z</dcterms:modified>
  <cp:category/>
</cp:coreProperties>
</file>