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74C79" w14:textId="77777777" w:rsidR="006344E5" w:rsidRPr="006344E5" w:rsidRDefault="006344E5" w:rsidP="006344E5">
      <w:pPr>
        <w:numPr>
          <w:ilvl w:val="2"/>
          <w:numId w:val="3"/>
        </w:numPr>
        <w:rPr>
          <w:rFonts w:ascii="Times New Roman" w:hAnsi="Times New Roman" w:cs="Times New Roman"/>
          <w:b/>
          <w:bCs/>
          <w:highlight w:val="lightGray"/>
        </w:rPr>
      </w:pPr>
      <w:r w:rsidRPr="006344E5">
        <w:rPr>
          <w:rFonts w:ascii="Times New Roman" w:hAnsi="Times New Roman" w:cs="Times New Roman"/>
          <w:b/>
          <w:bCs/>
          <w:highlight w:val="lightGray"/>
        </w:rPr>
        <w:t>Table 1</w:t>
      </w:r>
    </w:p>
    <w:p w14:paraId="292D83CB" w14:textId="77777777" w:rsidR="006344E5" w:rsidRPr="006344E5" w:rsidRDefault="006344E5" w:rsidP="006344E5">
      <w:pPr>
        <w:rPr>
          <w:rFonts w:ascii="Times New Roman" w:hAnsi="Times New Roman" w:cs="Times New Roman"/>
          <w:highlight w:val="lightGray"/>
        </w:rPr>
      </w:pPr>
      <w:r w:rsidRPr="006344E5">
        <w:rPr>
          <w:rFonts w:ascii="Times New Roman" w:hAnsi="Times New Roman" w:cs="Times New Roman"/>
          <w:highlight w:val="lightGray"/>
        </w:rPr>
        <w:t>Study Overview and Sample Characteristics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04"/>
        <w:gridCol w:w="1411"/>
        <w:gridCol w:w="1267"/>
        <w:gridCol w:w="1267"/>
        <w:gridCol w:w="1267"/>
        <w:gridCol w:w="1267"/>
      </w:tblGrid>
      <w:tr w:rsidR="006344E5" w:rsidRPr="006344E5" w14:paraId="152C3AD3" w14:textId="77777777" w:rsidTr="00E11272">
        <w:trPr>
          <w:tblHeader/>
          <w:jc w:val="center"/>
        </w:trPr>
        <w:tc>
          <w:tcPr>
            <w:tcW w:w="2304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5C14F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</w:p>
        </w:tc>
        <w:tc>
          <w:tcPr>
            <w:tcW w:w="1411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5E73E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Study 1A/1Bᵃ</w:t>
            </w:r>
          </w:p>
        </w:tc>
        <w:tc>
          <w:tcPr>
            <w:tcW w:w="1267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4EC71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Study 2</w:t>
            </w:r>
          </w:p>
        </w:tc>
        <w:tc>
          <w:tcPr>
            <w:tcW w:w="1267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FB0B9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Study 3</w:t>
            </w:r>
          </w:p>
        </w:tc>
        <w:tc>
          <w:tcPr>
            <w:tcW w:w="1267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B84D8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Study 4</w:t>
            </w:r>
          </w:p>
        </w:tc>
        <w:tc>
          <w:tcPr>
            <w:tcW w:w="1267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431ED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Study 5</w:t>
            </w:r>
          </w:p>
        </w:tc>
      </w:tr>
      <w:tr w:rsidR="006344E5" w:rsidRPr="006344E5" w14:paraId="48CB0DCB" w14:textId="77777777" w:rsidTr="00E11272">
        <w:trPr>
          <w:jc w:val="center"/>
        </w:trPr>
        <w:tc>
          <w:tcPr>
            <w:tcW w:w="230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96F71" w14:textId="77777777" w:rsidR="006344E5" w:rsidRPr="006344E5" w:rsidRDefault="006344E5" w:rsidP="006344E5">
            <w:pPr>
              <w:rPr>
                <w:rFonts w:ascii="Times New Roman" w:hAnsi="Times New Roman" w:cs="Times New Roman"/>
                <w:b/>
                <w:highlight w:val="lightGray"/>
              </w:rPr>
            </w:pPr>
            <w:r w:rsidRPr="006344E5">
              <w:rPr>
                <w:rFonts w:ascii="Times New Roman" w:hAnsi="Times New Roman" w:cs="Times New Roman"/>
                <w:b/>
                <w:highlight w:val="lightGray"/>
              </w:rPr>
              <w:t>N</w:t>
            </w:r>
          </w:p>
        </w:tc>
        <w:tc>
          <w:tcPr>
            <w:tcW w:w="141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52422" w14:textId="77777777" w:rsidR="006344E5" w:rsidRPr="006344E5" w:rsidRDefault="006344E5" w:rsidP="006344E5">
            <w:pPr>
              <w:rPr>
                <w:rFonts w:ascii="Times New Roman" w:hAnsi="Times New Roman" w:cs="Times New Roman"/>
                <w:b/>
                <w:highlight w:val="lightGray"/>
              </w:rPr>
            </w:pPr>
            <w:r w:rsidRPr="006344E5">
              <w:rPr>
                <w:rFonts w:ascii="Times New Roman" w:hAnsi="Times New Roman" w:cs="Times New Roman"/>
                <w:b/>
                <w:highlight w:val="lightGray"/>
              </w:rPr>
              <w:t>181</w:t>
            </w:r>
          </w:p>
        </w:tc>
        <w:tc>
          <w:tcPr>
            <w:tcW w:w="126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7FD47" w14:textId="77777777" w:rsidR="006344E5" w:rsidRPr="006344E5" w:rsidRDefault="006344E5" w:rsidP="006344E5">
            <w:pPr>
              <w:rPr>
                <w:rFonts w:ascii="Times New Roman" w:hAnsi="Times New Roman" w:cs="Times New Roman"/>
                <w:b/>
                <w:highlight w:val="lightGray"/>
              </w:rPr>
            </w:pPr>
            <w:r w:rsidRPr="006344E5">
              <w:rPr>
                <w:rFonts w:ascii="Times New Roman" w:hAnsi="Times New Roman" w:cs="Times New Roman"/>
                <w:b/>
                <w:highlight w:val="lightGray"/>
              </w:rPr>
              <w:t>166</w:t>
            </w:r>
          </w:p>
        </w:tc>
        <w:tc>
          <w:tcPr>
            <w:tcW w:w="126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C46DE" w14:textId="77777777" w:rsidR="006344E5" w:rsidRPr="006344E5" w:rsidRDefault="006344E5" w:rsidP="006344E5">
            <w:pPr>
              <w:rPr>
                <w:rFonts w:ascii="Times New Roman" w:hAnsi="Times New Roman" w:cs="Times New Roman"/>
                <w:b/>
                <w:highlight w:val="lightGray"/>
              </w:rPr>
            </w:pPr>
            <w:r w:rsidRPr="006344E5">
              <w:rPr>
                <w:rFonts w:ascii="Times New Roman" w:hAnsi="Times New Roman" w:cs="Times New Roman"/>
                <w:b/>
                <w:highlight w:val="lightGray"/>
              </w:rPr>
              <w:t>103</w:t>
            </w:r>
          </w:p>
        </w:tc>
        <w:tc>
          <w:tcPr>
            <w:tcW w:w="126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75D5B" w14:textId="77777777" w:rsidR="006344E5" w:rsidRPr="006344E5" w:rsidRDefault="006344E5" w:rsidP="006344E5">
            <w:pPr>
              <w:rPr>
                <w:rFonts w:ascii="Times New Roman" w:hAnsi="Times New Roman" w:cs="Times New Roman"/>
                <w:b/>
                <w:highlight w:val="lightGray"/>
              </w:rPr>
            </w:pPr>
            <w:r w:rsidRPr="006344E5">
              <w:rPr>
                <w:rFonts w:ascii="Times New Roman" w:hAnsi="Times New Roman" w:cs="Times New Roman"/>
                <w:b/>
                <w:highlight w:val="lightGray"/>
              </w:rPr>
              <w:t>131</w:t>
            </w:r>
          </w:p>
        </w:tc>
        <w:tc>
          <w:tcPr>
            <w:tcW w:w="126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55A6F" w14:textId="77777777" w:rsidR="006344E5" w:rsidRPr="006344E5" w:rsidRDefault="006344E5" w:rsidP="006344E5">
            <w:pPr>
              <w:rPr>
                <w:rFonts w:ascii="Times New Roman" w:hAnsi="Times New Roman" w:cs="Times New Roman"/>
                <w:b/>
                <w:highlight w:val="lightGray"/>
              </w:rPr>
            </w:pPr>
            <w:r w:rsidRPr="006344E5">
              <w:rPr>
                <w:rFonts w:ascii="Times New Roman" w:hAnsi="Times New Roman" w:cs="Times New Roman"/>
                <w:b/>
                <w:highlight w:val="lightGray"/>
              </w:rPr>
              <w:t>206</w:t>
            </w:r>
          </w:p>
        </w:tc>
      </w:tr>
      <w:tr w:rsidR="006344E5" w:rsidRPr="006344E5" w14:paraId="18AC87F7" w14:textId="77777777" w:rsidTr="00E11272">
        <w:trPr>
          <w:jc w:val="center"/>
        </w:trPr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D0ACD" w14:textId="77777777" w:rsidR="006344E5" w:rsidRPr="006344E5" w:rsidRDefault="006344E5" w:rsidP="006344E5">
            <w:pP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Age, M (SD)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41D16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25.7 (8.4)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C9AD3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28.1 (10.3)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C7594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19.5 (2.0)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7A261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19.4 (3.4)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D477F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19.1 (2.1)</w:t>
            </w:r>
          </w:p>
        </w:tc>
      </w:tr>
      <w:tr w:rsidR="006344E5" w:rsidRPr="006344E5" w14:paraId="583BDF5D" w14:textId="77777777" w:rsidTr="00E11272">
        <w:trPr>
          <w:jc w:val="center"/>
        </w:trPr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8C461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Women / Men / Other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2992D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60 / 113 / 8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B2851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51 / 114 / 1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68485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76 / 27 / 0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694AB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92 / 36 / 3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2405B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162 / 35 / 9</w:t>
            </w:r>
          </w:p>
        </w:tc>
      </w:tr>
      <w:tr w:rsidR="006344E5" w:rsidRPr="006344E5" w14:paraId="2A611F0F" w14:textId="77777777" w:rsidTr="00E11272">
        <w:trPr>
          <w:jc w:val="center"/>
        </w:trPr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4D9D1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Setting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4D109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Online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42342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Online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95E6A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Lab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7CE44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Online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0E4AA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Lab</w:t>
            </w:r>
          </w:p>
        </w:tc>
      </w:tr>
      <w:tr w:rsidR="006344E5" w:rsidRPr="006344E5" w14:paraId="364959F7" w14:textId="77777777" w:rsidTr="00E11272">
        <w:trPr>
          <w:jc w:val="center"/>
        </w:trPr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138FF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Recruitment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47178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Prolific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1D28C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Prolific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72969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UTM SONA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C9834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UTM SONA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7F4DB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UTM SONA</w:t>
            </w:r>
          </w:p>
        </w:tc>
      </w:tr>
      <w:tr w:rsidR="006344E5" w:rsidRPr="006344E5" w14:paraId="4E1668EE" w14:textId="77777777" w:rsidTr="00E11272">
        <w:trPr>
          <w:jc w:val="center"/>
        </w:trPr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D1B7E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Staircase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4848C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Robbins–Monro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DA52F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Robbins–Monro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6CA00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Fixed magnitudes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0383E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Quest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A7EFC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Quest</w:t>
            </w:r>
          </w:p>
        </w:tc>
      </w:tr>
      <w:tr w:rsidR="006344E5" w:rsidRPr="006344E5" w14:paraId="6979DDD6" w14:textId="77777777" w:rsidTr="00E11272">
        <w:trPr>
          <w:jc w:val="center"/>
        </w:trPr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45511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Arousal scale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04884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VAS (0–50)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AB389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VAS (0–50)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688D4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SAM (1–9)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C02BC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Emoji (1–6)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1B859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Emoji (1–6)</w:t>
            </w:r>
          </w:p>
        </w:tc>
      </w:tr>
      <w:tr w:rsidR="006344E5" w:rsidRPr="006344E5" w14:paraId="1663F5B7" w14:textId="77777777" w:rsidTr="00E11272">
        <w:trPr>
          <w:jc w:val="center"/>
        </w:trPr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03ABB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Salience manipulation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9BF32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8C1E6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37223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Segoe UI Symbol" w:hAnsi="Segoe UI Symbol" w:cs="Segoe UI Symbol"/>
                <w:highlight w:val="lightGray"/>
              </w:rPr>
              <w:t>✓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EA3E6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Segoe UI Symbol" w:hAnsi="Segoe UI Symbol" w:cs="Segoe UI Symbol"/>
                <w:highlight w:val="lightGray"/>
              </w:rPr>
              <w:t>✓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279B6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Segoe UI Symbol" w:hAnsi="Segoe UI Symbol" w:cs="Segoe UI Symbol"/>
                <w:highlight w:val="lightGray"/>
              </w:rPr>
              <w:t>✓</w:t>
            </w:r>
          </w:p>
        </w:tc>
      </w:tr>
      <w:tr w:rsidR="006344E5" w:rsidRPr="006344E5" w14:paraId="0597B372" w14:textId="77777777" w:rsidTr="00E11272">
        <w:trPr>
          <w:jc w:val="center"/>
        </w:trPr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6229C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Visual control (H4C)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A65D5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167D5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92CD8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A4BD6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Segoe UI Symbol" w:hAnsi="Segoe UI Symbol" w:cs="Segoe UI Symbol"/>
                <w:highlight w:val="lightGray"/>
              </w:rPr>
              <w:t>✓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C23D6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Segoe UI Symbol" w:hAnsi="Segoe UI Symbol" w:cs="Segoe UI Symbol"/>
                <w:highlight w:val="lightGray"/>
              </w:rPr>
              <w:t>✓</w:t>
            </w:r>
          </w:p>
        </w:tc>
      </w:tr>
      <w:tr w:rsidR="006344E5" w:rsidRPr="006344E5" w14:paraId="3AD37A54" w14:textId="77777777" w:rsidTr="00E11272">
        <w:trPr>
          <w:jc w:val="center"/>
        </w:trPr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BC2B4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Physiological recording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94643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94E22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7475E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9B2E5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0DB8C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Segoe UI Symbol" w:hAnsi="Segoe UI Symbol" w:cs="Segoe UI Symbol"/>
                <w:highlight w:val="lightGray"/>
              </w:rPr>
              <w:t>✓</w:t>
            </w:r>
          </w:p>
        </w:tc>
      </w:tr>
      <w:tr w:rsidR="006344E5" w:rsidRPr="006344E5" w14:paraId="7A0996DD" w14:textId="77777777" w:rsidTr="00E11272">
        <w:trPr>
          <w:jc w:val="center"/>
        </w:trPr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8B4A4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Preregistered</w:t>
            </w:r>
          </w:p>
        </w:tc>
        <w:tc>
          <w:tcPr>
            <w:tcW w:w="141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6E666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A356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3CA46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3A377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Times New Roman" w:hAnsi="Times New Roman" w:cs="Times New Roman"/>
                <w:highlight w:val="lightGray"/>
              </w:rPr>
              <w:t>—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2E35F" w14:textId="77777777" w:rsidR="006344E5" w:rsidRPr="006344E5" w:rsidRDefault="006344E5" w:rsidP="006344E5">
            <w:pPr>
              <w:rPr>
                <w:rFonts w:ascii="Times New Roman" w:hAnsi="Times New Roman" w:cs="Times New Roman"/>
                <w:highlight w:val="lightGray"/>
              </w:rPr>
            </w:pPr>
            <w:r w:rsidRPr="006344E5">
              <w:rPr>
                <w:rFonts w:ascii="Segoe UI Symbol" w:hAnsi="Segoe UI Symbol" w:cs="Segoe UI Symbol"/>
                <w:highlight w:val="lightGray"/>
              </w:rPr>
              <w:t>✓</w:t>
            </w:r>
          </w:p>
        </w:tc>
      </w:tr>
    </w:tbl>
    <w:p w14:paraId="5CED96F1" w14:textId="77777777" w:rsidR="006344E5" w:rsidRPr="006344E5" w:rsidRDefault="006344E5" w:rsidP="006344E5">
      <w:pPr>
        <w:rPr>
          <w:rFonts w:ascii="Times New Roman" w:hAnsi="Times New Roman" w:cs="Times New Roman"/>
          <w:highlight w:val="lightGray"/>
        </w:rPr>
      </w:pPr>
      <w:r w:rsidRPr="006344E5">
        <w:rPr>
          <w:rFonts w:ascii="Times New Roman" w:hAnsi="Times New Roman" w:cs="Times New Roman"/>
          <w:b/>
          <w:highlight w:val="lightGray"/>
        </w:rPr>
        <w:t xml:space="preserve">Note. </w:t>
      </w:r>
      <w:r w:rsidRPr="006344E5">
        <w:rPr>
          <w:rFonts w:ascii="Times New Roman" w:hAnsi="Times New Roman" w:cs="Times New Roman"/>
          <w:highlight w:val="lightGray"/>
        </w:rPr>
        <w:t>UTM = University of Toronto Mississauga. VAS = visual analogue scale (0–50). SAM = Self-Assessment Manikin (1–9). Quest = Watson–Pelli adaptive Bayesian staircase (75% correct target). Robbins–Monro = stochastic approximation staircase. Salience manipulation = high (abrupt) vs. low (gradual) onset of change. Visual control = between-groups visual pacing condition (interoceptive specificity, H4C). ᵃStudy 1B was conducted in the same session as Study 1A using an ascending-limits procedure (N = 181, same sample). Study 1B data are used for procedure comparison only (Supplementary S1.1) and excluded from all arousal and MAIA analyses.</w:t>
      </w:r>
    </w:p>
    <w:p w14:paraId="21C482BB" w14:textId="77777777" w:rsidR="006344E5" w:rsidRPr="006344E5" w:rsidRDefault="006344E5" w:rsidP="006344E5">
      <w:pPr>
        <w:rPr>
          <w:rFonts w:ascii="Times New Roman" w:hAnsi="Times New Roman" w:cs="Times New Roman"/>
          <w:highlight w:val="lightGray"/>
        </w:rPr>
      </w:pPr>
    </w:p>
    <w:p w14:paraId="17F767BD" w14:textId="77777777" w:rsidR="006344E5" w:rsidRDefault="006344E5">
      <w:pPr>
        <w:rPr>
          <w:rFonts w:ascii="Times New Roman" w:eastAsiaTheme="majorEastAsia" w:hAnsi="Times New Roman" w:cs="Times New Roman"/>
          <w:b/>
          <w:bCs/>
          <w:highlight w:val="lightGray"/>
        </w:rPr>
      </w:pPr>
      <w:r>
        <w:rPr>
          <w:rFonts w:ascii="Times New Roman" w:hAnsi="Times New Roman" w:cs="Times New Roman"/>
          <w:highlight w:val="lightGray"/>
        </w:rPr>
        <w:br w:type="page"/>
      </w:r>
    </w:p>
    <w:p w14:paraId="7D73A5F9" w14:textId="58177BDB" w:rsidR="00BA52D4" w:rsidRPr="00C95D77" w:rsidRDefault="00C80A29" w:rsidP="006344E5">
      <w:pPr>
        <w:pStyle w:val="Heading3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  <w:r w:rsidRPr="00C95D77">
        <w:rPr>
          <w:rFonts w:ascii="Times New Roman" w:hAnsi="Times New Roman" w:cs="Times New Roman"/>
        </w:rPr>
        <w:lastRenderedPageBreak/>
        <w:t xml:space="preserve">Table </w:t>
      </w:r>
      <w:r w:rsidR="00DA09DA">
        <w:rPr>
          <w:rFonts w:ascii="Times New Roman" w:hAnsi="Times New Roman" w:cs="Times New Roman"/>
        </w:rPr>
        <w:t>1</w:t>
      </w:r>
    </w:p>
    <w:p w14:paraId="58B329E8" w14:textId="77777777" w:rsidR="00BA52D4" w:rsidRPr="00C95D77" w:rsidRDefault="00C80A29">
      <w:pPr>
        <w:rPr>
          <w:rFonts w:ascii="Times New Roman" w:hAnsi="Times New Roman" w:cs="Times New Roman"/>
        </w:rPr>
      </w:pPr>
      <w:r w:rsidRPr="00C95D77">
        <w:rPr>
          <w:rFonts w:ascii="Times New Roman" w:hAnsi="Times New Roman" w:cs="Times New Roman"/>
        </w:rPr>
        <w:t>Arousal Gating by Awareness: Change × Accuracy Interaction Across Studies</w:t>
      </w:r>
    </w:p>
    <w:tbl>
      <w:tblPr>
        <w:tblW w:w="9072" w:type="dxa"/>
        <w:jc w:val="center"/>
        <w:tblLayout w:type="fixed"/>
        <w:tblLook w:val="0420" w:firstRow="1" w:lastRow="0" w:firstColumn="0" w:lastColumn="0" w:noHBand="0" w:noVBand="1"/>
      </w:tblPr>
      <w:tblGrid>
        <w:gridCol w:w="2127"/>
        <w:gridCol w:w="792"/>
        <w:gridCol w:w="909"/>
        <w:gridCol w:w="1701"/>
        <w:gridCol w:w="1134"/>
        <w:gridCol w:w="992"/>
        <w:gridCol w:w="1417"/>
      </w:tblGrid>
      <w:tr w:rsidR="00BA52D4" w:rsidRPr="00DA09DA" w14:paraId="7233B6BE" w14:textId="77777777" w:rsidTr="00DA09DA">
        <w:trPr>
          <w:tblHeader/>
          <w:jc w:val="center"/>
        </w:trPr>
        <w:tc>
          <w:tcPr>
            <w:tcW w:w="212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B8B36" w14:textId="77777777" w:rsidR="00BA52D4" w:rsidRPr="00DA09DA" w:rsidRDefault="00BA52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87FF8" w14:textId="77777777" w:rsidR="00BA52D4" w:rsidRPr="00DA09DA" w:rsidRDefault="00BA52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20F8D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Change × Accuracy</w:t>
            </w:r>
          </w:p>
        </w:tc>
        <w:tc>
          <w:tcPr>
            <w:tcW w:w="1134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B98D8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Miss vs.</w:t>
            </w:r>
            <w:r w:rsidRPr="00DA09D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br/>
              <w:t>Baseline</w:t>
            </w:r>
          </w:p>
        </w:tc>
        <w:tc>
          <w:tcPr>
            <w:tcW w:w="2409" w:type="dxa"/>
            <w:gridSpan w:val="2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383C9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Breath &gt; Visual</w:t>
            </w:r>
          </w:p>
        </w:tc>
      </w:tr>
      <w:tr w:rsidR="00BA52D4" w:rsidRPr="00DA09DA" w14:paraId="5EE2B8BA" w14:textId="77777777" w:rsidTr="00DA09DA">
        <w:trPr>
          <w:tblHeader/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699A0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059AE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90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D37C9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partial r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1F01E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5570F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BF₁₀ (null)ᵃ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9C213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partial r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734D6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95% CI</w:t>
            </w:r>
          </w:p>
        </w:tc>
      </w:tr>
      <w:tr w:rsidR="00BA52D4" w:rsidRPr="00DA09DA" w14:paraId="28F440CC" w14:textId="77777777" w:rsidTr="00DA09DA">
        <w:trPr>
          <w:jc w:val="center"/>
        </w:trPr>
        <w:tc>
          <w:tcPr>
            <w:tcW w:w="212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5A03F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1A</w:t>
            </w:r>
          </w:p>
        </w:tc>
        <w:tc>
          <w:tcPr>
            <w:tcW w:w="79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16136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909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B23AC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-.110</w:t>
            </w:r>
          </w:p>
        </w:tc>
        <w:tc>
          <w:tcPr>
            <w:tcW w:w="170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422CD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[-.148, -.072]</w:t>
            </w:r>
          </w:p>
        </w:tc>
        <w:tc>
          <w:tcPr>
            <w:tcW w:w="113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7D77B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8.61</w:t>
            </w:r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26EB0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1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D2A15" w14:textId="77777777" w:rsidR="00BA52D4" w:rsidRPr="00DA09DA" w:rsidRDefault="00BA52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A52D4" w:rsidRPr="00DA09DA" w14:paraId="3CF1BD32" w14:textId="77777777" w:rsidTr="00DA09DA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68B6E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2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FD314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9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1711E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-.109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D7758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[-.140, -.079]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85718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20.4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1EB50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D53B9" w14:textId="77777777" w:rsidR="00BA52D4" w:rsidRPr="00DA09DA" w:rsidRDefault="00BA52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A52D4" w:rsidRPr="00DA09DA" w14:paraId="587499A1" w14:textId="77777777" w:rsidTr="00DA09DA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3EA9A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3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BDBB4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9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8665A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-.184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B5BFF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[-.200, -.167]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4FC30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B79E7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08329" w14:textId="77777777" w:rsidR="00BA52D4" w:rsidRPr="00DA09DA" w:rsidRDefault="00BA52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A52D4" w:rsidRPr="00DA09DA" w14:paraId="32EE3D26" w14:textId="77777777" w:rsidTr="00DA09DA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6983F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4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B6BCD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131</w:t>
            </w:r>
          </w:p>
        </w:tc>
        <w:tc>
          <w:tcPr>
            <w:tcW w:w="9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352D2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-.076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CF05F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[-.103, -.049]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E3B30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9.40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16FA4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.052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499D4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[.025, .080]</w:t>
            </w:r>
          </w:p>
        </w:tc>
      </w:tr>
      <w:tr w:rsidR="00BA52D4" w:rsidRPr="00DA09DA" w14:paraId="1322BAFF" w14:textId="77777777" w:rsidTr="00DA09DA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C9A31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5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43D45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90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F3019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-.058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4F31E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[-.078, -.038]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F9D0A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29.9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86BFD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.036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39D34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[.014, .058]</w:t>
            </w:r>
          </w:p>
        </w:tc>
      </w:tr>
      <w:tr w:rsidR="00BA52D4" w:rsidRPr="00DA09DA" w14:paraId="234E889E" w14:textId="77777777" w:rsidTr="00DA09DA">
        <w:trPr>
          <w:jc w:val="center"/>
        </w:trPr>
        <w:tc>
          <w:tcPr>
            <w:tcW w:w="2127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C79B7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Pooled (meta-analytic)</w:t>
            </w:r>
          </w:p>
        </w:tc>
        <w:tc>
          <w:tcPr>
            <w:tcW w:w="792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63A58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k = 5</w:t>
            </w:r>
          </w:p>
        </w:tc>
        <w:tc>
          <w:tcPr>
            <w:tcW w:w="909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92C25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-.107</w:t>
            </w:r>
          </w:p>
        </w:tc>
        <w:tc>
          <w:tcPr>
            <w:tcW w:w="1701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F49C0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[-.151, -.064]</w:t>
            </w:r>
          </w:p>
        </w:tc>
        <w:tc>
          <w:tcPr>
            <w:tcW w:w="1134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D4170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434BE" w14:textId="77777777" w:rsidR="00BA52D4" w:rsidRPr="00DA09DA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DA09D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17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80256" w14:textId="77777777" w:rsidR="00BA52D4" w:rsidRPr="00DA09DA" w:rsidRDefault="00BA52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</w:tr>
    </w:tbl>
    <w:p w14:paraId="16DBD40B" w14:textId="77777777" w:rsidR="00BA52D4" w:rsidRPr="00C95D77" w:rsidRDefault="00C80A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</w:rPr>
      </w:pPr>
      <w:r w:rsidRPr="00C95D7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r w:rsidRPr="00C95D77">
        <w:rPr>
          <w:rFonts w:ascii="Times New Roman" w:eastAsia="Times New Roman" w:hAnsi="Times New Roman" w:cs="Times New Roman"/>
          <w:color w:val="000000"/>
          <w:sz w:val="20"/>
          <w:szCs w:val="20"/>
        </w:rPr>
        <w:t>Change × Accuracy partial r reflects the moderation of the breathing rate change–arousal relationship by trial-level detection accuracy (Hit = detected, Miss = not detected), from linear mixed-effects models with random intercepts per participant. Negative values indicate stronger change–arousal coupling on detected than missed trials. Likelihood ratio tests confirmed the quadratic Change² term significantly predicted subjective arousal in all five samples (all p &lt; .001). Breath &gt; Visual partial r indexes the arousal advantage for the Breath over Visual condition; available in Studies 4 and 5 only. Pooled row reports a random-effects meta-analytic estimate (k = 5; I² = 93.8%; heterogeneity driven by arousal scale differences across studies). Dashes indicate the measure was not available for that study.</w:t>
      </w:r>
      <w:r w:rsidRPr="00C95D7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a </w:t>
      </w:r>
      <w:r w:rsidRPr="00C95D7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BF₁₀ (null) = Bayes factor </w:t>
      </w:r>
      <w:proofErr w:type="spellStart"/>
      <w:r w:rsidRPr="00C95D77">
        <w:rPr>
          <w:rFonts w:ascii="Times New Roman" w:eastAsia="Times New Roman" w:hAnsi="Times New Roman" w:cs="Times New Roman"/>
          <w:color w:val="000000"/>
          <w:sz w:val="20"/>
          <w:szCs w:val="20"/>
        </w:rPr>
        <w:t>favouring</w:t>
      </w:r>
      <w:proofErr w:type="spellEnd"/>
      <w:r w:rsidRPr="00C95D7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the null that missed-change trials produce no arousal above the no-change baseline, from Bayesian multilevel models with default JZS prior (r = .707). Study 3 had no no-change baseline condition and is excluded.</w:t>
      </w:r>
    </w:p>
    <w:p w14:paraId="0A6257C8" w14:textId="77777777" w:rsidR="00BA52D4" w:rsidRPr="00C95D77" w:rsidRDefault="00BA52D4">
      <w:pPr>
        <w:rPr>
          <w:rFonts w:ascii="Times New Roman" w:hAnsi="Times New Roman" w:cs="Times New Roman"/>
        </w:rPr>
      </w:pPr>
    </w:p>
    <w:p w14:paraId="79CE4674" w14:textId="343D763C" w:rsidR="00BA52D4" w:rsidRPr="00C95D77" w:rsidRDefault="00C80A29">
      <w:pPr>
        <w:pStyle w:val="Heading3"/>
        <w:rPr>
          <w:rFonts w:ascii="Times New Roman" w:hAnsi="Times New Roman" w:cs="Times New Roman"/>
        </w:rPr>
      </w:pPr>
      <w:r w:rsidRPr="00C95D77">
        <w:rPr>
          <w:rFonts w:ascii="Times New Roman" w:hAnsi="Times New Roman" w:cs="Times New Roman"/>
        </w:rPr>
        <w:t xml:space="preserve">Table </w:t>
      </w:r>
      <w:r w:rsidR="00DA09DA">
        <w:rPr>
          <w:rFonts w:ascii="Times New Roman" w:hAnsi="Times New Roman" w:cs="Times New Roman"/>
        </w:rPr>
        <w:t>2</w:t>
      </w:r>
    </w:p>
    <w:p w14:paraId="7971D62F" w14:textId="77777777" w:rsidR="00BA52D4" w:rsidRPr="00C95D77" w:rsidRDefault="00C80A29">
      <w:pPr>
        <w:rPr>
          <w:rFonts w:ascii="Times New Roman" w:hAnsi="Times New Roman" w:cs="Times New Roman"/>
        </w:rPr>
      </w:pPr>
      <w:r w:rsidRPr="00C95D77">
        <w:rPr>
          <w:rFonts w:ascii="Times New Roman" w:hAnsi="Times New Roman" w:cs="Times New Roman"/>
        </w:rPr>
        <w:t>MAIA Validity: Dissociation of Confidence Prediction from Detection Threshold Prediction</w:t>
      </w:r>
    </w:p>
    <w:tbl>
      <w:tblPr>
        <w:tblW w:w="9448" w:type="dxa"/>
        <w:jc w:val="center"/>
        <w:tblLayout w:type="fixed"/>
        <w:tblLook w:val="0420" w:firstRow="1" w:lastRow="0" w:firstColumn="0" w:lastColumn="0" w:noHBand="0" w:noVBand="1"/>
      </w:tblPr>
      <w:tblGrid>
        <w:gridCol w:w="2127"/>
        <w:gridCol w:w="1236"/>
        <w:gridCol w:w="890"/>
        <w:gridCol w:w="1559"/>
        <w:gridCol w:w="709"/>
        <w:gridCol w:w="1559"/>
        <w:gridCol w:w="1368"/>
      </w:tblGrid>
      <w:tr w:rsidR="00BA52D4" w:rsidRPr="00710FBD" w14:paraId="2E498750" w14:textId="77777777" w:rsidTr="00710FBD">
        <w:trPr>
          <w:tblHeader/>
          <w:jc w:val="center"/>
        </w:trPr>
        <w:tc>
          <w:tcPr>
            <w:tcW w:w="212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2C7A1" w14:textId="77777777" w:rsidR="00BA52D4" w:rsidRPr="00710FBD" w:rsidRDefault="00BA52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13D62" w14:textId="77777777" w:rsidR="00BA52D4" w:rsidRPr="00710FBD" w:rsidRDefault="00BA52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2449" w:type="dxa"/>
            <w:gridSpan w:val="2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CC6E5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MAIA → Confidence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7276A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MAIA → Threshold</w:t>
            </w:r>
          </w:p>
        </w:tc>
        <w:tc>
          <w:tcPr>
            <w:tcW w:w="1368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000BF" w14:textId="77777777" w:rsidR="00BA52D4" w:rsidRPr="00710FBD" w:rsidRDefault="00BA52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</w:tr>
      <w:tr w:rsidR="00BA52D4" w:rsidRPr="00710FBD" w14:paraId="699F180E" w14:textId="77777777" w:rsidTr="00710FBD">
        <w:trPr>
          <w:tblHeader/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8DF81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</w:t>
            </w:r>
          </w:p>
        </w:tc>
        <w:tc>
          <w:tcPr>
            <w:tcW w:w="123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330BA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8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139BF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116B4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0A159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C8BF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41323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BF₁₀ (null)</w:t>
            </w:r>
          </w:p>
        </w:tc>
      </w:tr>
      <w:tr w:rsidR="00BA52D4" w:rsidRPr="00710FBD" w14:paraId="3251ABFD" w14:textId="77777777" w:rsidTr="00710FBD">
        <w:trPr>
          <w:jc w:val="center"/>
        </w:trPr>
        <w:tc>
          <w:tcPr>
            <w:tcW w:w="212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AB1F9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1A</w:t>
            </w:r>
          </w:p>
        </w:tc>
        <w:tc>
          <w:tcPr>
            <w:tcW w:w="123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A4B9C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89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39BAE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.190</w:t>
            </w:r>
          </w:p>
        </w:tc>
        <w:tc>
          <w:tcPr>
            <w:tcW w:w="1559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82D5D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[.045, .327]</w:t>
            </w:r>
          </w:p>
        </w:tc>
        <w:tc>
          <w:tcPr>
            <w:tcW w:w="709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129BF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.094</w:t>
            </w:r>
          </w:p>
        </w:tc>
        <w:tc>
          <w:tcPr>
            <w:tcW w:w="1559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B3983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[-.053, .237]</w:t>
            </w:r>
          </w:p>
        </w:tc>
        <w:tc>
          <w:tcPr>
            <w:tcW w:w="136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A281C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2.68</w:t>
            </w:r>
          </w:p>
        </w:tc>
      </w:tr>
      <w:tr w:rsidR="00BA52D4" w:rsidRPr="00710FBD" w14:paraId="6C5794D2" w14:textId="77777777" w:rsidTr="00710FBD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FDF75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2</w:t>
            </w:r>
          </w:p>
        </w:tc>
        <w:tc>
          <w:tcPr>
            <w:tcW w:w="12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C371C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B2270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.365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4F76F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[.225, .490]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52182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.006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35D4F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[-.146, .158]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F5472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5.54</w:t>
            </w:r>
          </w:p>
        </w:tc>
      </w:tr>
      <w:tr w:rsidR="00BA52D4" w:rsidRPr="00710FBD" w14:paraId="2C040106" w14:textId="77777777" w:rsidTr="00710FBD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51C58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3</w:t>
            </w:r>
          </w:p>
        </w:tc>
        <w:tc>
          <w:tcPr>
            <w:tcW w:w="12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D5714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25E87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.258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126BA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[.064, .434]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7848F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-.187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55DBA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[-.371, .011]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9AB79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—ᵇ</w:t>
            </w:r>
          </w:p>
        </w:tc>
      </w:tr>
      <w:tr w:rsidR="00BA52D4" w:rsidRPr="00710FBD" w14:paraId="5B52F444" w14:textId="77777777" w:rsidTr="00710FBD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80245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4</w:t>
            </w:r>
          </w:p>
        </w:tc>
        <w:tc>
          <w:tcPr>
            <w:tcW w:w="12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BE8A9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131</w:t>
            </w:r>
          </w:p>
        </w:tc>
        <w:tc>
          <w:tcPr>
            <w:tcW w:w="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95BD6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.239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4DC50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[.071, .395]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4AC0C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.104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93108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[-.068, .271]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AF697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2.52</w:t>
            </w:r>
          </w:p>
        </w:tc>
      </w:tr>
      <w:tr w:rsidR="00BA52D4" w:rsidRPr="00710FBD" w14:paraId="78773EE4" w14:textId="77777777" w:rsidTr="00710FBD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1C6D2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5</w:t>
            </w:r>
          </w:p>
        </w:tc>
        <w:tc>
          <w:tcPr>
            <w:tcW w:w="123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53244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8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63B95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.258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8BE03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[.124, .383]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E4EBB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.083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F4D61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[-.056, .219]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835DE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3.13</w:t>
            </w:r>
          </w:p>
        </w:tc>
      </w:tr>
      <w:tr w:rsidR="00BA52D4" w:rsidRPr="00710FBD" w14:paraId="545E9023" w14:textId="77777777" w:rsidTr="00710FBD">
        <w:trPr>
          <w:jc w:val="center"/>
        </w:trPr>
        <w:tc>
          <w:tcPr>
            <w:tcW w:w="2127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4A858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Pooled (meta-analytic)</w:t>
            </w:r>
          </w:p>
        </w:tc>
        <w:tc>
          <w:tcPr>
            <w:tcW w:w="1236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AE0A7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k = 5 / k = 4</w:t>
            </w:r>
          </w:p>
        </w:tc>
        <w:tc>
          <w:tcPr>
            <w:tcW w:w="890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958B5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.260</w:t>
            </w:r>
          </w:p>
        </w:tc>
        <w:tc>
          <w:tcPr>
            <w:tcW w:w="1559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D0321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[.199, .320]</w:t>
            </w:r>
          </w:p>
        </w:tc>
        <w:tc>
          <w:tcPr>
            <w:tcW w:w="709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DC7A1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.071</w:t>
            </w:r>
          </w:p>
        </w:tc>
        <w:tc>
          <w:tcPr>
            <w:tcW w:w="1559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03FA3" w14:textId="77777777" w:rsidR="00BA52D4" w:rsidRPr="00710FBD" w:rsidRDefault="00C80A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10FB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[-.003, .145]</w:t>
            </w:r>
          </w:p>
        </w:tc>
        <w:tc>
          <w:tcPr>
            <w:tcW w:w="1368" w:type="dxa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60305" w14:textId="77777777" w:rsidR="00BA52D4" w:rsidRPr="00710FBD" w:rsidRDefault="00BA52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</w:tr>
    </w:tbl>
    <w:p w14:paraId="4ACC66D5" w14:textId="77777777" w:rsidR="00BA52D4" w:rsidRPr="00C95D77" w:rsidRDefault="00C80A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</w:rPr>
      </w:pPr>
      <w:r w:rsidRPr="00C95D7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r w:rsidRPr="00C95D77">
        <w:rPr>
          <w:rFonts w:ascii="Times New Roman" w:eastAsia="Times New Roman" w:hAnsi="Times New Roman" w:cs="Times New Roman"/>
          <w:color w:val="000000"/>
          <w:sz w:val="20"/>
          <w:szCs w:val="20"/>
        </w:rPr>
        <w:t>MAIA → Confidence: Pearson r between MAIA total score and mean trial-level detection confidence. MAIA → Threshold: Pearson r between MAIA total score and individually estimated detection threshold (staircase-derived). BF₁₀ (null) = Bayes factor for the null MAIA–threshold association, default JZS prior (r = .707). Pooled rows report random-effects meta-analytic estimates (k = 5 for MAIA–confidence; k = 4 for MAIA–threshold). 95% CIs based on Fisher r-to-z transformation.</w:t>
      </w:r>
      <w:r w:rsidRPr="00C95D7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b </w:t>
      </w:r>
      <w:r w:rsidRPr="00C95D77">
        <w:rPr>
          <w:rFonts w:ascii="Times New Roman" w:eastAsia="Times New Roman" w:hAnsi="Times New Roman" w:cs="Times New Roman"/>
          <w:color w:val="000000"/>
          <w:sz w:val="20"/>
          <w:szCs w:val="20"/>
        </w:rPr>
        <w:t>Study 3 used fixed change magnitudes; mean detection accuracy served as the interoceptive sensitivity proxy rather than a staircase-derived threshold. BF₁₀ = 0.85 (inconclusive). Excluded from the pooled threshold estimate.</w:t>
      </w:r>
    </w:p>
    <w:p w14:paraId="1E91C43C" w14:textId="77777777" w:rsidR="00BA52D4" w:rsidRPr="00C95D77" w:rsidRDefault="00BA52D4">
      <w:pPr>
        <w:rPr>
          <w:rFonts w:ascii="Times New Roman" w:hAnsi="Times New Roman" w:cs="Times New Roman"/>
        </w:rPr>
      </w:pPr>
    </w:p>
    <w:sectPr w:rsidR="00BA52D4" w:rsidRPr="00C95D77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5165160">
    <w:abstractNumId w:val="1"/>
  </w:num>
  <w:num w:numId="2" w16cid:durableId="1609000308">
    <w:abstractNumId w:val="2"/>
  </w:num>
  <w:num w:numId="3" w16cid:durableId="134579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D4"/>
    <w:rsid w:val="00542A0D"/>
    <w:rsid w:val="006344E5"/>
    <w:rsid w:val="00710FBD"/>
    <w:rsid w:val="00BA52D4"/>
    <w:rsid w:val="00C80A29"/>
    <w:rsid w:val="00C95D77"/>
    <w:rsid w:val="00DA09DA"/>
    <w:rsid w:val="00FB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059E"/>
  <w15:docId w15:val="{05F05C8B-80E2-453D-BC91-7C244FC5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Norman Farb</cp:lastModifiedBy>
  <cp:revision>14</cp:revision>
  <dcterms:created xsi:type="dcterms:W3CDTF">2017-02-28T11:18:00Z</dcterms:created>
  <dcterms:modified xsi:type="dcterms:W3CDTF">2026-05-17T03:57:00Z</dcterms:modified>
  <cp:category/>
</cp:coreProperties>
</file>