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A1F44"/>
          <w:sz w:val="40"/>
          <w:szCs w:val="40"/>
        </w:rPr>
        <w:t xml:space="preserve">WCAG 2.2 Re-Audit Report</w:t>
      </w:r>
    </w:p>
    <w:p>
      <w:pPr>
        <w:spacing w:after="300"/>
      </w:pPr>
      <w:r>
        <w:rPr>
          <w:i/>
          <w:iCs/>
          <w:color w:val="444444"/>
          <w:sz w:val="24"/>
          <w:szCs w:val="24"/>
        </w:rPr>
        <w:t xml:space="preserve">BnB Financial Services Pvt. Ltd. — Verification Re-Audit of Report WCAG/BNB/01</w:t>
      </w:r>
    </w:p>
    <w:p>
      <w:pPr>
        <w:pStyle w:val="Heading1"/>
        <w:spacing w:after="120" w:before="240"/>
      </w:pPr>
      <w:r>
        <w:t xml:space="preserve">1. Document Details</w:t>
      </w:r>
    </w:p>
    <w:p>
      <w:pPr>
        <w:pStyle w:val="ListParagraph"/>
        <w:numPr>
          <w:ilvl w:val="0"/>
          <w:numId w:val="1"/>
        </w:numPr>
        <w:spacing w:after="60"/>
      </w:pPr>
      <w:r>
        <w:t xml:space="preserve">Report Number: WCAG/BNB/01-R1 (Re-Audit)</w:t>
      </w:r>
    </w:p>
    <w:p>
      <w:pPr>
        <w:pStyle w:val="ListParagraph"/>
        <w:numPr>
          <w:ilvl w:val="0"/>
          <w:numId w:val="1"/>
        </w:numPr>
        <w:spacing w:after="60"/>
      </w:pPr>
      <w:r>
        <w:t xml:space="preserve">Original Report Reference: WCAG/BNB/01, dated 23 July 2026 (15 failures identified)</w:t>
      </w:r>
    </w:p>
    <w:p>
      <w:pPr>
        <w:pStyle w:val="ListParagraph"/>
        <w:numPr>
          <w:ilvl w:val="0"/>
          <w:numId w:val="1"/>
        </w:numPr>
        <w:spacing w:after="60"/>
      </w:pPr>
      <w:r>
        <w:t xml:space="preserve">Re-Audit Date: 30 July 2026</w:t>
      </w:r>
    </w:p>
    <w:p>
      <w:pPr>
        <w:pStyle w:val="ListParagraph"/>
        <w:numPr>
          <w:ilvl w:val="0"/>
          <w:numId w:val="1"/>
        </w:numPr>
        <w:spacing w:after="60"/>
      </w:pPr>
      <w:r>
        <w:t xml:space="preserve">Website: https://bnbfin.com/</w:t>
      </w:r>
    </w:p>
    <w:p>
      <w:pPr>
        <w:pStyle w:val="ListParagraph"/>
        <w:numPr>
          <w:ilvl w:val="0"/>
          <w:numId w:val="1"/>
        </w:numPr>
        <w:spacing w:after="60"/>
      </w:pPr>
      <w:r>
        <w:t xml:space="preserve">Standard Assessed: WCAG 2.2, Levels A and AA</w:t>
      </w:r>
    </w:p>
    <w:p>
      <w:pPr>
        <w:pStyle w:val="ListParagraph"/>
        <w:numPr>
          <w:ilvl w:val="0"/>
          <w:numId w:val="1"/>
        </w:numPr>
        <w:spacing w:after="60"/>
      </w:pPr>
      <w:r>
        <w:t xml:space="preserve">Auditor: Claude (Anthropic), acting in an IAAP-style accessibility auditor capacity</w:t>
      </w:r>
    </w:p>
    <w:p>
      <w:pPr>
        <w:pStyle w:val="ListParagraph"/>
        <w:numPr>
          <w:ilvl w:val="0"/>
          <w:numId w:val="1"/>
        </w:numPr>
        <w:spacing w:after="60"/>
      </w:pPr>
      <w:r>
        <w:t xml:space="preserve">Basis of This Re-Audit: Static source-code review of the bnbfin.zip codebase (HTML, CSS, and JavaScript as shipped), covering the same 15 previously failed Success Criteria, cross-checked against Trading_Holidays.html, Investor-Accessibility-Audio.html, Investor-Accessibility-Video.html, index.html, contact.html, terms.html, privacy.html, post.html, escalation-matrix.html, and disclosure-of-complaints.html</w:t>
      </w:r>
    </w:p>
    <w:p>
      <w:pPr>
        <w:pStyle w:val="Heading2"/>
        <w:spacing w:after="120" w:before="240"/>
      </w:pPr>
      <w:r>
        <w:t xml:space="preserve">Methodology Note — Important Deviation From the Original Protocol</w:t>
      </w:r>
    </w:p>
    <w:p>
      <w:pPr>
        <w:spacing w:after="120"/>
      </w:pPr>
      <w:r>
        <w:rPr>
          <w:b w:val="false"/>
          <w:bCs w:val="false"/>
          <w:i/>
          <w:iCs/>
        </w:rPr>
        <w:t xml:space="preserve">This re-audit was conducted as a static code review of the project archive (bnbfin.zip) supplied for verification, not as a live-browser audit of the deployed https://bnbfin.com/ site. Automated Playwright + axe-core scanning of the live DOM, 60-stop live keyboard traversal, and live screen-reader testing were not performed in this pass — those require a running browser session against the live site, which was not available. Instead, contrast ratios were computed directly from the CSS colour values in source, and interaction logic (Escape-key handling, focus management, inert toggling, form validation) was traced through the actual JavaScript. This method is reliable for confirming whether a fix was written and wired up correctly, but it cannot catch issues that only manifest at runtime (script errors, race conditions, server response differences, actual media playback). The Residual Verification Recommendations in Section 5 list what still needs a live pass.</w:t>
      </w:r>
    </w:p>
    <w:p>
      <w:pPr>
        <w:pStyle w:val="Heading1"/>
        <w:spacing w:after="120" w:before="240"/>
      </w:pPr>
      <w:r>
        <w:t xml:space="preserve">2. Overall Re-Audit Summary</w:t>
      </w:r>
    </w:p>
    <w:p>
      <w:pPr>
        <w:spacing w:after="120"/>
      </w:pPr>
      <w:r>
        <w:rPr>
          <w:b w:val="false"/>
          <w:bCs w:val="false"/>
          <w:i w:val="false"/>
          <w:iCs w:val="false"/>
        </w:rPr>
        <w:t xml:space="preserve">Of the 15 originally failed Success Criteria, 9 are RESOLVED, 3 are PARTIALLY FIXED, and 3 are STILL FAILING.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E6F4EA" w:val="clear"/>
            <w:tcMar>
              <w:top w:type="dxa" w:w="80"/>
              <w:left w:type="dxa" w:w="100"/>
              <w:bottom w:type="dxa" w:w="80"/>
              <w:right w:type="dxa" w:w="100"/>
            </w:tcMar>
          </w:tcPr>
          <w:p>
            <w:r>
              <w:rPr>
                <w:b/>
                <w:bCs/>
                <w:color w:val="1E7A3D"/>
                <w:sz w:val="18"/>
                <w:szCs w:val="18"/>
              </w:rPr>
              <w:t xml:space="preserve">Resolved</w:t>
            </w:r>
          </w:p>
        </w:tc>
        <w:tc>
          <w:tcPr>
            <w:tcW w:type="dxa" w:w="3000"/>
            <w:tcMar>
              <w:top w:type="dxa" w:w="80"/>
              <w:left w:type="dxa" w:w="100"/>
              <w:bottom w:type="dxa" w:w="80"/>
              <w:right w:type="dxa" w:w="100"/>
            </w:tcMar>
          </w:tcPr>
          <w:p>
            <w:r>
              <w:rPr>
                <w:b w:val="false"/>
                <w:bCs w:val="false"/>
                <w:sz w:val="18"/>
                <w:szCs w:val="18"/>
              </w:rPr>
              <w:t xml:space="preserve">9 of 15</w:t>
            </w:r>
          </w:p>
        </w:tc>
      </w:tr>
      <w:tr>
        <w:tc>
          <w:tcPr>
            <w:tcW w:type="dxa" w:w="3000"/>
            <w:shd w:fill="FFF4E0" w:val="clear"/>
            <w:tcMar>
              <w:top w:type="dxa" w:w="80"/>
              <w:left w:type="dxa" w:w="100"/>
              <w:bottom w:type="dxa" w:w="80"/>
              <w:right w:type="dxa" w:w="100"/>
            </w:tcMar>
          </w:tcPr>
          <w:p>
            <w:r>
              <w:rPr>
                <w:b/>
                <w:bCs/>
                <w:color w:val="9A6B00"/>
                <w:sz w:val="18"/>
                <w:szCs w:val="18"/>
              </w:rPr>
              <w:t xml:space="preserve">Partially Fixed</w:t>
            </w:r>
          </w:p>
        </w:tc>
        <w:tc>
          <w:tcPr>
            <w:tcW w:type="dxa" w:w="3000"/>
            <w:tcMar>
              <w:top w:type="dxa" w:w="80"/>
              <w:left w:type="dxa" w:w="100"/>
              <w:bottom w:type="dxa" w:w="80"/>
              <w:right w:type="dxa" w:w="100"/>
            </w:tcMar>
          </w:tcPr>
          <w:p>
            <w:r>
              <w:rPr>
                <w:b w:val="false"/>
                <w:bCs w:val="false"/>
                <w:sz w:val="18"/>
                <w:szCs w:val="18"/>
              </w:rPr>
              <w:t xml:space="preserve">3 of 15</w:t>
            </w:r>
          </w:p>
        </w:tc>
      </w:tr>
      <w:tr>
        <w:tc>
          <w:tcPr>
            <w:tcW w:type="dxa" w:w="3000"/>
            <w:shd w:fill="FBE9E7" w:val="clear"/>
            <w:tcMar>
              <w:top w:type="dxa" w:w="80"/>
              <w:left w:type="dxa" w:w="100"/>
              <w:bottom w:type="dxa" w:w="80"/>
              <w:right w:type="dxa" w:w="100"/>
            </w:tcMar>
          </w:tcPr>
          <w:p>
            <w:r>
              <w:rPr>
                <w:b/>
                <w:bCs/>
                <w:color w:val="B91C1C"/>
                <w:sz w:val="18"/>
                <w:szCs w:val="18"/>
              </w:rPr>
              <w:t xml:space="preserve">Still Failing</w:t>
            </w:r>
          </w:p>
        </w:tc>
        <w:tc>
          <w:tcPr>
            <w:tcW w:type="dxa" w:w="3000"/>
            <w:tcMar>
              <w:top w:type="dxa" w:w="80"/>
              <w:left w:type="dxa" w:w="100"/>
              <w:bottom w:type="dxa" w:w="80"/>
              <w:right w:type="dxa" w:w="100"/>
            </w:tcMar>
          </w:tcPr>
          <w:p>
            <w:r>
              <w:rPr>
                <w:b w:val="false"/>
                <w:bCs w:val="false"/>
                <w:sz w:val="18"/>
                <w:szCs w:val="18"/>
              </w:rPr>
              <w:t xml:space="preserve">3 of 15</w:t>
            </w:r>
          </w:p>
        </w:tc>
      </w:tr>
    </w:tbl>
    <w:p>
      <w:pPr>
        <w:spacing w:after="200"/>
      </w:pPr>
    </w:p>
    <w:p>
      <w:pPr>
        <w:spacing w:after="120"/>
      </w:pPr>
      <w:r>
        <w:rPr>
          <w:b w:val="false"/>
          <w:bCs w:val="false"/>
          <w:i w:val="false"/>
          <w:iCs w:val="false"/>
        </w:rPr>
        <w:t xml:space="preserve">The client-facing template fixes — skip links, page titles, focus-visible styling, target sizes, the auto-scroll pause control, contact form error identification, and the chatbot's inert handling — were all implemented correctly and are confirmed resolved. The remaining gaps cluster into two patterns worth flagging to the development team specifically: (1) three media-accessibility items (1.2.1, 1.2.2, and partially 1.4.3) were addressed with the correct HTML/ARIA scaffolding but left as placeholder content, and (2) one interaction fix (1.4.13) was coded but does not actually work at runtime due to a CSS/JS mismatch (see below).</w:t>
      </w:r>
    </w:p>
    <w:p>
      <w:pPr>
        <w:pStyle w:val="Heading1"/>
        <w:spacing w:after="120" w:before="240"/>
      </w:pPr>
      <w:r>
        <w:t xml:space="preserve">3. Detailed Findings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shd w:fill="0A1F44" w:val="clear"/>
            <w:tcMar>
              <w:top w:type="dxa" w:w="80"/>
              <w:left w:type="dxa" w:w="100"/>
              <w:bottom w:type="dxa" w:w="80"/>
              <w:right w:type="dxa" w:w="100"/>
            </w:tcMar>
          </w:tcPr>
          <w:p>
            <w:r>
              <w:rPr>
                <w:b/>
                <w:bCs/>
                <w:color w:val="FFFFFF"/>
                <w:sz w:val="18"/>
                <w:szCs w:val="18"/>
              </w:rPr>
              <w:t xml:space="preserve">SC Reference</w:t>
            </w:r>
          </w:p>
        </w:tc>
        <w:tc>
          <w:tcPr>
            <w:tcW w:type="dxa" w:w="900"/>
            <w:shd w:fill="0A1F44" w:val="clear"/>
            <w:tcMar>
              <w:top w:type="dxa" w:w="80"/>
              <w:left w:type="dxa" w:w="100"/>
              <w:bottom w:type="dxa" w:w="80"/>
              <w:right w:type="dxa" w:w="100"/>
            </w:tcMar>
          </w:tcPr>
          <w:p>
            <w:r>
              <w:rPr>
                <w:b/>
                <w:bCs/>
                <w:color w:val="FFFFFF"/>
                <w:sz w:val="18"/>
                <w:szCs w:val="18"/>
              </w:rPr>
              <w:t xml:space="preserve">Level</w:t>
            </w:r>
          </w:p>
        </w:tc>
        <w:tc>
          <w:tcPr>
            <w:tcW w:type="dxa" w:w="2200"/>
            <w:shd w:fill="0A1F44" w:val="clear"/>
            <w:tcMar>
              <w:top w:type="dxa" w:w="80"/>
              <w:left w:type="dxa" w:w="100"/>
              <w:bottom w:type="dxa" w:w="80"/>
              <w:right w:type="dxa" w:w="100"/>
            </w:tcMar>
          </w:tcPr>
          <w:p>
            <w:r>
              <w:rPr>
                <w:b/>
                <w:bCs/>
                <w:color w:val="FFFFFF"/>
                <w:sz w:val="18"/>
                <w:szCs w:val="18"/>
              </w:rPr>
              <w:t xml:space="preserve">Re-Audit Status</w:t>
            </w:r>
          </w:p>
        </w:tc>
        <w:tc>
          <w:tcPr>
            <w:tcW w:type="dxa" w:w="4700"/>
            <w:shd w:fill="0A1F44" w:val="clear"/>
            <w:tcMar>
              <w:top w:type="dxa" w:w="80"/>
              <w:left w:type="dxa" w:w="100"/>
              <w:bottom w:type="dxa" w:w="80"/>
              <w:right w:type="dxa" w:w="100"/>
            </w:tcMar>
          </w:tcPr>
          <w:p>
            <w:r>
              <w:rPr>
                <w:b/>
                <w:bCs/>
                <w:color w:val="FFFFFF"/>
                <w:sz w:val="18"/>
                <w:szCs w:val="18"/>
              </w:rPr>
              <w:t xml:space="preserve">Evidence / Notes (Original Status: FAIL)</w:t>
            </w:r>
          </w:p>
        </w:tc>
      </w:tr>
      <w:tr>
        <w:tc>
          <w:tcPr>
            <w:tcW w:type="dxa" w:w="1500"/>
            <w:tcMar>
              <w:top w:type="dxa" w:w="80"/>
              <w:left w:type="dxa" w:w="100"/>
              <w:bottom w:type="dxa" w:w="80"/>
              <w:right w:type="dxa" w:w="100"/>
            </w:tcMar>
          </w:tcPr>
          <w:p>
            <w:r>
              <w:rPr>
                <w:b w:val="false"/>
                <w:bCs w:val="false"/>
                <w:sz w:val="18"/>
                <w:szCs w:val="18"/>
              </w:rPr>
              <w:t xml:space="preserve">1.2.1 Audio-only, Prerecorded</w:t>
            </w:r>
          </w:p>
        </w:tc>
        <w:tc>
          <w:tcPr>
            <w:tcW w:type="dxa" w:w="900"/>
            <w:tcMar>
              <w:top w:type="dxa" w:w="80"/>
              <w:left w:type="dxa" w:w="100"/>
              <w:bottom w:type="dxa" w:w="80"/>
              <w:right w:type="dxa" w:w="100"/>
            </w:tcMar>
          </w:tcPr>
          <w:p>
            <w:r>
              <w:rPr>
                <w:b w:val="false"/>
                <w:bCs w:val="false"/>
                <w:sz w:val="18"/>
                <w:szCs w:val="18"/>
              </w:rPr>
              <w:t xml:space="preserve">A</w:t>
            </w:r>
          </w:p>
        </w:tc>
        <w:tc>
          <w:tcPr>
            <w:tcW w:type="dxa" w:w="2200"/>
            <w:tcMar>
              <w:top w:type="dxa" w:w="80"/>
              <w:left w:type="dxa" w:w="100"/>
              <w:bottom w:type="dxa" w:w="80"/>
              <w:right w:type="dxa" w:w="100"/>
            </w:tcMar>
          </w:tcPr>
          <w:p>
            <w:r>
              <w:rPr>
                <w:b/>
                <w:bCs/>
                <w:color w:val="9A6B00"/>
                <w:sz w:val="18"/>
                <w:szCs w:val="18"/>
              </w:rPr>
              <w:t xml:space="preserve">PARTIALLY FIXED</w:t>
            </w:r>
          </w:p>
        </w:tc>
        <w:tc>
          <w:tcPr>
            <w:tcW w:type="dxa" w:w="4700"/>
            <w:tcMar>
              <w:top w:type="dxa" w:w="80"/>
              <w:left w:type="dxa" w:w="100"/>
              <w:bottom w:type="dxa" w:w="80"/>
              <w:right w:type="dxa" w:w="100"/>
            </w:tcMar>
          </w:tcPr>
          <w:p>
            <w:r>
              <w:rPr>
                <w:b w:val="false"/>
                <w:bCs w:val="false"/>
                <w:sz w:val="18"/>
                <w:szCs w:val="18"/>
              </w:rPr>
              <w:t xml:space="preserve">A visible "Audio Transcript" section with proper heading and aria-labelledby was added to Investor-Accessibility-Audio.html, which is the correct structural fix. However, the transcript content itself is placeholder text ("[TRANSCRIPT PLACEHOLDER — Please insert the full spoken transcript...]") rather than the actual transcript of Investor_Accessibility_Audio_Information.mp4. SC 1.2.1 requires an actual text alternative conveying equivalent information, so this remains non-conformant until real content is inserted.</w:t>
            </w:r>
          </w:p>
        </w:tc>
      </w:tr>
      <w:tr>
        <w:tc>
          <w:tcPr>
            <w:tcW w:type="dxa" w:w="1500"/>
            <w:tcMar>
              <w:top w:type="dxa" w:w="80"/>
              <w:left w:type="dxa" w:w="100"/>
              <w:bottom w:type="dxa" w:w="80"/>
              <w:right w:type="dxa" w:w="100"/>
            </w:tcMar>
          </w:tcPr>
          <w:p>
            <w:r>
              <w:rPr>
                <w:b w:val="false"/>
                <w:bCs w:val="false"/>
                <w:sz w:val="18"/>
                <w:szCs w:val="18"/>
              </w:rPr>
              <w:t xml:space="preserve">1.2.2 Captions (Prerecorded)</w:t>
            </w:r>
          </w:p>
        </w:tc>
        <w:tc>
          <w:tcPr>
            <w:tcW w:type="dxa" w:w="900"/>
            <w:tcMar>
              <w:top w:type="dxa" w:w="80"/>
              <w:left w:type="dxa" w:w="100"/>
              <w:bottom w:type="dxa" w:w="80"/>
              <w:right w:type="dxa" w:w="100"/>
            </w:tcMar>
          </w:tcPr>
          <w:p>
            <w:r>
              <w:rPr>
                <w:b w:val="false"/>
                <w:bCs w:val="false"/>
                <w:sz w:val="18"/>
                <w:szCs w:val="18"/>
              </w:rPr>
              <w:t xml:space="preserve">A</w:t>
            </w:r>
          </w:p>
        </w:tc>
        <w:tc>
          <w:tcPr>
            <w:tcW w:type="dxa" w:w="2200"/>
            <w:tcMar>
              <w:top w:type="dxa" w:w="80"/>
              <w:left w:type="dxa" w:w="100"/>
              <w:bottom w:type="dxa" w:w="80"/>
              <w:right w:type="dxa" w:w="100"/>
            </w:tcMar>
          </w:tcPr>
          <w:p>
            <w:r>
              <w:rPr>
                <w:b/>
                <w:bCs/>
                <w:color w:val="9A6B00"/>
                <w:sz w:val="18"/>
                <w:szCs w:val="18"/>
              </w:rPr>
              <w:t xml:space="preserve">PARTIALLY FIXED</w:t>
            </w:r>
          </w:p>
        </w:tc>
        <w:tc>
          <w:tcPr>
            <w:tcW w:type="dxa" w:w="4700"/>
            <w:tcMar>
              <w:top w:type="dxa" w:w="80"/>
              <w:left w:type="dxa" w:w="100"/>
              <w:bottom w:type="dxa" w:w="80"/>
              <w:right w:type="dxa" w:w="100"/>
            </w:tcMar>
          </w:tcPr>
          <w:p>
            <w:r>
              <w:rPr>
                <w:b w:val="false"/>
                <w:bCs w:val="false"/>
                <w:sz w:val="18"/>
                <w:szCs w:val="18"/>
              </w:rPr>
              <w:t xml:space="preserve">A &lt;track kind="captions" src="investor-video-captions.vtt" srclang="en" default&gt; element was correctly added to the &lt;video&gt; on Investor-Accessibility-Video.html, and a WebVTT file with correct syntax and cue timing exists. However, all three cues contain placeholder text (e.g. "[PLACEHOLDER: Insert actual spoken content...]") rather than real captions, and the file only covers 0:00–00:15 of what is presumably a longer video. Structurally correct, functionally incomplete.</w:t>
            </w:r>
          </w:p>
        </w:tc>
      </w:tr>
      <w:tr>
        <w:tc>
          <w:tcPr>
            <w:tcW w:type="dxa" w:w="1500"/>
            <w:tcMar>
              <w:top w:type="dxa" w:w="80"/>
              <w:left w:type="dxa" w:w="100"/>
              <w:bottom w:type="dxa" w:w="80"/>
              <w:right w:type="dxa" w:w="100"/>
            </w:tcMar>
          </w:tcPr>
          <w:p>
            <w:r>
              <w:rPr>
                <w:b w:val="false"/>
                <w:bCs w:val="false"/>
                <w:sz w:val="18"/>
                <w:szCs w:val="18"/>
              </w:rPr>
              <w:t xml:space="preserve">1.2.3 Audio Description or Media Alternative</w:t>
            </w:r>
          </w:p>
        </w:tc>
        <w:tc>
          <w:tcPr>
            <w:tcW w:type="dxa" w:w="900"/>
            <w:tcMar>
              <w:top w:type="dxa" w:w="80"/>
              <w:left w:type="dxa" w:w="100"/>
              <w:bottom w:type="dxa" w:w="80"/>
              <w:right w:type="dxa" w:w="100"/>
            </w:tcMar>
          </w:tcPr>
          <w:p>
            <w:r>
              <w:rPr>
                <w:b w:val="false"/>
                <w:bCs w:val="false"/>
                <w:sz w:val="18"/>
                <w:szCs w:val="18"/>
              </w:rPr>
              <w:t xml:space="preserve">A</w:t>
            </w:r>
          </w:p>
        </w:tc>
        <w:tc>
          <w:tcPr>
            <w:tcW w:type="dxa" w:w="2200"/>
            <w:tcMar>
              <w:top w:type="dxa" w:w="80"/>
              <w:left w:type="dxa" w:w="100"/>
              <w:bottom w:type="dxa" w:w="80"/>
              <w:right w:type="dxa" w:w="100"/>
            </w:tcMar>
          </w:tcPr>
          <w:p>
            <w:r>
              <w:rPr>
                <w:b/>
                <w:bCs/>
                <w:color w:val="B91C1C"/>
                <w:sz w:val="18"/>
                <w:szCs w:val="18"/>
              </w:rPr>
              <w:t xml:space="preserve">STILL FAILING</w:t>
            </w:r>
          </w:p>
        </w:tc>
        <w:tc>
          <w:tcPr>
            <w:tcW w:type="dxa" w:w="4700"/>
            <w:tcMar>
              <w:top w:type="dxa" w:w="80"/>
              <w:left w:type="dxa" w:w="100"/>
              <w:bottom w:type="dxa" w:w="80"/>
              <w:right w:type="dxa" w:w="100"/>
            </w:tcMar>
          </w:tcPr>
          <w:p>
            <w:r>
              <w:rPr>
                <w:b w:val="false"/>
                <w:bCs w:val="false"/>
                <w:sz w:val="18"/>
                <w:szCs w:val="18"/>
              </w:rPr>
              <w:t xml:space="preserve">No audio-description track, described version, or full-text media alternative was found anywhere in Investor-Accessibility-Video.html. The video markup is unchanged apart from the caption track. No fix was attempted for this criterion.</w:t>
            </w:r>
          </w:p>
        </w:tc>
      </w:tr>
      <w:tr>
        <w:tc>
          <w:tcPr>
            <w:tcW w:type="dxa" w:w="1500"/>
            <w:tcMar>
              <w:top w:type="dxa" w:w="80"/>
              <w:left w:type="dxa" w:w="100"/>
              <w:bottom w:type="dxa" w:w="80"/>
              <w:right w:type="dxa" w:w="100"/>
            </w:tcMar>
          </w:tcPr>
          <w:p>
            <w:r>
              <w:rPr>
                <w:b w:val="false"/>
                <w:bCs w:val="false"/>
                <w:sz w:val="18"/>
                <w:szCs w:val="18"/>
              </w:rPr>
              <w:t xml:space="preserve">1.2.5 Audio Description (Prerecorded)</w:t>
            </w:r>
          </w:p>
        </w:tc>
        <w:tc>
          <w:tcPr>
            <w:tcW w:type="dxa" w:w="900"/>
            <w:tcMar>
              <w:top w:type="dxa" w:w="80"/>
              <w:left w:type="dxa" w:w="100"/>
              <w:bottom w:type="dxa" w:w="80"/>
              <w:right w:type="dxa" w:w="100"/>
            </w:tcMar>
          </w:tcPr>
          <w:p>
            <w:r>
              <w:rPr>
                <w:b w:val="false"/>
                <w:bCs w:val="false"/>
                <w:sz w:val="18"/>
                <w:szCs w:val="18"/>
              </w:rPr>
              <w:t xml:space="preserve">AA</w:t>
            </w:r>
          </w:p>
        </w:tc>
        <w:tc>
          <w:tcPr>
            <w:tcW w:type="dxa" w:w="2200"/>
            <w:tcMar>
              <w:top w:type="dxa" w:w="80"/>
              <w:left w:type="dxa" w:w="100"/>
              <w:bottom w:type="dxa" w:w="80"/>
              <w:right w:type="dxa" w:w="100"/>
            </w:tcMar>
          </w:tcPr>
          <w:p>
            <w:r>
              <w:rPr>
                <w:b/>
                <w:bCs/>
                <w:color w:val="B91C1C"/>
                <w:sz w:val="18"/>
                <w:szCs w:val="18"/>
              </w:rPr>
              <w:t xml:space="preserve">STILL FAILING</w:t>
            </w:r>
          </w:p>
        </w:tc>
        <w:tc>
          <w:tcPr>
            <w:tcW w:type="dxa" w:w="4700"/>
            <w:tcMar>
              <w:top w:type="dxa" w:w="80"/>
              <w:left w:type="dxa" w:w="100"/>
              <w:bottom w:type="dxa" w:w="80"/>
              <w:right w:type="dxa" w:w="100"/>
            </w:tcMar>
          </w:tcPr>
          <w:p>
            <w:r>
              <w:rPr>
                <w:b w:val="false"/>
                <w:bCs w:val="false"/>
                <w:sz w:val="18"/>
                <w:szCs w:val="18"/>
              </w:rPr>
              <w:t xml:space="preserve">Same root cause as 1.2.3 — no audio-description track or alternate described video exists for VID-20260712-WA0020.mp4. No fix was attempted.</w:t>
            </w:r>
          </w:p>
        </w:tc>
      </w:tr>
      <w:tr>
        <w:tc>
          <w:tcPr>
            <w:tcW w:type="dxa" w:w="1500"/>
            <w:tcMar>
              <w:top w:type="dxa" w:w="80"/>
              <w:left w:type="dxa" w:w="100"/>
              <w:bottom w:type="dxa" w:w="80"/>
              <w:right w:type="dxa" w:w="100"/>
            </w:tcMar>
          </w:tcPr>
          <w:p>
            <w:r>
              <w:rPr>
                <w:b w:val="false"/>
                <w:bCs w:val="false"/>
                <w:sz w:val="18"/>
                <w:szCs w:val="18"/>
              </w:rPr>
              <w:t xml:space="preserve">1.4.3 Contrast (Minimum)</w:t>
            </w:r>
          </w:p>
        </w:tc>
        <w:tc>
          <w:tcPr>
            <w:tcW w:type="dxa" w:w="900"/>
            <w:tcMar>
              <w:top w:type="dxa" w:w="80"/>
              <w:left w:type="dxa" w:w="100"/>
              <w:bottom w:type="dxa" w:w="80"/>
              <w:right w:type="dxa" w:w="100"/>
            </w:tcMar>
          </w:tcPr>
          <w:p>
            <w:r>
              <w:rPr>
                <w:b w:val="false"/>
                <w:bCs w:val="false"/>
                <w:sz w:val="18"/>
                <w:szCs w:val="18"/>
              </w:rPr>
              <w:t xml:space="preserve">AA</w:t>
            </w:r>
          </w:p>
        </w:tc>
        <w:tc>
          <w:tcPr>
            <w:tcW w:type="dxa" w:w="2200"/>
            <w:tcMar>
              <w:top w:type="dxa" w:w="80"/>
              <w:left w:type="dxa" w:w="100"/>
              <w:bottom w:type="dxa" w:w="80"/>
              <w:right w:type="dxa" w:w="100"/>
            </w:tcMar>
          </w:tcPr>
          <w:p>
            <w:r>
              <w:rPr>
                <w:b/>
                <w:bCs/>
                <w:color w:val="9A6B00"/>
                <w:sz w:val="18"/>
                <w:szCs w:val="18"/>
              </w:rPr>
              <w:t xml:space="preserve">PARTIALLY FIXED</w:t>
            </w:r>
          </w:p>
        </w:tc>
        <w:tc>
          <w:tcPr>
            <w:tcW w:type="dxa" w:w="4700"/>
            <w:tcMar>
              <w:top w:type="dxa" w:w="80"/>
              <w:left w:type="dxa" w:w="100"/>
              <w:bottom w:type="dxa" w:w="80"/>
              <w:right w:type="dxa" w:w="100"/>
            </w:tcMar>
          </w:tcPr>
          <w:p>
            <w:r>
              <w:rPr>
                <w:b w:val="false"/>
                <w:bCs w:val="false"/>
                <w:sz w:val="18"/>
                <w:szCs w:val="18"/>
              </w:rPr>
              <w:t xml:space="preserve">Several items are resolved: (a) .section-label default colour changed to #7A5C00 on white backgrounds (≈ 6.25:1, passes); light gold #E8CC7A is now correctly reserved for navy-background contexts only. (b) Commodity/Bullion card headings recoloured to #FFE4A0 on the navy #commodities background (≈ 11.4:1, passes). (c) Logo text recoloured from the original green to #6EE7A0 on the navy header (≈ 9.7:1, passes). Two items are NOT resolved: gold text links using var(--gold-dark) = #A07B2A on white backgrounds (e.g. contact.html td a, .info-card-label, .notice a) still measure ≈ 3.91:1 against the required 4.5:1 for normal text — identical to the original finding, meaning this specific color pairing was not touched. The .badge-closed component on Trading_Holidays.html (color: var(--red) #D9534F on background: var(--red-light) #FEF0EF) still measures ≈ 3.57:1, unchanged from the original audit.</w:t>
            </w:r>
          </w:p>
        </w:tc>
      </w:tr>
      <w:tr>
        <w:tc>
          <w:tcPr>
            <w:tcW w:type="dxa" w:w="1500"/>
            <w:tcMar>
              <w:top w:type="dxa" w:w="80"/>
              <w:left w:type="dxa" w:w="100"/>
              <w:bottom w:type="dxa" w:w="80"/>
              <w:right w:type="dxa" w:w="100"/>
            </w:tcMar>
          </w:tcPr>
          <w:p>
            <w:r>
              <w:rPr>
                <w:b w:val="false"/>
                <w:bCs w:val="false"/>
                <w:sz w:val="18"/>
                <w:szCs w:val="18"/>
              </w:rPr>
              <w:t xml:space="preserve">1.4.10 Reflow</w:t>
            </w:r>
          </w:p>
        </w:tc>
        <w:tc>
          <w:tcPr>
            <w:tcW w:type="dxa" w:w="900"/>
            <w:tcMar>
              <w:top w:type="dxa" w:w="80"/>
              <w:left w:type="dxa" w:w="100"/>
              <w:bottom w:type="dxa" w:w="80"/>
              <w:right w:type="dxa" w:w="100"/>
            </w:tcMar>
          </w:tcPr>
          <w:p>
            <w:r>
              <w:rPr>
                <w:b w:val="false"/>
                <w:bCs w:val="false"/>
                <w:sz w:val="18"/>
                <w:szCs w:val="18"/>
              </w:rPr>
              <w:t xml:space="preserve">AA</w:t>
            </w:r>
          </w:p>
        </w:tc>
        <w:tc>
          <w:tcPr>
            <w:tcW w:type="dxa" w:w="2200"/>
            <w:tcMar>
              <w:top w:type="dxa" w:w="80"/>
              <w:left w:type="dxa" w:w="100"/>
              <w:bottom w:type="dxa" w:w="80"/>
              <w:right w:type="dxa" w:w="100"/>
            </w:tcMar>
          </w:tcPr>
          <w:p>
            <w:r>
              <w:rPr>
                <w:b/>
                <w:bCs/>
                <w:color w:val="1E7A3D"/>
                <w:sz w:val="18"/>
                <w:szCs w:val="18"/>
              </w:rPr>
              <w:t xml:space="preserve">RESOLVED</w:t>
            </w:r>
          </w:p>
        </w:tc>
        <w:tc>
          <w:tcPr>
            <w:tcW w:type="dxa" w:w="4700"/>
            <w:tcMar>
              <w:top w:type="dxa" w:w="80"/>
              <w:left w:type="dxa" w:w="100"/>
              <w:bottom w:type="dxa" w:w="80"/>
              <w:right w:type="dxa" w:w="100"/>
            </w:tcMar>
          </w:tcPr>
          <w:p>
            <w:r>
              <w:rPr>
                <w:b w:val="false"/>
                <w:bCs w:val="false"/>
                <w:sz w:val="18"/>
                <w:szCs w:val="18"/>
              </w:rPr>
              <w:t xml:space="preserve">A @media (max-width: 400px) breakpoint was added to Trading_Holidays.html, Investor-Accessibility-Audio.html, and Investor-Accessibility-Video.html that sets .logo-name to white-space: normal with overflow-wrap: break-word, shrinks the tagline, and sets .nav-container { overflow: visible; min-width: 0; }. Reviewing the markup and CSS confirms the previous fixed-width/no-wrap logo text that caused horizontal overflow at 320–400px has been corrected on all three pages.</w:t>
            </w:r>
          </w:p>
        </w:tc>
      </w:tr>
      <w:tr>
        <w:tc>
          <w:tcPr>
            <w:tcW w:type="dxa" w:w="1500"/>
            <w:tcMar>
              <w:top w:type="dxa" w:w="80"/>
              <w:left w:type="dxa" w:w="100"/>
              <w:bottom w:type="dxa" w:w="80"/>
              <w:right w:type="dxa" w:w="100"/>
            </w:tcMar>
          </w:tcPr>
          <w:p>
            <w:r>
              <w:rPr>
                <w:b w:val="false"/>
                <w:bCs w:val="false"/>
                <w:sz w:val="18"/>
                <w:szCs w:val="18"/>
              </w:rPr>
              <w:t xml:space="preserve">1.4.11 Non-text Contrast</w:t>
            </w:r>
          </w:p>
        </w:tc>
        <w:tc>
          <w:tcPr>
            <w:tcW w:type="dxa" w:w="900"/>
            <w:tcMar>
              <w:top w:type="dxa" w:w="80"/>
              <w:left w:type="dxa" w:w="100"/>
              <w:bottom w:type="dxa" w:w="80"/>
              <w:right w:type="dxa" w:w="100"/>
            </w:tcMar>
          </w:tcPr>
          <w:p>
            <w:r>
              <w:rPr>
                <w:b w:val="false"/>
                <w:bCs w:val="false"/>
                <w:sz w:val="18"/>
                <w:szCs w:val="18"/>
              </w:rPr>
              <w:t xml:space="preserve">AA</w:t>
            </w:r>
          </w:p>
        </w:tc>
        <w:tc>
          <w:tcPr>
            <w:tcW w:type="dxa" w:w="2200"/>
            <w:tcMar>
              <w:top w:type="dxa" w:w="80"/>
              <w:left w:type="dxa" w:w="100"/>
              <w:bottom w:type="dxa" w:w="80"/>
              <w:right w:type="dxa" w:w="100"/>
            </w:tcMar>
          </w:tcPr>
          <w:p>
            <w:r>
              <w:rPr>
                <w:b/>
                <w:bCs/>
                <w:color w:val="1E7A3D"/>
                <w:sz w:val="18"/>
                <w:szCs w:val="18"/>
              </w:rPr>
              <w:t xml:space="preserve">RESOLVED</w:t>
            </w:r>
          </w:p>
        </w:tc>
        <w:tc>
          <w:tcPr>
            <w:tcW w:type="dxa" w:w="4700"/>
            <w:tcMar>
              <w:top w:type="dxa" w:w="80"/>
              <w:left w:type="dxa" w:w="100"/>
              <w:bottom w:type="dxa" w:w="80"/>
              <w:right w:type="dxa" w:w="100"/>
            </w:tcMar>
          </w:tcPr>
          <w:p>
            <w:r>
              <w:rPr>
                <w:b w:val="false"/>
                <w:bCs w:val="false"/>
                <w:sz w:val="18"/>
                <w:szCs w:val="18"/>
              </w:rPr>
              <w:t xml:space="preserve">Contact form input/textarea/select border in index.html was changed from rgba(255,255,255,0.18) to rgba(255,255,255,0.5). Computed against the translucent navy input fill, this produces ≈ 3.97:1, which clears the 3:1 minimum for UI component boundaries.</w:t>
            </w:r>
          </w:p>
        </w:tc>
      </w:tr>
      <w:tr>
        <w:tc>
          <w:tcPr>
            <w:tcW w:type="dxa" w:w="1500"/>
            <w:tcMar>
              <w:top w:type="dxa" w:w="80"/>
              <w:left w:type="dxa" w:w="100"/>
              <w:bottom w:type="dxa" w:w="80"/>
              <w:right w:type="dxa" w:w="100"/>
            </w:tcMar>
          </w:tcPr>
          <w:p>
            <w:r>
              <w:rPr>
                <w:b w:val="false"/>
                <w:bCs w:val="false"/>
                <w:sz w:val="18"/>
                <w:szCs w:val="18"/>
              </w:rPr>
              <w:t xml:space="preserve">1.4.13 Content on Hover or Focus</w:t>
            </w:r>
          </w:p>
        </w:tc>
        <w:tc>
          <w:tcPr>
            <w:tcW w:type="dxa" w:w="900"/>
            <w:tcMar>
              <w:top w:type="dxa" w:w="80"/>
              <w:left w:type="dxa" w:w="100"/>
              <w:bottom w:type="dxa" w:w="80"/>
              <w:right w:type="dxa" w:w="100"/>
            </w:tcMar>
          </w:tcPr>
          <w:p>
            <w:r>
              <w:rPr>
                <w:b w:val="false"/>
                <w:bCs w:val="false"/>
                <w:sz w:val="18"/>
                <w:szCs w:val="18"/>
              </w:rPr>
              <w:t xml:space="preserve">AA</w:t>
            </w:r>
          </w:p>
        </w:tc>
        <w:tc>
          <w:tcPr>
            <w:tcW w:type="dxa" w:w="2200"/>
            <w:tcMar>
              <w:top w:type="dxa" w:w="80"/>
              <w:left w:type="dxa" w:w="100"/>
              <w:bottom w:type="dxa" w:w="80"/>
              <w:right w:type="dxa" w:w="100"/>
            </w:tcMar>
          </w:tcPr>
          <w:p>
            <w:r>
              <w:rPr>
                <w:b/>
                <w:bCs/>
                <w:color w:val="B91C1C"/>
                <w:sz w:val="18"/>
                <w:szCs w:val="18"/>
              </w:rPr>
              <w:t xml:space="preserve">STILL FAILING</w:t>
            </w:r>
          </w:p>
        </w:tc>
        <w:tc>
          <w:tcPr>
            <w:tcW w:type="dxa" w:w="4700"/>
            <w:tcMar>
              <w:top w:type="dxa" w:w="80"/>
              <w:left w:type="dxa" w:w="100"/>
              <w:bottom w:type="dxa" w:w="80"/>
              <w:right w:type="dxa" w:w="100"/>
            </w:tcMar>
          </w:tcPr>
          <w:p>
            <w:r>
              <w:rPr>
                <w:b w:val="false"/>
                <w:bCs w:val="false"/>
                <w:sz w:val="18"/>
                <w:szCs w:val="18"/>
              </w:rPr>
              <w:t xml:space="preserve">A keydown listener for the Escape key was added to each .nav-dropdown, and it does call blur() and then refocuses the trigger link. However, the dropdown's visibility is still governed purely by the CSS rule .nav-dropdown:focus-within &gt; .dropdown-menu { display: flex; ... }. Because the trigger &lt;a&gt; the script refocuses is itself a child of .nav-dropdown, moving focus to it keeps :focus-within true, so the submenu does NOT actually close on Escape — it remains visibly open. The intended behaviour (dismissible, focus returned to trigger, menu closed) is only two-thirds implemented; the closing behaviour itself does not work as coded.</w:t>
            </w:r>
          </w:p>
        </w:tc>
      </w:tr>
      <w:tr>
        <w:tc>
          <w:tcPr>
            <w:tcW w:type="dxa" w:w="1500"/>
            <w:tcMar>
              <w:top w:type="dxa" w:w="80"/>
              <w:left w:type="dxa" w:w="100"/>
              <w:bottom w:type="dxa" w:w="80"/>
              <w:right w:type="dxa" w:w="100"/>
            </w:tcMar>
          </w:tcPr>
          <w:p>
            <w:r>
              <w:rPr>
                <w:b w:val="false"/>
                <w:bCs w:val="false"/>
                <w:sz w:val="18"/>
                <w:szCs w:val="18"/>
              </w:rPr>
              <w:t xml:space="preserve">2.2.2 Pause, Stop, Hide</w:t>
            </w:r>
          </w:p>
        </w:tc>
        <w:tc>
          <w:tcPr>
            <w:tcW w:type="dxa" w:w="900"/>
            <w:tcMar>
              <w:top w:type="dxa" w:w="80"/>
              <w:left w:type="dxa" w:w="100"/>
              <w:bottom w:type="dxa" w:w="80"/>
              <w:right w:type="dxa" w:w="100"/>
            </w:tcMar>
          </w:tcPr>
          <w:p>
            <w:r>
              <w:rPr>
                <w:b w:val="false"/>
                <w:bCs w:val="false"/>
                <w:sz w:val="18"/>
                <w:szCs w:val="18"/>
              </w:rPr>
              <w:t xml:space="preserve">AA</w:t>
            </w:r>
          </w:p>
        </w:tc>
        <w:tc>
          <w:tcPr>
            <w:tcW w:type="dxa" w:w="2200"/>
            <w:tcMar>
              <w:top w:type="dxa" w:w="80"/>
              <w:left w:type="dxa" w:w="100"/>
              <w:bottom w:type="dxa" w:w="80"/>
              <w:right w:type="dxa" w:w="100"/>
            </w:tcMar>
          </w:tcPr>
          <w:p>
            <w:r>
              <w:rPr>
                <w:b/>
                <w:bCs/>
                <w:color w:val="1E7A3D"/>
                <w:sz w:val="18"/>
                <w:szCs w:val="18"/>
              </w:rPr>
              <w:t xml:space="preserve">RESOLVED</w:t>
            </w:r>
          </w:p>
        </w:tc>
        <w:tc>
          <w:tcPr>
            <w:tcW w:type="dxa" w:w="4700"/>
            <w:tcMar>
              <w:top w:type="dxa" w:w="80"/>
              <w:left w:type="dxa" w:w="100"/>
              <w:bottom w:type="dxa" w:w="80"/>
              <w:right w:type="dxa" w:w="100"/>
            </w:tcMar>
          </w:tcPr>
          <w:p>
            <w:r>
              <w:rPr>
                <w:b w:val="false"/>
                <w:bCs w:val="false"/>
                <w:sz w:val="18"/>
                <w:szCs w:val="18"/>
              </w:rPr>
              <w:t xml:space="preserve">A native &lt;button class="disclaimer-pause-btn" aria-pressed="false"&gt;▬▬ Pause&lt;/button&gt; was added inside the .footer-scroll-disclaimer region in index.html, fully keyboard-operable (it's a real &lt;button&gt;, reachable via Tab in DOM order). The click handler toggles a .paused class on .scroll-disclaimer-track, which maps to animation-play-state: paused in CSS, and correctly updates aria-pressed and the button label between Pause/Resume.</w:t>
            </w:r>
          </w:p>
        </w:tc>
      </w:tr>
      <w:tr>
        <w:tc>
          <w:tcPr>
            <w:tcW w:type="dxa" w:w="1500"/>
            <w:tcMar>
              <w:top w:type="dxa" w:w="80"/>
              <w:left w:type="dxa" w:w="100"/>
              <w:bottom w:type="dxa" w:w="80"/>
              <w:right w:type="dxa" w:w="100"/>
            </w:tcMar>
          </w:tcPr>
          <w:p>
            <w:r>
              <w:rPr>
                <w:b w:val="false"/>
                <w:bCs w:val="false"/>
                <w:sz w:val="18"/>
                <w:szCs w:val="18"/>
              </w:rPr>
              <w:t xml:space="preserve">2.4.1 Bypass Blocks</w:t>
            </w:r>
          </w:p>
        </w:tc>
        <w:tc>
          <w:tcPr>
            <w:tcW w:type="dxa" w:w="900"/>
            <w:tcMar>
              <w:top w:type="dxa" w:w="80"/>
              <w:left w:type="dxa" w:w="100"/>
              <w:bottom w:type="dxa" w:w="80"/>
              <w:right w:type="dxa" w:w="100"/>
            </w:tcMar>
          </w:tcPr>
          <w:p>
            <w:r>
              <w:rPr>
                <w:b w:val="false"/>
                <w:bCs w:val="false"/>
                <w:sz w:val="18"/>
                <w:szCs w:val="18"/>
              </w:rPr>
              <w:t xml:space="preserve">A</w:t>
            </w:r>
          </w:p>
        </w:tc>
        <w:tc>
          <w:tcPr>
            <w:tcW w:type="dxa" w:w="2200"/>
            <w:tcMar>
              <w:top w:type="dxa" w:w="80"/>
              <w:left w:type="dxa" w:w="100"/>
              <w:bottom w:type="dxa" w:w="80"/>
              <w:right w:type="dxa" w:w="100"/>
            </w:tcMar>
          </w:tcPr>
          <w:p>
            <w:r>
              <w:rPr>
                <w:b/>
                <w:bCs/>
                <w:color w:val="1E7A3D"/>
                <w:sz w:val="18"/>
                <w:szCs w:val="18"/>
              </w:rPr>
              <w:t xml:space="preserve">RESOLVED</w:t>
            </w:r>
          </w:p>
        </w:tc>
        <w:tc>
          <w:tcPr>
            <w:tcW w:type="dxa" w:w="4700"/>
            <w:tcMar>
              <w:top w:type="dxa" w:w="80"/>
              <w:left w:type="dxa" w:w="100"/>
              <w:bottom w:type="dxa" w:w="80"/>
              <w:right w:type="dxa" w:w="100"/>
            </w:tcMar>
          </w:tcPr>
          <w:p>
            <w:r>
              <w:rPr>
                <w:b w:val="false"/>
                <w:bCs w:val="false"/>
                <w:sz w:val="18"/>
                <w:szCs w:val="18"/>
              </w:rPr>
              <w:t xml:space="preserve">terms.html, privacy.html, and post.html each have &lt;a href="#main-content" class="skip-link"&gt;Skip to main content&lt;/a&gt; and each page's own &lt;main id="main-content"&gt; element carries the matching id locally (not a cross-page reference to index.html). Skip links now resolve within the current page.</w:t>
            </w:r>
          </w:p>
        </w:tc>
      </w:tr>
      <w:tr>
        <w:tc>
          <w:tcPr>
            <w:tcW w:type="dxa" w:w="1500"/>
            <w:tcMar>
              <w:top w:type="dxa" w:w="80"/>
              <w:left w:type="dxa" w:w="100"/>
              <w:bottom w:type="dxa" w:w="80"/>
              <w:right w:type="dxa" w:w="100"/>
            </w:tcMar>
          </w:tcPr>
          <w:p>
            <w:r>
              <w:rPr>
                <w:b w:val="false"/>
                <w:bCs w:val="false"/>
                <w:sz w:val="18"/>
                <w:szCs w:val="18"/>
              </w:rPr>
              <w:t xml:space="preserve">2.4.2 Page Titled</w:t>
            </w:r>
          </w:p>
        </w:tc>
        <w:tc>
          <w:tcPr>
            <w:tcW w:type="dxa" w:w="900"/>
            <w:tcMar>
              <w:top w:type="dxa" w:w="80"/>
              <w:left w:type="dxa" w:w="100"/>
              <w:bottom w:type="dxa" w:w="80"/>
              <w:right w:type="dxa" w:w="100"/>
            </w:tcMar>
          </w:tcPr>
          <w:p>
            <w:r>
              <w:rPr>
                <w:b w:val="false"/>
                <w:bCs w:val="false"/>
                <w:sz w:val="18"/>
                <w:szCs w:val="18"/>
              </w:rPr>
              <w:t xml:space="preserve">A</w:t>
            </w:r>
          </w:p>
        </w:tc>
        <w:tc>
          <w:tcPr>
            <w:tcW w:type="dxa" w:w="2200"/>
            <w:tcMar>
              <w:top w:type="dxa" w:w="80"/>
              <w:left w:type="dxa" w:w="100"/>
              <w:bottom w:type="dxa" w:w="80"/>
              <w:right w:type="dxa" w:w="100"/>
            </w:tcMar>
          </w:tcPr>
          <w:p>
            <w:r>
              <w:rPr>
                <w:b/>
                <w:bCs/>
                <w:color w:val="1E7A3D"/>
                <w:sz w:val="18"/>
                <w:szCs w:val="18"/>
              </w:rPr>
              <w:t xml:space="preserve">RESOLVED</w:t>
            </w:r>
          </w:p>
        </w:tc>
        <w:tc>
          <w:tcPr>
            <w:tcW w:type="dxa" w:w="4700"/>
            <w:tcMar>
              <w:top w:type="dxa" w:w="80"/>
              <w:left w:type="dxa" w:w="100"/>
              <w:bottom w:type="dxa" w:w="80"/>
              <w:right w:type="dxa" w:w="100"/>
            </w:tcMar>
          </w:tcPr>
          <w:p>
            <w:r>
              <w:rPr>
                <w:b w:val="false"/>
                <w:bCs w:val="false"/>
                <w:sz w:val="18"/>
                <w:szCs w:val="18"/>
              </w:rPr>
              <w:t xml:space="preserve">post.html's static &lt;title&gt; was changed to "Blog | BnB Financial Services Pvt. Ltd." (previously identical to the home page title), and JavaScript further sets document.title dynamically from the loaded article's heading on load, so each individual post gets a unique, descriptive title.</w:t>
            </w:r>
          </w:p>
        </w:tc>
      </w:tr>
      <w:tr>
        <w:tc>
          <w:tcPr>
            <w:tcW w:type="dxa" w:w="1500"/>
            <w:tcMar>
              <w:top w:type="dxa" w:w="80"/>
              <w:left w:type="dxa" w:w="100"/>
              <w:bottom w:type="dxa" w:w="80"/>
              <w:right w:type="dxa" w:w="100"/>
            </w:tcMar>
          </w:tcPr>
          <w:p>
            <w:r>
              <w:rPr>
                <w:b w:val="false"/>
                <w:bCs w:val="false"/>
                <w:sz w:val="18"/>
                <w:szCs w:val="18"/>
              </w:rPr>
              <w:t xml:space="preserve">2.4.7 Focus Visible</w:t>
            </w:r>
          </w:p>
        </w:tc>
        <w:tc>
          <w:tcPr>
            <w:tcW w:type="dxa" w:w="900"/>
            <w:tcMar>
              <w:top w:type="dxa" w:w="80"/>
              <w:left w:type="dxa" w:w="100"/>
              <w:bottom w:type="dxa" w:w="80"/>
              <w:right w:type="dxa" w:w="100"/>
            </w:tcMar>
          </w:tcPr>
          <w:p>
            <w:r>
              <w:rPr>
                <w:b w:val="false"/>
                <w:bCs w:val="false"/>
                <w:sz w:val="18"/>
                <w:szCs w:val="18"/>
              </w:rPr>
              <w:t xml:space="preserve">AA</w:t>
            </w:r>
          </w:p>
        </w:tc>
        <w:tc>
          <w:tcPr>
            <w:tcW w:type="dxa" w:w="2200"/>
            <w:tcMar>
              <w:top w:type="dxa" w:w="80"/>
              <w:left w:type="dxa" w:w="100"/>
              <w:bottom w:type="dxa" w:w="80"/>
              <w:right w:type="dxa" w:w="100"/>
            </w:tcMar>
          </w:tcPr>
          <w:p>
            <w:r>
              <w:rPr>
                <w:b/>
                <w:bCs/>
                <w:color w:val="1E7A3D"/>
                <w:sz w:val="18"/>
                <w:szCs w:val="18"/>
              </w:rPr>
              <w:t xml:space="preserve">RESOLVED</w:t>
            </w:r>
          </w:p>
        </w:tc>
        <w:tc>
          <w:tcPr>
            <w:tcW w:type="dxa" w:w="4700"/>
            <w:tcMar>
              <w:top w:type="dxa" w:w="80"/>
              <w:left w:type="dxa" w:w="100"/>
              <w:bottom w:type="dxa" w:w="80"/>
              <w:right w:type="dxa" w:w="100"/>
            </w:tcMar>
          </w:tcPr>
          <w:p>
            <w:r>
              <w:rPr>
                <w:b w:val="false"/>
                <w:bCs w:val="false"/>
                <w:sz w:val="18"/>
                <w:szCs w:val="18"/>
              </w:rPr>
              <w:t xml:space="preserve">#chatbotToggleBtn:focus-visible { outline: 3px solid #E8CC7A; outline-offset: 3px; border-radius: 50%; } is present and identical across all five shared-template pages: index.html, terms.html, privacy.html, post.html, and escalation-matrix.html.</w:t>
            </w:r>
          </w:p>
        </w:tc>
      </w:tr>
      <w:tr>
        <w:tc>
          <w:tcPr>
            <w:tcW w:type="dxa" w:w="1500"/>
            <w:tcMar>
              <w:top w:type="dxa" w:w="80"/>
              <w:left w:type="dxa" w:w="100"/>
              <w:bottom w:type="dxa" w:w="80"/>
              <w:right w:type="dxa" w:w="100"/>
            </w:tcMar>
          </w:tcPr>
          <w:p>
            <w:r>
              <w:rPr>
                <w:b w:val="false"/>
                <w:bCs w:val="false"/>
                <w:sz w:val="18"/>
                <w:szCs w:val="18"/>
              </w:rPr>
              <w:t xml:space="preserve">2.5.8 Target Size Minimum</w:t>
            </w:r>
          </w:p>
        </w:tc>
        <w:tc>
          <w:tcPr>
            <w:tcW w:type="dxa" w:w="900"/>
            <w:tcMar>
              <w:top w:type="dxa" w:w="80"/>
              <w:left w:type="dxa" w:w="100"/>
              <w:bottom w:type="dxa" w:w="80"/>
              <w:right w:type="dxa" w:w="100"/>
            </w:tcMar>
          </w:tcPr>
          <w:p>
            <w:r>
              <w:rPr>
                <w:b w:val="false"/>
                <w:bCs w:val="false"/>
                <w:sz w:val="18"/>
                <w:szCs w:val="18"/>
              </w:rPr>
              <w:t xml:space="preserve">AA</w:t>
            </w:r>
          </w:p>
        </w:tc>
        <w:tc>
          <w:tcPr>
            <w:tcW w:type="dxa" w:w="2200"/>
            <w:tcMar>
              <w:top w:type="dxa" w:w="80"/>
              <w:left w:type="dxa" w:w="100"/>
              <w:bottom w:type="dxa" w:w="80"/>
              <w:right w:type="dxa" w:w="100"/>
            </w:tcMar>
          </w:tcPr>
          <w:p>
            <w:r>
              <w:rPr>
                <w:b/>
                <w:bCs/>
                <w:color w:val="1E7A3D"/>
                <w:sz w:val="18"/>
                <w:szCs w:val="18"/>
              </w:rPr>
              <w:t xml:space="preserve">RESOLVED</w:t>
            </w:r>
          </w:p>
        </w:tc>
        <w:tc>
          <w:tcPr>
            <w:tcW w:type="dxa" w:w="4700"/>
            <w:tcMar>
              <w:top w:type="dxa" w:w="80"/>
              <w:left w:type="dxa" w:w="100"/>
              <w:bottom w:type="dxa" w:w="80"/>
              <w:right w:type="dxa" w:w="100"/>
            </w:tcMar>
          </w:tcPr>
          <w:p>
            <w:r>
              <w:rPr>
                <w:b w:val="false"/>
                <w:bCs w:val="false"/>
                <w:sz w:val="18"/>
                <w:szCs w:val="18"/>
              </w:rPr>
              <w:t xml:space="preserve">footer a[href^='tel:'], footer a[href^='mailto:'] { min-height: 24px; ... } (or the equivalent .footer-reg selector) is present on all five shared-template pages, bringing the previously 17px-tall footer contact links up to the 24×24px CSS Pixel target minimum.</w:t>
            </w:r>
          </w:p>
        </w:tc>
      </w:tr>
      <w:tr>
        <w:tc>
          <w:tcPr>
            <w:tcW w:type="dxa" w:w="1500"/>
            <w:tcMar>
              <w:top w:type="dxa" w:w="80"/>
              <w:left w:type="dxa" w:w="100"/>
              <w:bottom w:type="dxa" w:w="80"/>
              <w:right w:type="dxa" w:w="100"/>
            </w:tcMar>
          </w:tcPr>
          <w:p>
            <w:r>
              <w:rPr>
                <w:b w:val="false"/>
                <w:bCs w:val="false"/>
                <w:sz w:val="18"/>
                <w:szCs w:val="18"/>
              </w:rPr>
              <w:t xml:space="preserve">3.3.1 Error Identification</w:t>
            </w:r>
          </w:p>
        </w:tc>
        <w:tc>
          <w:tcPr>
            <w:tcW w:type="dxa" w:w="900"/>
            <w:tcMar>
              <w:top w:type="dxa" w:w="80"/>
              <w:left w:type="dxa" w:w="100"/>
              <w:bottom w:type="dxa" w:w="80"/>
              <w:right w:type="dxa" w:w="100"/>
            </w:tcMar>
          </w:tcPr>
          <w:p>
            <w:r>
              <w:rPr>
                <w:b w:val="false"/>
                <w:bCs w:val="false"/>
                <w:sz w:val="18"/>
                <w:szCs w:val="18"/>
              </w:rPr>
              <w:t xml:space="preserve">A</w:t>
            </w:r>
          </w:p>
        </w:tc>
        <w:tc>
          <w:tcPr>
            <w:tcW w:type="dxa" w:w="2200"/>
            <w:tcMar>
              <w:top w:type="dxa" w:w="80"/>
              <w:left w:type="dxa" w:w="100"/>
              <w:bottom w:type="dxa" w:w="80"/>
              <w:right w:type="dxa" w:w="100"/>
            </w:tcMar>
          </w:tcPr>
          <w:p>
            <w:r>
              <w:rPr>
                <w:b/>
                <w:bCs/>
                <w:color w:val="1E7A3D"/>
                <w:sz w:val="18"/>
                <w:szCs w:val="18"/>
              </w:rPr>
              <w:t xml:space="preserve">RESOLVED</w:t>
            </w:r>
          </w:p>
        </w:tc>
        <w:tc>
          <w:tcPr>
            <w:tcW w:type="dxa" w:w="4700"/>
            <w:tcMar>
              <w:top w:type="dxa" w:w="80"/>
              <w:left w:type="dxa" w:w="100"/>
              <w:bottom w:type="dxa" w:w="80"/>
              <w:right w:type="dxa" w:w="100"/>
            </w:tcMar>
          </w:tcPr>
          <w:p>
            <w:r>
              <w:rPr>
                <w:b w:val="false"/>
                <w:bCs w:val="false"/>
                <w:sz w:val="18"/>
                <w:szCs w:val="18"/>
              </w:rPr>
              <w:t xml:space="preserve">The single generic alert was replaced with real per-field validation in index.html's contact form (#contact-form). Name, email, and phone inputs each carry aria-describedby pointing to a dedicated &lt;span role="alert" aria-live="assertive"&gt; error element, and the submit handler's setFieldError()/clearFieldError() helpers set aria-invalid="true" and a specific message (e.g. "Email Address is required.", "Please enter a valid email address.") on the offending field only, leaving valid fields untouched.</w:t>
            </w:r>
          </w:p>
        </w:tc>
      </w:tr>
      <w:tr>
        <w:tc>
          <w:tcPr>
            <w:tcW w:type="dxa" w:w="1500"/>
            <w:tcMar>
              <w:top w:type="dxa" w:w="80"/>
              <w:left w:type="dxa" w:w="100"/>
              <w:bottom w:type="dxa" w:w="80"/>
              <w:right w:type="dxa" w:w="100"/>
            </w:tcMar>
          </w:tcPr>
          <w:p>
            <w:r>
              <w:rPr>
                <w:b w:val="false"/>
                <w:bCs w:val="false"/>
                <w:sz w:val="18"/>
                <w:szCs w:val="18"/>
              </w:rPr>
              <w:t xml:space="preserve">4.1.2 Name, Role, Value</w:t>
            </w:r>
          </w:p>
        </w:tc>
        <w:tc>
          <w:tcPr>
            <w:tcW w:type="dxa" w:w="900"/>
            <w:tcMar>
              <w:top w:type="dxa" w:w="80"/>
              <w:left w:type="dxa" w:w="100"/>
              <w:bottom w:type="dxa" w:w="80"/>
              <w:right w:type="dxa" w:w="100"/>
            </w:tcMar>
          </w:tcPr>
          <w:p>
            <w:r>
              <w:rPr>
                <w:b w:val="false"/>
                <w:bCs w:val="false"/>
                <w:sz w:val="18"/>
                <w:szCs w:val="18"/>
              </w:rPr>
              <w:t xml:space="preserve">A</w:t>
            </w:r>
          </w:p>
        </w:tc>
        <w:tc>
          <w:tcPr>
            <w:tcW w:type="dxa" w:w="2200"/>
            <w:tcMar>
              <w:top w:type="dxa" w:w="80"/>
              <w:left w:type="dxa" w:w="100"/>
              <w:bottom w:type="dxa" w:w="80"/>
              <w:right w:type="dxa" w:w="100"/>
            </w:tcMar>
          </w:tcPr>
          <w:p>
            <w:r>
              <w:rPr>
                <w:b/>
                <w:bCs/>
                <w:color w:val="1E7A3D"/>
                <w:sz w:val="18"/>
                <w:szCs w:val="18"/>
              </w:rPr>
              <w:t xml:space="preserve">RESOLVED</w:t>
            </w:r>
          </w:p>
        </w:tc>
        <w:tc>
          <w:tcPr>
            <w:tcW w:type="dxa" w:w="4700"/>
            <w:tcMar>
              <w:top w:type="dxa" w:w="80"/>
              <w:left w:type="dxa" w:w="100"/>
              <w:bottom w:type="dxa" w:w="80"/>
              <w:right w:type="dxa" w:w="100"/>
            </w:tcMar>
          </w:tcPr>
          <w:p>
            <w:r>
              <w:rPr>
                <w:b w:val="false"/>
                <w:bCs w:val="false"/>
                <w:sz w:val="18"/>
                <w:szCs w:val="18"/>
              </w:rPr>
              <w:t xml:space="preserve">disclosure-of-complaints.html's #chatbotWindow now ships with the inert attribute in the initial markup (aria-hidden="true" inert), and the toggleChat() function explicitly sets chatbotWindow.inert = true/false in sync with the open/closed state and aria-hidden. This correctly removes the close button, input, and send button from the tab sequence while the panel is hidden.</w:t>
            </w:r>
          </w:p>
        </w:tc>
      </w:tr>
    </w:tbl>
    <w:p>
      <w:pPr>
        <w:pStyle w:val="Heading1"/>
        <w:spacing w:after="120" w:before="240"/>
      </w:pPr>
      <w:r>
        <w:t xml:space="preserve">4. Remaining Issues — Recommended Next Steps</w:t>
      </w:r>
    </w:p>
    <w:p>
      <w:pPr>
        <w:spacing w:after="120"/>
      </w:pPr>
      <w:r>
        <w:rPr>
          <w:b/>
          <w:bCs/>
          <w:i w:val="false"/>
          <w:iCs w:val="false"/>
          <w:color w:val="B91C1C"/>
        </w:rPr>
        <w:t xml:space="preserve">STILL FAILING</w:t>
      </w:r>
    </w:p>
    <w:p>
      <w:pPr>
        <w:pStyle w:val="ListParagraph"/>
        <w:numPr>
          <w:ilvl w:val="0"/>
          <w:numId w:val="1"/>
        </w:numPr>
        <w:spacing w:after="60"/>
      </w:pPr>
      <w:r>
        <w:t xml:space="preserve">SC 1.2.3 / 1.2.5 (Audio Description): Produce an audio-described version of the investor awareness video, or supply an equivalent full-text alternative page that conveys all visual information (on-screen text, actions, context) for someone who cannot see the video.</w:t>
      </w:r>
    </w:p>
    <w:p>
      <w:pPr>
        <w:pStyle w:val="ListParagraph"/>
        <w:numPr>
          <w:ilvl w:val="0"/>
          <w:numId w:val="1"/>
        </w:numPr>
        <w:spacing w:after="60"/>
      </w:pPr>
      <w:r>
        <w:t xml:space="preserve">SC 1.4.13 (Content on Hover/Focus): Rework the SERVICES dropdown so closing is driven by a JS-toggled class (e.g. add/remove an .open class on Escape and on outside click) rather than relying solely on :focus-within, so refocusing the trigger after Escape doesn't re-trigger the CSS that shows the menu. The current code needs the CSS selector changed to something like .nav-dropdown.open &gt; .dropdown-menu, with :hover / :focus-within kept only as a mouse/keyboard-open trigger, not as the sole close condition.</w:t>
      </w:r>
    </w:p>
    <w:p>
      <w:pPr>
        <w:pStyle w:val="ListParagraph"/>
        <w:numPr>
          <w:ilvl w:val="0"/>
          <w:numId w:val="1"/>
        </w:numPr>
        <w:spacing w:after="60"/>
      </w:pPr>
      <w:r>
        <w:t xml:space="preserve">SC 1.4.3 (Contrast, remaining items): Darken var(--gold-dark) for text-link use on white backgrounds (target ≥ 4.5:1 — for reference, the #7A5C00 already used for .section-label reaches 6.25:1 and could be reused or adapted for gold-dark link text), and adjust the .badge-closed colour pairing (currently #D9534F on #FEF0EF, 3.57:1) to a darker red or lighter background to reach 4.5:1.</w:t>
      </w:r>
    </w:p>
    <w:p>
      <w:pPr>
        <w:spacing w:after="120"/>
      </w:pPr>
    </w:p>
    <w:p>
      <w:pPr>
        <w:spacing w:after="120"/>
      </w:pPr>
      <w:r>
        <w:rPr>
          <w:b/>
          <w:bCs/>
          <w:i w:val="false"/>
          <w:iCs w:val="false"/>
          <w:color w:val="9A6B00"/>
        </w:rPr>
        <w:t xml:space="preserve">PARTIALLY FIXED</w:t>
      </w:r>
    </w:p>
    <w:p>
      <w:pPr>
        <w:pStyle w:val="ListParagraph"/>
        <w:numPr>
          <w:ilvl w:val="0"/>
          <w:numId w:val="1"/>
        </w:numPr>
        <w:spacing w:after="60"/>
      </w:pPr>
      <w:r>
        <w:t xml:space="preserve">SC 1.2.1 (Audio Transcript): Replace the placeholder paragraph in #audio-transcript-content on Investor-Accessibility-Audio.html with the verbatim transcript of the audio file.</w:t>
      </w:r>
    </w:p>
    <w:p>
      <w:pPr>
        <w:pStyle w:val="ListParagraph"/>
        <w:numPr>
          <w:ilvl w:val="0"/>
          <w:numId w:val="1"/>
        </w:numPr>
        <w:spacing w:after="60"/>
      </w:pPr>
      <w:r>
        <w:t xml:space="preserve">SC 1.2.2 (Captions): Replace the three placeholder cues in investor-video-captions.vtt with real captions timed to the full length of VID-20260712-WA0020.mp4 (the current file only covers the first 15 seconds).</w:t>
      </w:r>
    </w:p>
    <w:p>
      <w:pPr>
        <w:pStyle w:val="Heading1"/>
        <w:spacing w:after="120" w:before="240"/>
      </w:pPr>
      <w:r>
        <w:t xml:space="preserve">5. Residual Verification Recommendations</w:t>
      </w:r>
    </w:p>
    <w:p>
      <w:pPr>
        <w:pStyle w:val="ListParagraph"/>
        <w:numPr>
          <w:ilvl w:val="0"/>
          <w:numId w:val="1"/>
        </w:numPr>
        <w:spacing w:after="60"/>
      </w:pPr>
      <w:r>
        <w:t xml:space="preserve">Run a live Playwright + axe-core automated scan against the deployed https://bnbfin.com/ (not just the source archive) to catch any build/deploy-time discrepancies and additional issues outside the original 15.</w:t>
      </w:r>
    </w:p>
    <w:p>
      <w:pPr>
        <w:pStyle w:val="ListParagraph"/>
        <w:numPr>
          <w:ilvl w:val="0"/>
          <w:numId w:val="1"/>
        </w:numPr>
        <w:spacing w:after="60"/>
      </w:pPr>
      <w:r>
        <w:t xml:space="preserve">Perform a full 60-stop live keyboard traversal of the home page to confirm no other :hover-only patterns exist beyond the SERVICES dropdown.</w:t>
      </w:r>
    </w:p>
    <w:p>
      <w:pPr>
        <w:pStyle w:val="ListParagraph"/>
        <w:numPr>
          <w:ilvl w:val="0"/>
          <w:numId w:val="1"/>
        </w:numPr>
        <w:spacing w:after="60"/>
      </w:pPr>
      <w:r>
        <w:t xml:space="preserve">Test the Escape-key dropdown fix in an actual browser (Chrome, Firefox, Safari) to reproduce and confirm the :focus-within issue described in Section 4 before it's fixed.</w:t>
      </w:r>
    </w:p>
    <w:p>
      <w:pPr>
        <w:pStyle w:val="ListParagraph"/>
        <w:numPr>
          <w:ilvl w:val="0"/>
          <w:numId w:val="1"/>
        </w:numPr>
        <w:spacing w:after="60"/>
      </w:pPr>
      <w:r>
        <w:t xml:space="preserve">Once real transcript/caption content is added, verify with a screen reader (NVDA/VoiceOver) that the transcript and captions are announced/rendered correctly, and confirm caption timing matches the audio track.</w:t>
      </w:r>
    </w:p>
    <w:p>
      <w:pPr>
        <w:pStyle w:val="ListParagraph"/>
        <w:numPr>
          <w:ilvl w:val="0"/>
          <w:numId w:val="1"/>
        </w:numPr>
        <w:spacing w:after="60"/>
      </w:pPr>
      <w:r>
        <w:t xml:space="preserve">Perform live form submission testing on the contact form (valid submission, and each of the three invalid-field scenarios) to confirm error messages are announced by a screen reader via aria-live="assertive" without being read out of order or duplicated.</w:t>
      </w:r>
    </w:p>
    <w:p>
      <w:pPr>
        <w:pStyle w:val="ListParagraph"/>
        <w:numPr>
          <w:ilvl w:val="0"/>
          <w:numId w:val="1"/>
        </w:numPr>
        <w:spacing w:after="60"/>
      </w:pPr>
      <w:r>
        <w:t xml:space="preserve">Re-run computed-style contrast checks directly in DevTools against the live site once the gold-dark link colour and badge-closed colours are updated, to confirm the actual rendered values (not just source CSS) meet 4.5:1.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2026-07-30T12:00:23.098Z</dcterms:created>
  <dcterms:modified xsi:type="dcterms:W3CDTF">2026-07-30T12:00:23.114Z</dcterms:modified>
</cp:coreProperties>
</file>

<file path=docProps/custom.xml><?xml version="1.0" encoding="utf-8"?>
<Properties xmlns="http://schemas.openxmlformats.org/officeDocument/2006/custom-properties" xmlns:vt="http://schemas.openxmlformats.org/officeDocument/2006/docPropsVTypes"/>
</file>