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566" w:rsidRPr="000C45EA" w:rsidRDefault="00845566" w:rsidP="000C45EA">
      <w:pPr>
        <w:autoSpaceDE w:val="0"/>
        <w:autoSpaceDN w:val="0"/>
        <w:adjustRightInd w:val="0"/>
        <w:spacing w:after="0" w:line="360" w:lineRule="auto"/>
        <w:jc w:val="both"/>
        <w:rPr>
          <w:rFonts w:ascii="Times New Roman" w:eastAsia="Calibri" w:hAnsi="Times New Roman" w:cs="Times New Roman"/>
          <w:sz w:val="24"/>
          <w:szCs w:val="24"/>
        </w:rPr>
      </w:pPr>
      <w:r w:rsidRPr="000C45EA">
        <w:rPr>
          <w:rFonts w:ascii="Times New Roman" w:eastAsia="Calibri" w:hAnsi="Times New Roman" w:cs="Times New Roman"/>
          <w:b/>
          <w:sz w:val="24"/>
          <w:szCs w:val="24"/>
        </w:rPr>
        <w:t xml:space="preserve">Bivariate </w:t>
      </w:r>
      <w:proofErr w:type="spellStart"/>
      <w:r w:rsidRPr="000C45EA">
        <w:rPr>
          <w:rFonts w:ascii="Times New Roman" w:eastAsia="Calibri" w:hAnsi="Times New Roman" w:cs="Times New Roman"/>
          <w:b/>
          <w:sz w:val="24"/>
          <w:szCs w:val="24"/>
        </w:rPr>
        <w:t>Probit</w:t>
      </w:r>
      <w:proofErr w:type="spellEnd"/>
      <w:r w:rsidR="008F3B8E" w:rsidRPr="000C45EA">
        <w:rPr>
          <w:rFonts w:ascii="Times New Roman" w:eastAsia="Calibri" w:hAnsi="Times New Roman" w:cs="Times New Roman"/>
          <w:b/>
          <w:sz w:val="24"/>
          <w:szCs w:val="24"/>
        </w:rPr>
        <w:t xml:space="preserve">    </w:t>
      </w:r>
    </w:p>
    <w:p w:rsidR="001530AB" w:rsidRPr="000C45EA" w:rsidRDefault="00845566" w:rsidP="000C45EA">
      <w:pPr>
        <w:autoSpaceDE w:val="0"/>
        <w:autoSpaceDN w:val="0"/>
        <w:adjustRightInd w:val="0"/>
        <w:spacing w:after="0" w:line="360" w:lineRule="auto"/>
        <w:jc w:val="both"/>
        <w:rPr>
          <w:rFonts w:ascii="Times New Roman" w:eastAsia="Calibri" w:hAnsi="Times New Roman" w:cs="Times New Roman"/>
          <w:sz w:val="24"/>
          <w:szCs w:val="24"/>
        </w:rPr>
      </w:pPr>
      <w:r w:rsidRPr="000C45EA">
        <w:rPr>
          <w:rFonts w:ascii="Times New Roman" w:eastAsia="Calibri" w:hAnsi="Times New Roman" w:cs="Times New Roman"/>
          <w:sz w:val="24"/>
          <w:szCs w:val="24"/>
        </w:rPr>
        <w:t>The bivariate probit model considers two binary outcomes. The outcomes are potentially related after conditioning on the regress</w:t>
      </w:r>
      <w:bookmarkStart w:id="0" w:name="_GoBack"/>
      <w:bookmarkEnd w:id="0"/>
      <w:r w:rsidRPr="000C45EA">
        <w:rPr>
          <w:rFonts w:ascii="Times New Roman" w:eastAsia="Calibri" w:hAnsi="Times New Roman" w:cs="Times New Roman"/>
          <w:sz w:val="24"/>
          <w:szCs w:val="24"/>
        </w:rPr>
        <w:t>ors. How related they are occurs through correlation of the errors that appear in the model formulation of the binary outcome model.</w:t>
      </w:r>
      <w:r w:rsidR="000C45EA" w:rsidRPr="000C45EA">
        <w:rPr>
          <w:rFonts w:ascii="Times New Roman" w:eastAsia="Calibri" w:hAnsi="Times New Roman" w:cs="Times New Roman"/>
          <w:sz w:val="24"/>
          <w:szCs w:val="24"/>
        </w:rPr>
        <w:t xml:space="preserve"> </w:t>
      </w:r>
      <w:r w:rsidR="001530AB" w:rsidRPr="000C45EA">
        <w:rPr>
          <w:rFonts w:ascii="Times New Roman" w:hAnsi="Times New Roman" w:cs="Times New Roman"/>
          <w:sz w:val="24"/>
          <w:szCs w:val="24"/>
          <w:lang w:val="en-US"/>
        </w:rPr>
        <w:t xml:space="preserve">These notes describe how to estimate a </w:t>
      </w:r>
      <w:r w:rsidR="001530AB" w:rsidRPr="000C45EA">
        <w:rPr>
          <w:rFonts w:ascii="Times New Roman" w:hAnsi="Times New Roman" w:cs="Times New Roman"/>
          <w:b/>
          <w:bCs/>
          <w:sz w:val="24"/>
          <w:szCs w:val="24"/>
          <w:lang w:val="en-US"/>
        </w:rPr>
        <w:t xml:space="preserve">Bivariate Probit Model </w:t>
      </w:r>
      <w:r w:rsidR="001530AB" w:rsidRPr="000C45EA">
        <w:rPr>
          <w:rFonts w:ascii="Times New Roman" w:hAnsi="Times New Roman" w:cs="Times New Roman"/>
          <w:sz w:val="24"/>
          <w:szCs w:val="24"/>
          <w:lang w:val="en-US"/>
        </w:rPr>
        <w:t>by Maximum Likelihood</w:t>
      </w:r>
      <w:r w:rsidR="000C45EA" w:rsidRPr="000C45EA">
        <w:rPr>
          <w:rFonts w:ascii="Times New Roman" w:eastAsia="Calibri" w:hAnsi="Times New Roman" w:cs="Times New Roman"/>
          <w:sz w:val="24"/>
          <w:szCs w:val="24"/>
        </w:rPr>
        <w:t xml:space="preserve"> </w:t>
      </w:r>
      <w:r w:rsidR="001530AB" w:rsidRPr="000C45EA">
        <w:rPr>
          <w:rFonts w:ascii="Times New Roman" w:hAnsi="Times New Roman" w:cs="Times New Roman"/>
          <w:sz w:val="24"/>
          <w:szCs w:val="24"/>
          <w:lang w:val="en-US"/>
        </w:rPr>
        <w:t>Estimation (MLE), and use the Likelihood Ratio (LR) and the Wald tests to test an interesting</w:t>
      </w:r>
      <w:r w:rsidR="000C45EA" w:rsidRPr="000C45EA">
        <w:rPr>
          <w:rFonts w:ascii="Times New Roman" w:eastAsia="Calibri" w:hAnsi="Times New Roman" w:cs="Times New Roman"/>
          <w:sz w:val="24"/>
          <w:szCs w:val="24"/>
        </w:rPr>
        <w:t xml:space="preserve"> </w:t>
      </w:r>
      <w:r w:rsidR="001530AB" w:rsidRPr="000C45EA">
        <w:rPr>
          <w:rFonts w:ascii="Times New Roman" w:hAnsi="Times New Roman" w:cs="Times New Roman"/>
          <w:sz w:val="24"/>
          <w:szCs w:val="24"/>
          <w:lang w:val="en-US"/>
        </w:rPr>
        <w:t xml:space="preserve">hypothesis. </w:t>
      </w:r>
      <w:r w:rsidR="00EA4F54" w:rsidRPr="000C45EA">
        <w:rPr>
          <w:rFonts w:ascii="Times New Roman" w:hAnsi="Times New Roman" w:cs="Times New Roman"/>
          <w:sz w:val="24"/>
          <w:szCs w:val="24"/>
          <w:lang w:val="en-US"/>
        </w:rPr>
        <w:t>Bivariate</w:t>
      </w:r>
      <w:r w:rsidR="00EA4F54" w:rsidRPr="000C45EA">
        <w:rPr>
          <w:rFonts w:ascii="Times New Roman" w:eastAsia="Calibri" w:hAnsi="Times New Roman" w:cs="Times New Roman"/>
          <w:sz w:val="24"/>
          <w:szCs w:val="24"/>
        </w:rPr>
        <w:t xml:space="preserve"> </w:t>
      </w:r>
      <w:r w:rsidR="00EA4F54" w:rsidRPr="000C45EA">
        <w:rPr>
          <w:rFonts w:ascii="Times New Roman" w:hAnsi="Times New Roman" w:cs="Times New Roman"/>
          <w:sz w:val="24"/>
          <w:szCs w:val="24"/>
          <w:lang w:val="en-US"/>
        </w:rPr>
        <w:t xml:space="preserve">Probit model </w:t>
      </w:r>
      <w:r w:rsidR="001530AB" w:rsidRPr="000C45EA">
        <w:rPr>
          <w:rFonts w:ascii="Times New Roman" w:hAnsi="Times New Roman" w:cs="Times New Roman"/>
          <w:sz w:val="24"/>
          <w:szCs w:val="24"/>
          <w:lang w:val="en-US"/>
        </w:rPr>
        <w:t>involves two equations, rather</w:t>
      </w:r>
      <w:r w:rsidR="000C45EA" w:rsidRPr="000C45EA">
        <w:rPr>
          <w:rFonts w:ascii="Times New Roman" w:eastAsia="Calibri" w:hAnsi="Times New Roman" w:cs="Times New Roman"/>
          <w:sz w:val="24"/>
          <w:szCs w:val="24"/>
        </w:rPr>
        <w:t xml:space="preserve"> </w:t>
      </w:r>
      <w:r w:rsidR="001530AB" w:rsidRPr="000C45EA">
        <w:rPr>
          <w:rFonts w:ascii="Times New Roman" w:hAnsi="Times New Roman" w:cs="Times New Roman"/>
          <w:sz w:val="24"/>
          <w:szCs w:val="24"/>
          <w:lang w:val="en-US"/>
        </w:rPr>
        <w:t>than one – and each equation is a binary choice model.</w:t>
      </w:r>
      <w:r w:rsidR="000C45EA" w:rsidRPr="000C45EA">
        <w:rPr>
          <w:rFonts w:ascii="Times New Roman" w:hAnsi="Times New Roman" w:cs="Times New Roman"/>
          <w:sz w:val="24"/>
          <w:szCs w:val="24"/>
          <w:lang w:val="en-US"/>
        </w:rPr>
        <w:t xml:space="preserve"> </w:t>
      </w:r>
      <w:r w:rsidR="001530AB" w:rsidRPr="000C45EA">
        <w:rPr>
          <w:rFonts w:ascii="Times New Roman" w:hAnsi="Times New Roman" w:cs="Times New Roman"/>
          <w:sz w:val="24"/>
          <w:szCs w:val="24"/>
          <w:lang w:val="en-US"/>
        </w:rPr>
        <w:t>Although we’ll be looking at the Bivariate</w:t>
      </w:r>
      <w:r w:rsidR="000C45EA" w:rsidRPr="000C45EA">
        <w:rPr>
          <w:rFonts w:ascii="Times New Roman" w:eastAsia="Calibri" w:hAnsi="Times New Roman" w:cs="Times New Roman"/>
          <w:sz w:val="24"/>
          <w:szCs w:val="24"/>
        </w:rPr>
        <w:t xml:space="preserve"> </w:t>
      </w:r>
      <w:r w:rsidR="001530AB" w:rsidRPr="000C45EA">
        <w:rPr>
          <w:rFonts w:ascii="Times New Roman" w:hAnsi="Times New Roman" w:cs="Times New Roman"/>
          <w:sz w:val="24"/>
          <w:szCs w:val="24"/>
          <w:lang w:val="en-US"/>
        </w:rPr>
        <w:t>Probit model, everything that follows could be done for a Bivariate Logit model.</w:t>
      </w:r>
    </w:p>
    <w:p w:rsidR="00EF5B4A" w:rsidRPr="000C45EA" w:rsidRDefault="008F3B8E" w:rsidP="000C45EA">
      <w:pPr>
        <w:autoSpaceDE w:val="0"/>
        <w:autoSpaceDN w:val="0"/>
        <w:adjustRightInd w:val="0"/>
        <w:spacing w:after="0" w:line="360" w:lineRule="auto"/>
        <w:jc w:val="both"/>
        <w:rPr>
          <w:rFonts w:ascii="Times New Roman" w:eastAsia="Calibri" w:hAnsi="Times New Roman" w:cs="Times New Roman"/>
          <w:sz w:val="24"/>
          <w:szCs w:val="24"/>
        </w:rPr>
      </w:pPr>
      <w:r w:rsidRPr="000C45EA">
        <w:rPr>
          <w:rFonts w:ascii="Times New Roman" w:eastAsia="Calibri" w:hAnsi="Times New Roman" w:cs="Times New Roman"/>
          <w:sz w:val="24"/>
          <w:szCs w:val="24"/>
        </w:rPr>
        <w:t xml:space="preserve">   </w:t>
      </w:r>
    </w:p>
    <w:p w:rsidR="00414F8D" w:rsidRPr="00AE6C13" w:rsidRDefault="000C45EA" w:rsidP="00414F8D">
      <w:pPr>
        <w:autoSpaceDE w:val="0"/>
        <w:autoSpaceDN w:val="0"/>
        <w:adjustRightInd w:val="0"/>
        <w:spacing w:after="0" w:line="360" w:lineRule="auto"/>
        <w:jc w:val="both"/>
        <w:rPr>
          <w:rFonts w:ascii="Times New Roman" w:eastAsia="Calibri" w:hAnsi="Times New Roman" w:cs="Times New Roman"/>
          <w:b/>
          <w:sz w:val="24"/>
          <w:szCs w:val="24"/>
        </w:rPr>
      </w:pPr>
      <w:r w:rsidRPr="000C45EA">
        <w:rPr>
          <w:rFonts w:ascii="Times New Roman" w:eastAsia="Calibri" w:hAnsi="Times New Roman" w:cs="Times New Roman"/>
          <w:b/>
          <w:sz w:val="24"/>
          <w:szCs w:val="24"/>
        </w:rPr>
        <w:t>Interpretation of Results</w:t>
      </w:r>
    </w:p>
    <w:p w:rsidR="00026F52" w:rsidRDefault="00414F8D" w:rsidP="003C2F20">
      <w:pPr>
        <w:autoSpaceDE w:val="0"/>
        <w:autoSpaceDN w:val="0"/>
        <w:adjustRightInd w:val="0"/>
        <w:spacing w:after="0" w:line="360" w:lineRule="auto"/>
        <w:jc w:val="both"/>
        <w:rPr>
          <w:rFonts w:ascii="Times New Roman" w:hAnsi="Times New Roman" w:cs="Times New Roman"/>
          <w:sz w:val="24"/>
          <w:szCs w:val="24"/>
          <w:lang w:val="en-US"/>
        </w:rPr>
      </w:pPr>
      <w:r w:rsidRPr="00026F52">
        <w:rPr>
          <w:rFonts w:ascii="Times New Roman" w:hAnsi="Times New Roman" w:cs="Times New Roman"/>
          <w:sz w:val="24"/>
          <w:szCs w:val="24"/>
          <w:lang w:val="en-US"/>
        </w:rPr>
        <w:t xml:space="preserve">The mean (proportion) for excellent health status </w:t>
      </w:r>
      <w:r w:rsidR="00AE6C13">
        <w:rPr>
          <w:rFonts w:ascii="Times New Roman" w:hAnsi="Times New Roman" w:cs="Times New Roman"/>
          <w:sz w:val="24"/>
          <w:szCs w:val="24"/>
          <w:lang w:val="en-US"/>
        </w:rPr>
        <w:t>(</w:t>
      </w:r>
      <w:r w:rsidR="00AE6C13" w:rsidRPr="00026F52">
        <w:rPr>
          <w:rFonts w:ascii="Times New Roman" w:eastAsia="Calibri" w:hAnsi="Times New Roman" w:cs="Times New Roman"/>
          <w:b/>
          <w:sz w:val="24"/>
          <w:szCs w:val="24"/>
        </w:rPr>
        <w:t>hlthe</w:t>
      </w:r>
      <w:r w:rsidRPr="00026F52">
        <w:rPr>
          <w:rFonts w:ascii="Times New Roman" w:hAnsi="Times New Roman" w:cs="Times New Roman"/>
          <w:sz w:val="24"/>
          <w:szCs w:val="24"/>
          <w:lang w:val="en-US"/>
        </w:rPr>
        <w:t xml:space="preserve">) is 0.54 and the mean (proportion) for </w:t>
      </w:r>
      <w:r w:rsidR="00AE6C13">
        <w:rPr>
          <w:rFonts w:ascii="Times New Roman" w:hAnsi="Times New Roman" w:cs="Times New Roman"/>
          <w:sz w:val="24"/>
          <w:szCs w:val="24"/>
          <w:lang w:val="en-US"/>
        </w:rPr>
        <w:t>visiting the doctor (</w:t>
      </w:r>
      <w:r w:rsidR="00AE6C13">
        <w:rPr>
          <w:rFonts w:ascii="Times New Roman" w:eastAsia="Calibri" w:hAnsi="Times New Roman" w:cs="Times New Roman"/>
          <w:b/>
          <w:sz w:val="24"/>
          <w:szCs w:val="24"/>
        </w:rPr>
        <w:t>d</w:t>
      </w:r>
      <w:r w:rsidR="00AE6C13" w:rsidRPr="00AE6C13">
        <w:rPr>
          <w:rFonts w:ascii="Times New Roman" w:eastAsia="Calibri" w:hAnsi="Times New Roman" w:cs="Times New Roman"/>
          <w:b/>
          <w:sz w:val="24"/>
          <w:szCs w:val="24"/>
        </w:rPr>
        <w:t>mdu</w:t>
      </w:r>
      <w:r w:rsidRPr="00026F52">
        <w:rPr>
          <w:rFonts w:ascii="Times New Roman" w:hAnsi="Times New Roman" w:cs="Times New Roman"/>
          <w:sz w:val="24"/>
          <w:szCs w:val="24"/>
          <w:lang w:val="en-US"/>
        </w:rPr>
        <w:t xml:space="preserve">) is 0.67. </w:t>
      </w:r>
      <w:r w:rsidR="00E17513">
        <w:rPr>
          <w:rFonts w:ascii="Times New Roman" w:hAnsi="Times New Roman" w:cs="Times New Roman"/>
          <w:sz w:val="24"/>
          <w:szCs w:val="24"/>
          <w:lang w:val="en-US"/>
        </w:rPr>
        <w:t>As shown in Table 1, t</w:t>
      </w:r>
      <w:r w:rsidRPr="00026F52">
        <w:rPr>
          <w:rFonts w:ascii="Times New Roman" w:hAnsi="Times New Roman" w:cs="Times New Roman"/>
          <w:sz w:val="24"/>
          <w:szCs w:val="24"/>
          <w:lang w:val="en-US"/>
        </w:rPr>
        <w:t xml:space="preserve">he correlation is -0.01, so the two outcomes are practically </w:t>
      </w:r>
      <w:r w:rsidR="00026F52" w:rsidRPr="00026F52">
        <w:rPr>
          <w:rFonts w:ascii="Times New Roman" w:hAnsi="Times New Roman" w:cs="Times New Roman"/>
          <w:sz w:val="24"/>
          <w:szCs w:val="24"/>
          <w:lang w:val="en-US"/>
        </w:rPr>
        <w:t xml:space="preserve">uncorrelated (higher </w:t>
      </w:r>
      <w:r w:rsidRPr="00026F52">
        <w:rPr>
          <w:rFonts w:ascii="Times New Roman" w:hAnsi="Times New Roman" w:cs="Times New Roman"/>
          <w:sz w:val="24"/>
          <w:szCs w:val="24"/>
          <w:lang w:val="en-US"/>
        </w:rPr>
        <w:t>correlation is needed to apply bivariate probit).</w:t>
      </w:r>
    </w:p>
    <w:p w:rsidR="00026F52" w:rsidRPr="00026F52" w:rsidRDefault="00026F52" w:rsidP="00026F52">
      <w:pPr>
        <w:autoSpaceDE w:val="0"/>
        <w:autoSpaceDN w:val="0"/>
        <w:adjustRightInd w:val="0"/>
        <w:spacing w:after="0" w:line="240" w:lineRule="auto"/>
        <w:rPr>
          <w:rFonts w:ascii="Times New Roman" w:hAnsi="Times New Roman" w:cs="Times New Roman"/>
          <w:b/>
          <w:sz w:val="24"/>
          <w:szCs w:val="24"/>
          <w:lang w:val="en-US"/>
        </w:rPr>
      </w:pPr>
      <w:r w:rsidRPr="00026F52">
        <w:rPr>
          <w:rFonts w:ascii="Times New Roman" w:hAnsi="Times New Roman" w:cs="Times New Roman"/>
          <w:b/>
          <w:sz w:val="24"/>
          <w:szCs w:val="24"/>
          <w:lang w:val="en-US"/>
        </w:rPr>
        <w:t>Correlation between excellent health status (</w:t>
      </w:r>
      <w:r w:rsidRPr="00026F52">
        <w:rPr>
          <w:rFonts w:ascii="Times New Roman" w:eastAsia="Calibri" w:hAnsi="Times New Roman" w:cs="Times New Roman"/>
          <w:b/>
          <w:sz w:val="24"/>
          <w:szCs w:val="24"/>
        </w:rPr>
        <w:t>hlthe</w:t>
      </w:r>
      <w:r w:rsidRPr="00026F52">
        <w:rPr>
          <w:rFonts w:ascii="Times New Roman" w:hAnsi="Times New Roman" w:cs="Times New Roman"/>
          <w:b/>
          <w:sz w:val="24"/>
          <w:szCs w:val="24"/>
          <w:lang w:val="en-US"/>
        </w:rPr>
        <w:t>) and visiting the doctor (</w:t>
      </w:r>
      <w:r w:rsidRPr="00026F52">
        <w:rPr>
          <w:rFonts w:ascii="Times New Roman" w:eastAsia="Calibri" w:hAnsi="Times New Roman" w:cs="Times New Roman"/>
          <w:b/>
          <w:sz w:val="24"/>
          <w:szCs w:val="24"/>
        </w:rPr>
        <w:t>dmdu</w:t>
      </w:r>
      <w:r>
        <w:rPr>
          <w:rFonts w:ascii="Times New Roman" w:hAnsi="Times New Roman" w:cs="Times New Roman"/>
          <w:b/>
          <w:sz w:val="24"/>
          <w:szCs w:val="24"/>
          <w:lang w:val="en-US"/>
        </w:rPr>
        <w:t>)</w:t>
      </w:r>
    </w:p>
    <w:tbl>
      <w:tblPr>
        <w:tblStyle w:val="TableGrid"/>
        <w:tblW w:w="0" w:type="auto"/>
        <w:tblLook w:val="04A0" w:firstRow="1" w:lastRow="0" w:firstColumn="1" w:lastColumn="0" w:noHBand="0" w:noVBand="1"/>
      </w:tblPr>
      <w:tblGrid>
        <w:gridCol w:w="3116"/>
        <w:gridCol w:w="3117"/>
        <w:gridCol w:w="3117"/>
      </w:tblGrid>
      <w:tr w:rsidR="00414F8D" w:rsidTr="00AE6C13">
        <w:tc>
          <w:tcPr>
            <w:tcW w:w="3116" w:type="dxa"/>
            <w:tcBorders>
              <w:left w:val="nil"/>
              <w:bottom w:val="single" w:sz="4" w:space="0" w:color="auto"/>
              <w:right w:val="nil"/>
            </w:tcBorders>
          </w:tcPr>
          <w:p w:rsidR="00414F8D" w:rsidRPr="00AE6C13" w:rsidRDefault="00AE6C13" w:rsidP="000C45EA">
            <w:pPr>
              <w:autoSpaceDE w:val="0"/>
              <w:autoSpaceDN w:val="0"/>
              <w:adjustRightInd w:val="0"/>
              <w:spacing w:after="0" w:line="360" w:lineRule="auto"/>
              <w:jc w:val="both"/>
              <w:rPr>
                <w:rFonts w:ascii="Times New Roman" w:eastAsia="Calibri" w:hAnsi="Times New Roman" w:cs="Times New Roman"/>
                <w:b/>
                <w:sz w:val="24"/>
                <w:szCs w:val="24"/>
              </w:rPr>
            </w:pPr>
            <w:r w:rsidRPr="00AE6C13">
              <w:rPr>
                <w:rFonts w:ascii="Times New Roman" w:eastAsia="Calibri" w:hAnsi="Times New Roman" w:cs="Times New Roman"/>
                <w:b/>
                <w:sz w:val="24"/>
                <w:szCs w:val="24"/>
              </w:rPr>
              <w:t>Variable</w:t>
            </w:r>
          </w:p>
        </w:tc>
        <w:tc>
          <w:tcPr>
            <w:tcW w:w="3117" w:type="dxa"/>
            <w:tcBorders>
              <w:left w:val="nil"/>
              <w:bottom w:val="single" w:sz="4" w:space="0" w:color="auto"/>
              <w:right w:val="nil"/>
            </w:tcBorders>
          </w:tcPr>
          <w:p w:rsidR="00414F8D" w:rsidRPr="00AE6C13" w:rsidRDefault="00414F8D" w:rsidP="000C45EA">
            <w:pPr>
              <w:autoSpaceDE w:val="0"/>
              <w:autoSpaceDN w:val="0"/>
              <w:adjustRightInd w:val="0"/>
              <w:spacing w:after="0" w:line="360" w:lineRule="auto"/>
              <w:jc w:val="both"/>
              <w:rPr>
                <w:rFonts w:ascii="Times New Roman" w:eastAsia="Calibri" w:hAnsi="Times New Roman" w:cs="Times New Roman"/>
                <w:b/>
                <w:sz w:val="24"/>
                <w:szCs w:val="24"/>
              </w:rPr>
            </w:pPr>
            <w:r w:rsidRPr="00AE6C13">
              <w:rPr>
                <w:rFonts w:ascii="Times New Roman" w:eastAsia="Calibri" w:hAnsi="Times New Roman" w:cs="Times New Roman"/>
                <w:b/>
                <w:sz w:val="24"/>
                <w:szCs w:val="24"/>
              </w:rPr>
              <w:t>hlthe</w:t>
            </w:r>
          </w:p>
        </w:tc>
        <w:tc>
          <w:tcPr>
            <w:tcW w:w="3117" w:type="dxa"/>
            <w:tcBorders>
              <w:left w:val="nil"/>
              <w:bottom w:val="single" w:sz="4" w:space="0" w:color="auto"/>
              <w:right w:val="nil"/>
            </w:tcBorders>
          </w:tcPr>
          <w:p w:rsidR="00414F8D" w:rsidRPr="00AE6C13" w:rsidRDefault="00AE6C13" w:rsidP="000C45EA">
            <w:pPr>
              <w:autoSpaceDE w:val="0"/>
              <w:autoSpaceDN w:val="0"/>
              <w:adjustRightInd w:val="0"/>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w:t>
            </w:r>
            <w:r w:rsidR="00414F8D" w:rsidRPr="00AE6C13">
              <w:rPr>
                <w:rFonts w:ascii="Times New Roman" w:eastAsia="Calibri" w:hAnsi="Times New Roman" w:cs="Times New Roman"/>
                <w:b/>
                <w:sz w:val="24"/>
                <w:szCs w:val="24"/>
              </w:rPr>
              <w:t>mdu</w:t>
            </w:r>
          </w:p>
        </w:tc>
      </w:tr>
      <w:tr w:rsidR="00414F8D" w:rsidTr="00AE6C13">
        <w:tc>
          <w:tcPr>
            <w:tcW w:w="3116" w:type="dxa"/>
            <w:tcBorders>
              <w:left w:val="nil"/>
              <w:bottom w:val="nil"/>
              <w:right w:val="nil"/>
            </w:tcBorders>
          </w:tcPr>
          <w:p w:rsidR="00414F8D" w:rsidRPr="00AE6C13" w:rsidRDefault="00C5086D" w:rsidP="000C45EA">
            <w:pPr>
              <w:autoSpaceDE w:val="0"/>
              <w:autoSpaceDN w:val="0"/>
              <w:adjustRightInd w:val="0"/>
              <w:spacing w:after="0" w:line="360" w:lineRule="auto"/>
              <w:jc w:val="both"/>
              <w:rPr>
                <w:rFonts w:ascii="Times New Roman" w:eastAsia="Calibri" w:hAnsi="Times New Roman" w:cs="Times New Roman"/>
                <w:b/>
                <w:sz w:val="24"/>
                <w:szCs w:val="24"/>
              </w:rPr>
            </w:pPr>
            <w:r w:rsidRPr="00AE6C13">
              <w:rPr>
                <w:rFonts w:ascii="Times New Roman" w:eastAsia="Calibri" w:hAnsi="Times New Roman" w:cs="Times New Roman"/>
                <w:b/>
                <w:sz w:val="24"/>
                <w:szCs w:val="24"/>
              </w:rPr>
              <w:t>H</w:t>
            </w:r>
            <w:r w:rsidR="00414F8D" w:rsidRPr="00AE6C13">
              <w:rPr>
                <w:rFonts w:ascii="Times New Roman" w:eastAsia="Calibri" w:hAnsi="Times New Roman" w:cs="Times New Roman"/>
                <w:b/>
                <w:sz w:val="24"/>
                <w:szCs w:val="24"/>
              </w:rPr>
              <w:t>lthe</w:t>
            </w:r>
          </w:p>
        </w:tc>
        <w:tc>
          <w:tcPr>
            <w:tcW w:w="3117" w:type="dxa"/>
            <w:tcBorders>
              <w:left w:val="nil"/>
              <w:bottom w:val="nil"/>
              <w:right w:val="nil"/>
            </w:tcBorders>
          </w:tcPr>
          <w:p w:rsidR="00414F8D" w:rsidRDefault="00414F8D" w:rsidP="000C45EA">
            <w:pPr>
              <w:autoSpaceDE w:val="0"/>
              <w:autoSpaceDN w:val="0"/>
              <w:adjustRightInd w:val="0"/>
              <w:spacing w:after="0" w:line="360" w:lineRule="auto"/>
              <w:jc w:val="both"/>
              <w:rPr>
                <w:rFonts w:ascii="Times New Roman" w:eastAsia="Calibri" w:hAnsi="Times New Roman" w:cs="Times New Roman"/>
                <w:sz w:val="24"/>
                <w:szCs w:val="24"/>
              </w:rPr>
            </w:pPr>
            <w:r w:rsidRPr="00414F8D">
              <w:rPr>
                <w:rFonts w:ascii="Times New Roman" w:eastAsia="Calibri" w:hAnsi="Times New Roman" w:cs="Times New Roman"/>
                <w:sz w:val="24"/>
                <w:szCs w:val="24"/>
              </w:rPr>
              <w:t>1.0000</w:t>
            </w:r>
          </w:p>
        </w:tc>
        <w:tc>
          <w:tcPr>
            <w:tcW w:w="3117" w:type="dxa"/>
            <w:tcBorders>
              <w:left w:val="nil"/>
              <w:bottom w:val="nil"/>
              <w:right w:val="nil"/>
            </w:tcBorders>
          </w:tcPr>
          <w:p w:rsidR="00414F8D" w:rsidRDefault="00414F8D" w:rsidP="000C45EA">
            <w:pPr>
              <w:autoSpaceDE w:val="0"/>
              <w:autoSpaceDN w:val="0"/>
              <w:adjustRightInd w:val="0"/>
              <w:spacing w:after="0" w:line="360" w:lineRule="auto"/>
              <w:jc w:val="both"/>
              <w:rPr>
                <w:rFonts w:ascii="Times New Roman" w:eastAsia="Calibri" w:hAnsi="Times New Roman" w:cs="Times New Roman"/>
                <w:sz w:val="24"/>
                <w:szCs w:val="24"/>
              </w:rPr>
            </w:pPr>
          </w:p>
        </w:tc>
      </w:tr>
      <w:tr w:rsidR="00414F8D" w:rsidTr="00AE6C13">
        <w:tc>
          <w:tcPr>
            <w:tcW w:w="3116" w:type="dxa"/>
            <w:tcBorders>
              <w:top w:val="nil"/>
              <w:left w:val="nil"/>
              <w:right w:val="nil"/>
            </w:tcBorders>
          </w:tcPr>
          <w:p w:rsidR="00414F8D" w:rsidRPr="00AE6C13" w:rsidRDefault="00C5086D" w:rsidP="000C45EA">
            <w:pPr>
              <w:autoSpaceDE w:val="0"/>
              <w:autoSpaceDN w:val="0"/>
              <w:adjustRightInd w:val="0"/>
              <w:spacing w:after="0" w:line="360" w:lineRule="auto"/>
              <w:jc w:val="both"/>
              <w:rPr>
                <w:rFonts w:ascii="Times New Roman" w:eastAsia="Calibri" w:hAnsi="Times New Roman" w:cs="Times New Roman"/>
                <w:b/>
                <w:sz w:val="24"/>
                <w:szCs w:val="24"/>
              </w:rPr>
            </w:pPr>
            <w:r w:rsidRPr="00AE6C13">
              <w:rPr>
                <w:rFonts w:ascii="Times New Roman" w:eastAsia="Calibri" w:hAnsi="Times New Roman" w:cs="Times New Roman"/>
                <w:b/>
                <w:sz w:val="24"/>
                <w:szCs w:val="24"/>
              </w:rPr>
              <w:t>D</w:t>
            </w:r>
            <w:r w:rsidR="00414F8D" w:rsidRPr="00AE6C13">
              <w:rPr>
                <w:rFonts w:ascii="Times New Roman" w:eastAsia="Calibri" w:hAnsi="Times New Roman" w:cs="Times New Roman"/>
                <w:b/>
                <w:sz w:val="24"/>
                <w:szCs w:val="24"/>
              </w:rPr>
              <w:t>mdu</w:t>
            </w:r>
          </w:p>
        </w:tc>
        <w:tc>
          <w:tcPr>
            <w:tcW w:w="3117" w:type="dxa"/>
            <w:tcBorders>
              <w:top w:val="nil"/>
              <w:left w:val="nil"/>
              <w:right w:val="nil"/>
            </w:tcBorders>
          </w:tcPr>
          <w:p w:rsidR="00414F8D" w:rsidRDefault="00414F8D" w:rsidP="000C45EA">
            <w:pPr>
              <w:autoSpaceDE w:val="0"/>
              <w:autoSpaceDN w:val="0"/>
              <w:adjustRightInd w:val="0"/>
              <w:spacing w:after="0" w:line="360" w:lineRule="auto"/>
              <w:jc w:val="both"/>
              <w:rPr>
                <w:rFonts w:ascii="Times New Roman" w:eastAsia="Calibri" w:hAnsi="Times New Roman" w:cs="Times New Roman"/>
                <w:sz w:val="24"/>
                <w:szCs w:val="24"/>
              </w:rPr>
            </w:pPr>
            <w:r w:rsidRPr="00414F8D">
              <w:rPr>
                <w:rFonts w:ascii="Times New Roman" w:eastAsia="Calibri" w:hAnsi="Times New Roman" w:cs="Times New Roman"/>
                <w:sz w:val="24"/>
                <w:szCs w:val="24"/>
              </w:rPr>
              <w:t xml:space="preserve">-0.0110   </w:t>
            </w:r>
          </w:p>
        </w:tc>
        <w:tc>
          <w:tcPr>
            <w:tcW w:w="3117" w:type="dxa"/>
            <w:tcBorders>
              <w:top w:val="nil"/>
              <w:left w:val="nil"/>
              <w:right w:val="nil"/>
            </w:tcBorders>
          </w:tcPr>
          <w:p w:rsidR="00414F8D" w:rsidRDefault="00414F8D" w:rsidP="000C45EA">
            <w:pPr>
              <w:autoSpaceDE w:val="0"/>
              <w:autoSpaceDN w:val="0"/>
              <w:adjustRightInd w:val="0"/>
              <w:spacing w:after="0" w:line="360" w:lineRule="auto"/>
              <w:jc w:val="both"/>
              <w:rPr>
                <w:rFonts w:ascii="Times New Roman" w:eastAsia="Calibri" w:hAnsi="Times New Roman" w:cs="Times New Roman"/>
                <w:sz w:val="24"/>
                <w:szCs w:val="24"/>
              </w:rPr>
            </w:pPr>
            <w:r w:rsidRPr="00414F8D">
              <w:rPr>
                <w:rFonts w:ascii="Times New Roman" w:eastAsia="Calibri" w:hAnsi="Times New Roman" w:cs="Times New Roman"/>
                <w:sz w:val="24"/>
                <w:szCs w:val="24"/>
              </w:rPr>
              <w:t>1.0000</w:t>
            </w:r>
          </w:p>
        </w:tc>
      </w:tr>
    </w:tbl>
    <w:p w:rsidR="009D1CDD" w:rsidRPr="00C5086D" w:rsidRDefault="008F3B8E" w:rsidP="00C5086D">
      <w:pPr>
        <w:autoSpaceDE w:val="0"/>
        <w:autoSpaceDN w:val="0"/>
        <w:adjustRightInd w:val="0"/>
        <w:spacing w:after="0" w:line="360" w:lineRule="auto"/>
        <w:jc w:val="both"/>
        <w:rPr>
          <w:rFonts w:ascii="Times New Roman" w:eastAsia="Calibri" w:hAnsi="Times New Roman" w:cs="Times New Roman"/>
          <w:sz w:val="24"/>
          <w:szCs w:val="24"/>
        </w:rPr>
      </w:pPr>
      <w:r w:rsidRPr="000C45EA">
        <w:rPr>
          <w:rFonts w:ascii="Times New Roman" w:eastAsia="Calibri" w:hAnsi="Times New Roman" w:cs="Times New Roman"/>
          <w:sz w:val="24"/>
          <w:szCs w:val="24"/>
        </w:rPr>
        <w:t xml:space="preserve">                             </w:t>
      </w:r>
    </w:p>
    <w:p w:rsidR="000A6229" w:rsidRPr="00E23946" w:rsidRDefault="000A6229" w:rsidP="00E23946">
      <w:pPr>
        <w:spacing w:line="360" w:lineRule="auto"/>
        <w:jc w:val="both"/>
        <w:rPr>
          <w:sz w:val="24"/>
          <w:szCs w:val="24"/>
        </w:rPr>
      </w:pPr>
      <w:r w:rsidRPr="000A6229">
        <w:rPr>
          <w:noProof/>
          <w:sz w:val="24"/>
          <w:szCs w:val="24"/>
          <w:lang w:eastAsia="en-GB"/>
        </w:rPr>
        <w:lastRenderedPageBreak/>
        <w:drawing>
          <wp:inline distT="0" distB="0" distL="0" distR="0">
            <wp:extent cx="7847360" cy="49335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8304" cy="4940387"/>
                    </a:xfrm>
                    <a:prstGeom prst="rect">
                      <a:avLst/>
                    </a:prstGeom>
                    <a:noFill/>
                    <a:ln>
                      <a:noFill/>
                    </a:ln>
                  </pic:spPr>
                </pic:pic>
              </a:graphicData>
            </a:graphic>
          </wp:inline>
        </w:drawing>
      </w:r>
    </w:p>
    <w:p w:rsidR="00C5086D" w:rsidRDefault="00C5086D" w:rsidP="00C5086D">
      <w:pPr>
        <w:autoSpaceDE w:val="0"/>
        <w:autoSpaceDN w:val="0"/>
        <w:adjustRightInd w:val="0"/>
        <w:spacing w:after="0" w:line="360" w:lineRule="auto"/>
        <w:jc w:val="both"/>
        <w:rPr>
          <w:rFonts w:ascii="Times New Roman" w:eastAsia="Calibri" w:hAnsi="Times New Roman" w:cs="Times New Roman"/>
          <w:sz w:val="24"/>
          <w:szCs w:val="24"/>
        </w:rPr>
      </w:pPr>
      <w:r w:rsidRPr="000C45EA">
        <w:rPr>
          <w:rFonts w:ascii="Times New Roman" w:hAnsi="Times New Roman" w:cs="Times New Roman"/>
          <w:sz w:val="24"/>
          <w:szCs w:val="24"/>
        </w:rPr>
        <w:t xml:space="preserve">Where </w:t>
      </w:r>
      <w:r w:rsidRPr="000C45EA">
        <w:rPr>
          <w:rFonts w:ascii="Cambria Math" w:hAnsi="Cambria Math" w:cs="Cambria Math"/>
          <w:sz w:val="24"/>
          <w:szCs w:val="24"/>
        </w:rPr>
        <w:t>𝑟ℎ𝑜</w:t>
      </w:r>
      <w:r w:rsidRPr="000C45EA">
        <w:rPr>
          <w:rFonts w:ascii="Times New Roman" w:hAnsi="Times New Roman" w:cs="Times New Roman"/>
          <w:sz w:val="24"/>
          <w:szCs w:val="24"/>
        </w:rPr>
        <w:t xml:space="preserve"> (</w:t>
      </w:r>
      <w:r w:rsidRPr="000C45EA">
        <w:rPr>
          <w:rFonts w:ascii="Cambria Math" w:hAnsi="Cambria Math" w:cs="Cambria Math"/>
          <w:sz w:val="24"/>
          <w:szCs w:val="24"/>
        </w:rPr>
        <w:t>𝜌</w:t>
      </w:r>
      <w:r w:rsidRPr="000C45EA">
        <w:rPr>
          <w:rFonts w:ascii="Times New Roman" w:hAnsi="Times New Roman" w:cs="Times New Roman"/>
          <w:sz w:val="24"/>
          <w:szCs w:val="24"/>
        </w:rPr>
        <w:t xml:space="preserve">) is the correlation coefficient of the error terms; i.e. </w:t>
      </w:r>
      <w:r w:rsidRPr="000C45EA">
        <w:rPr>
          <w:rFonts w:ascii="Cambria Math" w:hAnsi="Cambria Math" w:cs="Cambria Math"/>
          <w:sz w:val="24"/>
          <w:szCs w:val="24"/>
        </w:rPr>
        <w:t>𝑟ℎ𝑜</w:t>
      </w:r>
      <w:r w:rsidRPr="000C45EA">
        <w:rPr>
          <w:rFonts w:ascii="Times New Roman" w:hAnsi="Times New Roman" w:cs="Times New Roman"/>
          <w:sz w:val="24"/>
          <w:szCs w:val="24"/>
        </w:rPr>
        <w:t xml:space="preserve"> denotes the correlation between the two sets of unobserved factors or error terms in Equation 5 and Equation 6. If </w:t>
      </w:r>
      <w:r w:rsidRPr="000C45EA">
        <w:rPr>
          <w:rFonts w:ascii="Cambria Math" w:hAnsi="Cambria Math" w:cs="Cambria Math"/>
          <w:sz w:val="24"/>
          <w:szCs w:val="24"/>
        </w:rPr>
        <w:t>𝑟ℎ𝑜</w:t>
      </w:r>
      <w:r w:rsidRPr="000C45EA">
        <w:rPr>
          <w:rFonts w:ascii="Times New Roman" w:hAnsi="Times New Roman" w:cs="Times New Roman"/>
          <w:sz w:val="24"/>
          <w:szCs w:val="24"/>
        </w:rPr>
        <w:t xml:space="preserve"> = 0 the outcomes are independent and therefore the two equations are best modelled separately. When </w:t>
      </w:r>
      <w:r w:rsidRPr="000C45EA">
        <w:rPr>
          <w:rFonts w:ascii="Cambria Math" w:hAnsi="Cambria Math" w:cs="Cambria Math"/>
          <w:sz w:val="24"/>
          <w:szCs w:val="24"/>
        </w:rPr>
        <w:t>𝑟ℎ𝑜</w:t>
      </w:r>
      <w:r w:rsidRPr="000C45EA">
        <w:rPr>
          <w:rFonts w:ascii="Times New Roman" w:hAnsi="Times New Roman" w:cs="Times New Roman"/>
          <w:sz w:val="24"/>
          <w:szCs w:val="24"/>
        </w:rPr>
        <w:t xml:space="preserve"> ≠ 0 the two outcomes are correlated as the probability of one outcome depends on the probability of the other. As the value of </w:t>
      </w:r>
      <w:r w:rsidRPr="000C45EA">
        <w:rPr>
          <w:rFonts w:ascii="Cambria Math" w:hAnsi="Cambria Math" w:cs="Cambria Math"/>
          <w:sz w:val="24"/>
          <w:szCs w:val="24"/>
        </w:rPr>
        <w:t>𝑟ℎ𝑜</w:t>
      </w:r>
      <w:r w:rsidRPr="000C45EA">
        <w:rPr>
          <w:rFonts w:ascii="Times New Roman" w:hAnsi="Times New Roman" w:cs="Times New Roman"/>
          <w:sz w:val="24"/>
          <w:szCs w:val="24"/>
        </w:rPr>
        <w:t xml:space="preserve"> rises from 0 to 1, the correlation of the two error terms is increasing. Similarly, values between 0 and -1 indicate a negative correlation. </w:t>
      </w:r>
      <w:r w:rsidRPr="000C45EA">
        <w:rPr>
          <w:rFonts w:ascii="Times New Roman" w:eastAsia="Calibri" w:hAnsi="Times New Roman" w:cs="Times New Roman"/>
          <w:sz w:val="24"/>
          <w:szCs w:val="24"/>
        </w:rPr>
        <w:t xml:space="preserve">  </w:t>
      </w:r>
    </w:p>
    <w:p w:rsidR="00C5086D" w:rsidRDefault="00C5086D" w:rsidP="00C5086D">
      <w:pPr>
        <w:pStyle w:val="ListParagraph"/>
        <w:autoSpaceDE w:val="0"/>
        <w:autoSpaceDN w:val="0"/>
        <w:adjustRightInd w:val="0"/>
        <w:spacing w:after="0" w:line="360" w:lineRule="auto"/>
        <w:rPr>
          <w:rFonts w:ascii="Times New Roman" w:eastAsia="SymbolMT" w:hAnsi="Times New Roman" w:cs="Times New Roman"/>
          <w:sz w:val="24"/>
          <w:szCs w:val="24"/>
          <w:lang w:val="en-US"/>
        </w:rPr>
      </w:pPr>
    </w:p>
    <w:p w:rsidR="00E23946" w:rsidRPr="00E23946" w:rsidRDefault="00E23946" w:rsidP="00E23946">
      <w:pPr>
        <w:pStyle w:val="ListParagraph"/>
        <w:numPr>
          <w:ilvl w:val="0"/>
          <w:numId w:val="3"/>
        </w:numPr>
        <w:autoSpaceDE w:val="0"/>
        <w:autoSpaceDN w:val="0"/>
        <w:adjustRightInd w:val="0"/>
        <w:spacing w:after="0" w:line="360" w:lineRule="auto"/>
        <w:rPr>
          <w:rFonts w:ascii="Times New Roman" w:eastAsia="SymbolMT" w:hAnsi="Times New Roman" w:cs="Times New Roman"/>
          <w:sz w:val="24"/>
          <w:szCs w:val="24"/>
          <w:lang w:val="en-US"/>
        </w:rPr>
      </w:pPr>
      <w:r w:rsidRPr="00E23946">
        <w:rPr>
          <w:rFonts w:ascii="Times New Roman" w:eastAsia="SymbolMT" w:hAnsi="Times New Roman" w:cs="Times New Roman"/>
          <w:sz w:val="24"/>
          <w:szCs w:val="24"/>
          <w:lang w:val="en-US"/>
        </w:rPr>
        <w:t>Coefficient interpretation: Younger individuals, individuals with higher incomes, and those with lower number of chronic disease are more likely to be in an excellent health status. Individuals with higher incomes and those with higher number of chronic diseases are more likely visit the doctor.</w:t>
      </w:r>
    </w:p>
    <w:p w:rsidR="00C5086D" w:rsidRPr="00C5086D" w:rsidRDefault="00E23946" w:rsidP="00C5086D">
      <w:pPr>
        <w:autoSpaceDE w:val="0"/>
        <w:autoSpaceDN w:val="0"/>
        <w:adjustRightInd w:val="0"/>
        <w:spacing w:after="0" w:line="360" w:lineRule="auto"/>
        <w:jc w:val="both"/>
        <w:rPr>
          <w:rFonts w:ascii="TimesNewRomanPSMT" w:hAnsi="TimesNewRomanPSMT" w:cs="TimesNewRomanPSMT"/>
          <w:sz w:val="24"/>
          <w:szCs w:val="24"/>
          <w:lang w:val="en-US"/>
        </w:rPr>
      </w:pPr>
      <w:r w:rsidRPr="00E23946">
        <w:rPr>
          <w:rFonts w:ascii="Times New Roman" w:eastAsia="SymbolMT" w:hAnsi="Times New Roman" w:cs="Times New Roman"/>
          <w:sz w:val="24"/>
          <w:szCs w:val="24"/>
          <w:lang w:val="en-US"/>
        </w:rPr>
        <w:lastRenderedPageBreak/>
        <w:t>The correlation coefficient between the bivariate outco</w:t>
      </w:r>
      <w:r w:rsidR="00C5086D">
        <w:rPr>
          <w:rFonts w:ascii="Times New Roman" w:eastAsia="SymbolMT" w:hAnsi="Times New Roman" w:cs="Times New Roman"/>
          <w:sz w:val="24"/>
          <w:szCs w:val="24"/>
          <w:lang w:val="en-US"/>
        </w:rPr>
        <w:t xml:space="preserve">mes is 0.02 and not significant </w:t>
      </w:r>
      <w:r w:rsidR="00C5086D">
        <w:rPr>
          <w:rFonts w:ascii="TimesNewRomanPSMT" w:hAnsi="TimesNewRomanPSMT" w:cs="TimesNewRomanPSMT"/>
          <w:sz w:val="24"/>
          <w:szCs w:val="24"/>
          <w:lang w:val="en-US"/>
        </w:rPr>
        <w:t xml:space="preserve">thus </w:t>
      </w:r>
      <w:r w:rsidR="00C5086D" w:rsidRPr="000C45EA">
        <w:rPr>
          <w:rFonts w:ascii="TimesNewRomanPSMT" w:hAnsi="TimesNewRomanPSMT" w:cs="TimesNewRomanPSMT"/>
          <w:sz w:val="24"/>
          <w:szCs w:val="24"/>
          <w:lang w:val="en-US"/>
        </w:rPr>
        <w:t>rejecting the hypothesis t</w:t>
      </w:r>
      <w:r w:rsidR="00C5086D">
        <w:rPr>
          <w:rFonts w:ascii="TimesNewRomanPSMT" w:hAnsi="TimesNewRomanPSMT" w:cs="TimesNewRomanPSMT"/>
          <w:sz w:val="24"/>
          <w:szCs w:val="24"/>
          <w:lang w:val="en-US"/>
        </w:rPr>
        <w:t xml:space="preserve">hat the two dependent variables </w:t>
      </w:r>
      <w:r w:rsidR="00C5086D" w:rsidRPr="000C45EA">
        <w:rPr>
          <w:rFonts w:ascii="TimesNewRomanPSMT" w:hAnsi="TimesNewRomanPSMT" w:cs="TimesNewRomanPSMT"/>
          <w:sz w:val="24"/>
          <w:szCs w:val="24"/>
          <w:lang w:val="en-US"/>
        </w:rPr>
        <w:t>are not jointly determined.</w:t>
      </w:r>
      <w:r w:rsidR="00C5086D" w:rsidRPr="000C45EA">
        <w:rPr>
          <w:rFonts w:ascii="Times New Roman" w:eastAsia="Calibri" w:hAnsi="Times New Roman" w:cs="Times New Roman"/>
          <w:sz w:val="24"/>
          <w:szCs w:val="24"/>
        </w:rPr>
        <w:t xml:space="preserve">  </w:t>
      </w:r>
    </w:p>
    <w:p w:rsidR="00E23946" w:rsidRPr="00E23946" w:rsidRDefault="00E23946" w:rsidP="00E23946">
      <w:pPr>
        <w:pStyle w:val="ListParagraph"/>
        <w:numPr>
          <w:ilvl w:val="0"/>
          <w:numId w:val="2"/>
        </w:numPr>
        <w:autoSpaceDE w:val="0"/>
        <w:autoSpaceDN w:val="0"/>
        <w:adjustRightInd w:val="0"/>
        <w:spacing w:after="0" w:line="360" w:lineRule="auto"/>
        <w:rPr>
          <w:rFonts w:ascii="Times New Roman" w:eastAsia="SymbolMT" w:hAnsi="Times New Roman" w:cs="Times New Roman"/>
          <w:sz w:val="24"/>
          <w:szCs w:val="24"/>
          <w:lang w:val="en-US"/>
        </w:rPr>
      </w:pPr>
      <w:r w:rsidRPr="00E23946">
        <w:rPr>
          <w:rFonts w:ascii="Times New Roman" w:eastAsia="SymbolMT" w:hAnsi="Times New Roman" w:cs="Times New Roman"/>
          <w:sz w:val="24"/>
          <w:szCs w:val="24"/>
          <w:lang w:val="en-US"/>
        </w:rPr>
        <w:t xml:space="preserve"> Therefore, we can proceed by estimating separate probit models instead of a bivariate probit model. The decisions are not interrelated and can be estimated independently.</w:t>
      </w:r>
    </w:p>
    <w:p w:rsidR="00E23946" w:rsidRDefault="001A4180" w:rsidP="00E23946">
      <w:pPr>
        <w:pStyle w:val="ListParagraph"/>
        <w:numPr>
          <w:ilvl w:val="0"/>
          <w:numId w:val="1"/>
        </w:numPr>
        <w:autoSpaceDE w:val="0"/>
        <w:autoSpaceDN w:val="0"/>
        <w:adjustRightInd w:val="0"/>
        <w:spacing w:after="0" w:line="360" w:lineRule="auto"/>
        <w:rPr>
          <w:rFonts w:ascii="Times New Roman" w:eastAsia="SymbolMT" w:hAnsi="Times New Roman" w:cs="Times New Roman"/>
          <w:sz w:val="24"/>
          <w:szCs w:val="24"/>
          <w:lang w:val="en-US"/>
        </w:rPr>
      </w:pPr>
      <w:r>
        <w:rPr>
          <w:rFonts w:ascii="Times New Roman" w:eastAsia="SymbolMT" w:hAnsi="Times New Roman" w:cs="Times New Roman"/>
          <w:sz w:val="24"/>
          <w:szCs w:val="24"/>
          <w:lang w:val="en-US"/>
        </w:rPr>
        <w:t>Comparing the separate univariate probit models to the Bivariate probit model, it would be observed that the</w:t>
      </w:r>
      <w:r w:rsidR="00E23946" w:rsidRPr="00E23946">
        <w:rPr>
          <w:rFonts w:ascii="Times New Roman" w:eastAsia="SymbolMT" w:hAnsi="Times New Roman" w:cs="Times New Roman"/>
          <w:sz w:val="24"/>
          <w:szCs w:val="24"/>
          <w:lang w:val="en-US"/>
        </w:rPr>
        <w:t xml:space="preserve"> results from the separate probit models are almost identical to those from the bivariate probit model, so in this case there is no need to perform the bivariate probit model.</w:t>
      </w:r>
    </w:p>
    <w:p w:rsidR="00D12D5C" w:rsidRDefault="00D12D5C" w:rsidP="00D12D5C">
      <w:pPr>
        <w:autoSpaceDE w:val="0"/>
        <w:autoSpaceDN w:val="0"/>
        <w:adjustRightInd w:val="0"/>
        <w:spacing w:after="0"/>
        <w:rPr>
          <w:rFonts w:ascii="Times New Roman" w:eastAsia="SymbolMT" w:hAnsi="Times New Roman" w:cs="Times New Roman"/>
          <w:sz w:val="24"/>
          <w:szCs w:val="24"/>
          <w:lang w:val="en-US"/>
        </w:rPr>
      </w:pPr>
    </w:p>
    <w:p w:rsidR="000A6229" w:rsidRPr="00D12D5C" w:rsidRDefault="000A6229" w:rsidP="00D12D5C">
      <w:pPr>
        <w:autoSpaceDE w:val="0"/>
        <w:autoSpaceDN w:val="0"/>
        <w:adjustRightInd w:val="0"/>
        <w:spacing w:after="0"/>
        <w:rPr>
          <w:rFonts w:ascii="Times New Roman" w:eastAsia="SymbolMT" w:hAnsi="Times New Roman" w:cs="Times New Roman"/>
          <w:sz w:val="24"/>
          <w:szCs w:val="24"/>
          <w:lang w:val="en-US"/>
        </w:rPr>
      </w:pPr>
    </w:p>
    <w:p w:rsidR="00D12D5C" w:rsidRPr="00D12D5C" w:rsidRDefault="00D12D5C" w:rsidP="00D12D5C">
      <w:pPr>
        <w:autoSpaceDE w:val="0"/>
        <w:autoSpaceDN w:val="0"/>
        <w:adjustRightInd w:val="0"/>
        <w:spacing w:after="0"/>
        <w:rPr>
          <w:rFonts w:ascii="Times New Roman" w:eastAsia="SymbolMT" w:hAnsi="Times New Roman" w:cs="Times New Roman"/>
          <w:sz w:val="24"/>
          <w:szCs w:val="24"/>
          <w:lang w:val="en-US"/>
        </w:rPr>
      </w:pPr>
      <w:r w:rsidRPr="00D12D5C">
        <w:rPr>
          <w:rFonts w:ascii="Times New Roman" w:eastAsia="SymbolMT" w:hAnsi="Times New Roman" w:cs="Times New Roman"/>
          <w:sz w:val="24"/>
          <w:szCs w:val="24"/>
          <w:lang w:val="en-US"/>
        </w:rPr>
        <w:t>Marginal Effects</w:t>
      </w:r>
    </w:p>
    <w:p w:rsidR="00D12D5C" w:rsidRPr="00D12D5C" w:rsidRDefault="00D12D5C" w:rsidP="00D12D5C">
      <w:pPr>
        <w:autoSpaceDE w:val="0"/>
        <w:autoSpaceDN w:val="0"/>
        <w:adjustRightInd w:val="0"/>
        <w:spacing w:after="0"/>
        <w:rPr>
          <w:rFonts w:ascii="Times New Roman" w:hAnsi="Times New Roman" w:cs="Times New Roman"/>
          <w:sz w:val="24"/>
          <w:szCs w:val="24"/>
          <w:lang w:val="en-US"/>
        </w:rPr>
      </w:pPr>
      <w:r w:rsidRPr="00D12D5C">
        <w:rPr>
          <w:rFonts w:ascii="Times New Roman" w:hAnsi="Times New Roman" w:cs="Times New Roman"/>
          <w:sz w:val="24"/>
          <w:szCs w:val="24"/>
          <w:lang w:val="en-US"/>
        </w:rPr>
        <w:t>The marginal effects are interpreted similarly to those of binary probit and logit models, but the effect is on the joint probability of the two outcomes.</w:t>
      </w:r>
    </w:p>
    <w:p w:rsidR="00D12D5C" w:rsidRPr="00D12D5C" w:rsidRDefault="00D12D5C" w:rsidP="00D12D5C">
      <w:pPr>
        <w:pStyle w:val="ListParagraph"/>
        <w:numPr>
          <w:ilvl w:val="0"/>
          <w:numId w:val="1"/>
        </w:numPr>
        <w:autoSpaceDE w:val="0"/>
        <w:autoSpaceDN w:val="0"/>
        <w:adjustRightInd w:val="0"/>
        <w:spacing w:after="0"/>
        <w:rPr>
          <w:rFonts w:ascii="Times New Roman" w:hAnsi="Times New Roman" w:cs="Times New Roman"/>
          <w:sz w:val="24"/>
          <w:szCs w:val="24"/>
          <w:lang w:val="en-US"/>
        </w:rPr>
      </w:pPr>
      <w:r w:rsidRPr="00D12D5C">
        <w:rPr>
          <w:rFonts w:ascii="Times New Roman" w:hAnsi="Times New Roman" w:cs="Times New Roman"/>
          <w:sz w:val="24"/>
          <w:szCs w:val="24"/>
          <w:lang w:val="en-US"/>
        </w:rPr>
        <w:t>The marginal effects sum up to zero across the four joint probabilities.</w:t>
      </w:r>
    </w:p>
    <w:p w:rsidR="000F6090" w:rsidRDefault="00D12D5C" w:rsidP="00D12D5C">
      <w:pPr>
        <w:pStyle w:val="ListParagraph"/>
        <w:numPr>
          <w:ilvl w:val="0"/>
          <w:numId w:val="1"/>
        </w:numPr>
        <w:autoSpaceDE w:val="0"/>
        <w:autoSpaceDN w:val="0"/>
        <w:adjustRightInd w:val="0"/>
        <w:spacing w:after="0"/>
        <w:rPr>
          <w:rFonts w:ascii="Times New Roman" w:hAnsi="Times New Roman" w:cs="Times New Roman"/>
          <w:sz w:val="24"/>
          <w:szCs w:val="24"/>
          <w:lang w:val="en-US"/>
        </w:rPr>
      </w:pPr>
      <w:r w:rsidRPr="00D12D5C">
        <w:rPr>
          <w:rFonts w:ascii="Times New Roman" w:hAnsi="Times New Roman" w:cs="Times New Roman"/>
          <w:sz w:val="24"/>
          <w:szCs w:val="24"/>
          <w:lang w:val="en-US"/>
        </w:rPr>
        <w:t xml:space="preserve">When age increases by 1 year, the probability P(y1=0, y2=1) of a person not being in an excellent health and visiting the doctor increases by 0.5%. </w:t>
      </w:r>
    </w:p>
    <w:p w:rsidR="00D12D5C" w:rsidRDefault="00D12D5C" w:rsidP="00D12D5C">
      <w:pPr>
        <w:pStyle w:val="ListParagraph"/>
        <w:numPr>
          <w:ilvl w:val="0"/>
          <w:numId w:val="1"/>
        </w:numPr>
        <w:autoSpaceDE w:val="0"/>
        <w:autoSpaceDN w:val="0"/>
        <w:adjustRightInd w:val="0"/>
        <w:spacing w:after="0"/>
        <w:rPr>
          <w:rFonts w:ascii="Times New Roman" w:hAnsi="Times New Roman" w:cs="Times New Roman"/>
          <w:sz w:val="24"/>
          <w:szCs w:val="24"/>
          <w:lang w:val="en-US"/>
        </w:rPr>
      </w:pPr>
      <w:r w:rsidRPr="00D12D5C">
        <w:rPr>
          <w:rFonts w:ascii="Times New Roman" w:hAnsi="Times New Roman" w:cs="Times New Roman"/>
          <w:sz w:val="24"/>
          <w:szCs w:val="24"/>
          <w:lang w:val="en-US"/>
        </w:rPr>
        <w:t>Notice that the other marginal effects are negative.</w:t>
      </w:r>
    </w:p>
    <w:tbl>
      <w:tblPr>
        <w:tblStyle w:val="TableGrid"/>
        <w:tblW w:w="10001" w:type="dxa"/>
        <w:tblLook w:val="04A0" w:firstRow="1" w:lastRow="0" w:firstColumn="1" w:lastColumn="0" w:noHBand="0" w:noVBand="1"/>
      </w:tblPr>
      <w:tblGrid>
        <w:gridCol w:w="2767"/>
        <w:gridCol w:w="1908"/>
        <w:gridCol w:w="1710"/>
        <w:gridCol w:w="1800"/>
        <w:gridCol w:w="1816"/>
      </w:tblGrid>
      <w:tr w:rsidR="004151D4" w:rsidTr="002C0C97">
        <w:trPr>
          <w:trHeight w:val="466"/>
        </w:trPr>
        <w:tc>
          <w:tcPr>
            <w:tcW w:w="2767" w:type="dxa"/>
            <w:tcBorders>
              <w:left w:val="nil"/>
              <w:bottom w:val="single" w:sz="4" w:space="0" w:color="auto"/>
            </w:tcBorders>
          </w:tcPr>
          <w:p w:rsidR="004151D4" w:rsidRPr="002C0C97" w:rsidRDefault="004151D4" w:rsidP="000A6229">
            <w:pPr>
              <w:autoSpaceDE w:val="0"/>
              <w:autoSpaceDN w:val="0"/>
              <w:adjustRightInd w:val="0"/>
              <w:spacing w:after="0"/>
              <w:rPr>
                <w:rFonts w:ascii="Times New Roman" w:hAnsi="Times New Roman" w:cs="Times New Roman"/>
                <w:b/>
                <w:sz w:val="24"/>
                <w:szCs w:val="24"/>
                <w:lang w:val="en-US"/>
              </w:rPr>
            </w:pPr>
            <w:r w:rsidRPr="002C0C97">
              <w:rPr>
                <w:rFonts w:ascii="Times New Roman" w:hAnsi="Times New Roman" w:cs="Times New Roman"/>
                <w:b/>
                <w:sz w:val="24"/>
                <w:szCs w:val="24"/>
                <w:lang w:val="en-US"/>
              </w:rPr>
              <w:t>Variable</w:t>
            </w:r>
          </w:p>
        </w:tc>
        <w:tc>
          <w:tcPr>
            <w:tcW w:w="1908" w:type="dxa"/>
            <w:tcBorders>
              <w:bottom w:val="single" w:sz="4" w:space="0" w:color="auto"/>
            </w:tcBorders>
          </w:tcPr>
          <w:p w:rsidR="004151D4" w:rsidRPr="002C0C97" w:rsidRDefault="004151D4" w:rsidP="002C0C97">
            <w:pPr>
              <w:autoSpaceDE w:val="0"/>
              <w:autoSpaceDN w:val="0"/>
              <w:adjustRightInd w:val="0"/>
              <w:spacing w:after="0"/>
              <w:jc w:val="center"/>
              <w:rPr>
                <w:rFonts w:ascii="Times New Roman" w:hAnsi="Times New Roman" w:cs="Times New Roman"/>
                <w:b/>
                <w:sz w:val="24"/>
                <w:szCs w:val="24"/>
                <w:lang w:val="en-US"/>
              </w:rPr>
            </w:pPr>
            <w:r w:rsidRPr="002C0C97">
              <w:rPr>
                <w:rFonts w:ascii="Times New Roman" w:hAnsi="Times New Roman" w:cs="Times New Roman"/>
                <w:b/>
                <w:sz w:val="24"/>
                <w:szCs w:val="24"/>
                <w:lang w:val="en-US"/>
              </w:rPr>
              <w:t>P(y1=0, y2=0)</w:t>
            </w:r>
          </w:p>
        </w:tc>
        <w:tc>
          <w:tcPr>
            <w:tcW w:w="1710" w:type="dxa"/>
            <w:tcBorders>
              <w:bottom w:val="single" w:sz="4" w:space="0" w:color="auto"/>
            </w:tcBorders>
          </w:tcPr>
          <w:p w:rsidR="004151D4" w:rsidRPr="002C0C97" w:rsidRDefault="004151D4" w:rsidP="002C0C97">
            <w:pPr>
              <w:autoSpaceDE w:val="0"/>
              <w:autoSpaceDN w:val="0"/>
              <w:adjustRightInd w:val="0"/>
              <w:spacing w:after="0"/>
              <w:jc w:val="center"/>
              <w:rPr>
                <w:rFonts w:ascii="Times New Roman" w:hAnsi="Times New Roman" w:cs="Times New Roman"/>
                <w:b/>
                <w:sz w:val="24"/>
                <w:szCs w:val="24"/>
                <w:lang w:val="en-US"/>
              </w:rPr>
            </w:pPr>
            <w:r w:rsidRPr="002C0C97">
              <w:rPr>
                <w:rFonts w:ascii="Times New Roman" w:hAnsi="Times New Roman" w:cs="Times New Roman"/>
                <w:b/>
                <w:sz w:val="24"/>
                <w:szCs w:val="24"/>
                <w:lang w:val="en-US"/>
              </w:rPr>
              <w:t>P(y1=0, y2=1)</w:t>
            </w:r>
          </w:p>
        </w:tc>
        <w:tc>
          <w:tcPr>
            <w:tcW w:w="1800" w:type="dxa"/>
            <w:tcBorders>
              <w:bottom w:val="single" w:sz="4" w:space="0" w:color="auto"/>
            </w:tcBorders>
          </w:tcPr>
          <w:p w:rsidR="004151D4" w:rsidRPr="002C0C97" w:rsidRDefault="004151D4" w:rsidP="002C0C97">
            <w:pPr>
              <w:autoSpaceDE w:val="0"/>
              <w:autoSpaceDN w:val="0"/>
              <w:adjustRightInd w:val="0"/>
              <w:spacing w:after="0"/>
              <w:jc w:val="center"/>
              <w:rPr>
                <w:rFonts w:ascii="Times New Roman" w:hAnsi="Times New Roman" w:cs="Times New Roman"/>
                <w:b/>
                <w:sz w:val="24"/>
                <w:szCs w:val="24"/>
                <w:lang w:val="en-US"/>
              </w:rPr>
            </w:pPr>
            <w:r w:rsidRPr="002C0C97">
              <w:rPr>
                <w:rFonts w:ascii="Times New Roman" w:hAnsi="Times New Roman" w:cs="Times New Roman"/>
                <w:b/>
                <w:sz w:val="24"/>
                <w:szCs w:val="24"/>
                <w:lang w:val="en-US"/>
              </w:rPr>
              <w:t>P(y1=1, y2=0)</w:t>
            </w:r>
          </w:p>
        </w:tc>
        <w:tc>
          <w:tcPr>
            <w:tcW w:w="1816" w:type="dxa"/>
            <w:tcBorders>
              <w:bottom w:val="single" w:sz="4" w:space="0" w:color="auto"/>
              <w:right w:val="nil"/>
            </w:tcBorders>
          </w:tcPr>
          <w:p w:rsidR="004151D4" w:rsidRPr="002C0C97" w:rsidRDefault="004151D4" w:rsidP="002C0C97">
            <w:pPr>
              <w:autoSpaceDE w:val="0"/>
              <w:autoSpaceDN w:val="0"/>
              <w:adjustRightInd w:val="0"/>
              <w:spacing w:after="0"/>
              <w:jc w:val="center"/>
              <w:rPr>
                <w:rFonts w:ascii="Times New Roman" w:hAnsi="Times New Roman" w:cs="Times New Roman"/>
                <w:b/>
                <w:sz w:val="24"/>
                <w:szCs w:val="24"/>
                <w:lang w:val="en-US"/>
              </w:rPr>
            </w:pPr>
            <w:r w:rsidRPr="002C0C97">
              <w:rPr>
                <w:rFonts w:ascii="Times New Roman" w:hAnsi="Times New Roman" w:cs="Times New Roman"/>
                <w:b/>
                <w:sz w:val="24"/>
                <w:szCs w:val="24"/>
                <w:lang w:val="en-US"/>
              </w:rPr>
              <w:t>P(y1=1, y2=1)</w:t>
            </w:r>
          </w:p>
        </w:tc>
      </w:tr>
      <w:tr w:rsidR="004151D4" w:rsidTr="002C0C97">
        <w:trPr>
          <w:trHeight w:val="253"/>
        </w:trPr>
        <w:tc>
          <w:tcPr>
            <w:tcW w:w="2767" w:type="dxa"/>
            <w:tcBorders>
              <w:left w:val="nil"/>
              <w:bottom w:val="nil"/>
            </w:tcBorders>
          </w:tcPr>
          <w:p w:rsidR="004151D4" w:rsidRPr="002C0C97" w:rsidRDefault="002C0C97" w:rsidP="000A6229">
            <w:pPr>
              <w:autoSpaceDE w:val="0"/>
              <w:autoSpaceDN w:val="0"/>
              <w:adjustRightInd w:val="0"/>
              <w:spacing w:after="0"/>
              <w:rPr>
                <w:rFonts w:ascii="Times New Roman" w:hAnsi="Times New Roman" w:cs="Times New Roman"/>
                <w:sz w:val="24"/>
                <w:szCs w:val="24"/>
                <w:lang w:val="en-US"/>
              </w:rPr>
            </w:pPr>
            <w:r w:rsidRPr="002C0C97">
              <w:rPr>
                <w:rFonts w:ascii="Times New Roman" w:hAnsi="Times New Roman" w:cs="Times New Roman"/>
                <w:sz w:val="24"/>
                <w:szCs w:val="24"/>
                <w:lang w:val="en-US"/>
              </w:rPr>
              <w:t>Age</w:t>
            </w:r>
          </w:p>
        </w:tc>
        <w:tc>
          <w:tcPr>
            <w:tcW w:w="1908" w:type="dxa"/>
            <w:tcBorders>
              <w:bottom w:val="nil"/>
            </w:tcBorders>
          </w:tcPr>
          <w:p w:rsidR="004151D4" w:rsidRPr="002C0C97" w:rsidRDefault="004151D4"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0.001*</w:t>
            </w:r>
          </w:p>
        </w:tc>
        <w:tc>
          <w:tcPr>
            <w:tcW w:w="1710" w:type="dxa"/>
            <w:tcBorders>
              <w:bottom w:val="nil"/>
            </w:tcBorders>
          </w:tcPr>
          <w:p w:rsidR="004151D4" w:rsidRPr="002C0C97" w:rsidRDefault="002C0C97"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0.005</w:t>
            </w:r>
            <w:r w:rsidR="004151D4" w:rsidRPr="002C0C97">
              <w:rPr>
                <w:rFonts w:ascii="Times New Roman" w:hAnsi="Times New Roman" w:cs="Times New Roman"/>
                <w:sz w:val="24"/>
                <w:szCs w:val="24"/>
                <w:lang w:val="en-US"/>
              </w:rPr>
              <w:t>*</w:t>
            </w:r>
          </w:p>
        </w:tc>
        <w:tc>
          <w:tcPr>
            <w:tcW w:w="1800" w:type="dxa"/>
            <w:tcBorders>
              <w:bottom w:val="nil"/>
            </w:tcBorders>
          </w:tcPr>
          <w:p w:rsidR="004151D4" w:rsidRPr="002C0C97" w:rsidRDefault="002C0C97"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-0.003*</w:t>
            </w:r>
          </w:p>
        </w:tc>
        <w:tc>
          <w:tcPr>
            <w:tcW w:w="1816" w:type="dxa"/>
            <w:tcBorders>
              <w:bottom w:val="nil"/>
              <w:right w:val="nil"/>
            </w:tcBorders>
          </w:tcPr>
          <w:p w:rsidR="004151D4" w:rsidRPr="002C0C97" w:rsidRDefault="002C0C97"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-0.004*</w:t>
            </w:r>
          </w:p>
        </w:tc>
      </w:tr>
      <w:tr w:rsidR="004151D4" w:rsidTr="002C0C97">
        <w:trPr>
          <w:trHeight w:val="263"/>
        </w:trPr>
        <w:tc>
          <w:tcPr>
            <w:tcW w:w="2767" w:type="dxa"/>
            <w:tcBorders>
              <w:top w:val="nil"/>
              <w:left w:val="nil"/>
              <w:bottom w:val="nil"/>
            </w:tcBorders>
          </w:tcPr>
          <w:p w:rsidR="004151D4" w:rsidRPr="002C0C97" w:rsidRDefault="002C0C97" w:rsidP="000A6229">
            <w:pPr>
              <w:autoSpaceDE w:val="0"/>
              <w:autoSpaceDN w:val="0"/>
              <w:adjustRightInd w:val="0"/>
              <w:spacing w:after="0"/>
              <w:rPr>
                <w:rFonts w:ascii="Times New Roman" w:hAnsi="Times New Roman" w:cs="Times New Roman"/>
                <w:sz w:val="24"/>
                <w:szCs w:val="24"/>
                <w:lang w:val="en-US"/>
              </w:rPr>
            </w:pPr>
            <w:r w:rsidRPr="002C0C97">
              <w:rPr>
                <w:rFonts w:ascii="Times New Roman" w:hAnsi="Times New Roman" w:cs="Times New Roman"/>
                <w:sz w:val="24"/>
                <w:szCs w:val="24"/>
                <w:lang w:val="en-US"/>
              </w:rPr>
              <w:t>Log income</w:t>
            </w:r>
          </w:p>
        </w:tc>
        <w:tc>
          <w:tcPr>
            <w:tcW w:w="1908" w:type="dxa"/>
            <w:tcBorders>
              <w:top w:val="nil"/>
              <w:bottom w:val="nil"/>
            </w:tcBorders>
          </w:tcPr>
          <w:p w:rsidR="004151D4" w:rsidRPr="002C0C97" w:rsidRDefault="002C0C97"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-0.037*</w:t>
            </w:r>
          </w:p>
        </w:tc>
        <w:tc>
          <w:tcPr>
            <w:tcW w:w="1710" w:type="dxa"/>
            <w:tcBorders>
              <w:top w:val="nil"/>
              <w:bottom w:val="nil"/>
            </w:tcBorders>
          </w:tcPr>
          <w:p w:rsidR="004151D4" w:rsidRPr="002C0C97" w:rsidRDefault="002C0C97"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-0.015*</w:t>
            </w:r>
          </w:p>
        </w:tc>
        <w:tc>
          <w:tcPr>
            <w:tcW w:w="1800" w:type="dxa"/>
            <w:tcBorders>
              <w:top w:val="nil"/>
              <w:bottom w:val="nil"/>
            </w:tcBorders>
          </w:tcPr>
          <w:p w:rsidR="004151D4" w:rsidRPr="002C0C97" w:rsidRDefault="002C0C97" w:rsidP="002C0C97">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C0C97">
              <w:rPr>
                <w:rFonts w:ascii="Times New Roman" w:hAnsi="Times New Roman" w:cs="Times New Roman"/>
                <w:sz w:val="24"/>
                <w:szCs w:val="24"/>
                <w:lang w:val="en-US"/>
              </w:rPr>
              <w:t>-0.006</w:t>
            </w:r>
          </w:p>
        </w:tc>
        <w:tc>
          <w:tcPr>
            <w:tcW w:w="1816" w:type="dxa"/>
            <w:tcBorders>
              <w:top w:val="nil"/>
              <w:bottom w:val="nil"/>
              <w:right w:val="nil"/>
            </w:tcBorders>
          </w:tcPr>
          <w:p w:rsidR="004151D4" w:rsidRPr="002C0C97" w:rsidRDefault="002C0C97"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0.059*</w:t>
            </w:r>
          </w:p>
        </w:tc>
      </w:tr>
      <w:tr w:rsidR="004151D4" w:rsidTr="002C0C97">
        <w:trPr>
          <w:trHeight w:val="253"/>
        </w:trPr>
        <w:tc>
          <w:tcPr>
            <w:tcW w:w="2767" w:type="dxa"/>
            <w:tcBorders>
              <w:top w:val="nil"/>
              <w:left w:val="nil"/>
            </w:tcBorders>
          </w:tcPr>
          <w:p w:rsidR="004151D4" w:rsidRPr="002C0C97" w:rsidRDefault="002C0C97" w:rsidP="002C0C9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Number of chronic </w:t>
            </w:r>
            <w:r w:rsidRPr="002C0C97">
              <w:rPr>
                <w:rFonts w:ascii="Times New Roman" w:hAnsi="Times New Roman" w:cs="Times New Roman"/>
                <w:sz w:val="24"/>
                <w:szCs w:val="24"/>
                <w:lang w:val="en-US"/>
              </w:rPr>
              <w:t>diseases</w:t>
            </w:r>
          </w:p>
        </w:tc>
        <w:tc>
          <w:tcPr>
            <w:tcW w:w="1908" w:type="dxa"/>
            <w:tcBorders>
              <w:top w:val="nil"/>
            </w:tcBorders>
          </w:tcPr>
          <w:p w:rsidR="004151D4" w:rsidRPr="002C0C97" w:rsidRDefault="002C0C97"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-0.012*</w:t>
            </w:r>
          </w:p>
        </w:tc>
        <w:tc>
          <w:tcPr>
            <w:tcW w:w="1710" w:type="dxa"/>
            <w:tcBorders>
              <w:top w:val="nil"/>
            </w:tcBorders>
          </w:tcPr>
          <w:p w:rsidR="004151D4" w:rsidRPr="002C0C97" w:rsidRDefault="002C0C97"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0.015*</w:t>
            </w:r>
          </w:p>
        </w:tc>
        <w:tc>
          <w:tcPr>
            <w:tcW w:w="1800" w:type="dxa"/>
            <w:tcBorders>
              <w:top w:val="nil"/>
            </w:tcBorders>
          </w:tcPr>
          <w:p w:rsidR="004151D4" w:rsidRPr="002C0C97" w:rsidRDefault="002C0C97"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-0.011*</w:t>
            </w:r>
          </w:p>
        </w:tc>
        <w:tc>
          <w:tcPr>
            <w:tcW w:w="1816" w:type="dxa"/>
            <w:tcBorders>
              <w:top w:val="nil"/>
              <w:right w:val="nil"/>
            </w:tcBorders>
          </w:tcPr>
          <w:p w:rsidR="004151D4" w:rsidRPr="002C0C97" w:rsidRDefault="002C0C97" w:rsidP="002C0C97">
            <w:pPr>
              <w:autoSpaceDE w:val="0"/>
              <w:autoSpaceDN w:val="0"/>
              <w:adjustRightInd w:val="0"/>
              <w:spacing w:after="0"/>
              <w:jc w:val="right"/>
              <w:rPr>
                <w:rFonts w:ascii="Times New Roman" w:hAnsi="Times New Roman" w:cs="Times New Roman"/>
                <w:sz w:val="24"/>
                <w:szCs w:val="24"/>
                <w:lang w:val="en-US"/>
              </w:rPr>
            </w:pPr>
            <w:r w:rsidRPr="002C0C97">
              <w:rPr>
                <w:rFonts w:ascii="Times New Roman" w:hAnsi="Times New Roman" w:cs="Times New Roman"/>
                <w:sz w:val="24"/>
                <w:szCs w:val="24"/>
                <w:lang w:val="en-US"/>
              </w:rPr>
              <w:t>-0.003*</w:t>
            </w:r>
          </w:p>
        </w:tc>
      </w:tr>
    </w:tbl>
    <w:p w:rsidR="000A6229" w:rsidRDefault="000A6229" w:rsidP="000A6229">
      <w:pPr>
        <w:autoSpaceDE w:val="0"/>
        <w:autoSpaceDN w:val="0"/>
        <w:adjustRightInd w:val="0"/>
        <w:spacing w:after="0"/>
        <w:rPr>
          <w:rFonts w:ascii="Times New Roman" w:hAnsi="Times New Roman" w:cs="Times New Roman"/>
          <w:sz w:val="24"/>
          <w:szCs w:val="24"/>
          <w:lang w:val="en-US"/>
        </w:rPr>
      </w:pPr>
    </w:p>
    <w:p w:rsidR="000A6229" w:rsidRDefault="000A6229" w:rsidP="000A6229">
      <w:pPr>
        <w:autoSpaceDE w:val="0"/>
        <w:autoSpaceDN w:val="0"/>
        <w:adjustRightInd w:val="0"/>
        <w:spacing w:after="0"/>
        <w:rPr>
          <w:rFonts w:ascii="Times New Roman" w:hAnsi="Times New Roman" w:cs="Times New Roman"/>
          <w:sz w:val="24"/>
          <w:szCs w:val="24"/>
          <w:lang w:val="en-US"/>
        </w:rPr>
      </w:pPr>
      <w:r w:rsidRPr="000A6229">
        <w:rPr>
          <w:rFonts w:ascii="Times New Roman" w:hAnsi="Times New Roman" w:cs="Times New Roman"/>
          <w:noProof/>
          <w:sz w:val="24"/>
          <w:szCs w:val="24"/>
          <w:lang w:eastAsia="en-GB"/>
        </w:rPr>
        <w:lastRenderedPageBreak/>
        <w:drawing>
          <wp:inline distT="0" distB="0" distL="0" distR="0">
            <wp:extent cx="6731000" cy="801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306" cy="8019145"/>
                    </a:xfrm>
                    <a:prstGeom prst="rect">
                      <a:avLst/>
                    </a:prstGeom>
                    <a:noFill/>
                    <a:ln>
                      <a:noFill/>
                    </a:ln>
                  </pic:spPr>
                </pic:pic>
              </a:graphicData>
            </a:graphic>
          </wp:inline>
        </w:drawing>
      </w:r>
    </w:p>
    <w:p w:rsidR="00FF4630" w:rsidRPr="000A6229" w:rsidRDefault="00FF4630" w:rsidP="000A6229">
      <w:pPr>
        <w:autoSpaceDE w:val="0"/>
        <w:autoSpaceDN w:val="0"/>
        <w:adjustRightInd w:val="0"/>
        <w:spacing w:after="0"/>
        <w:rPr>
          <w:rFonts w:ascii="Times New Roman" w:hAnsi="Times New Roman" w:cs="Times New Roman"/>
          <w:sz w:val="24"/>
          <w:szCs w:val="24"/>
          <w:lang w:val="en-US"/>
        </w:rPr>
      </w:pPr>
    </w:p>
    <w:sectPr w:rsidR="00FF4630" w:rsidRPr="000A6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MT">
    <w:altName w:val="Arial Unicode MS"/>
    <w:panose1 w:val="00000000000000000000"/>
    <w:charset w:val="81"/>
    <w:family w:val="auto"/>
    <w:notTrueType/>
    <w:pitch w:val="default"/>
    <w:sig w:usb0="00000001" w:usb1="090E0000" w:usb2="00000010" w:usb3="00000000" w:csb0="00180000"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B69B0"/>
    <w:multiLevelType w:val="hybridMultilevel"/>
    <w:tmpl w:val="87E8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A462A"/>
    <w:multiLevelType w:val="hybridMultilevel"/>
    <w:tmpl w:val="F74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21443"/>
    <w:multiLevelType w:val="hybridMultilevel"/>
    <w:tmpl w:val="055A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8E"/>
    <w:rsid w:val="00026F52"/>
    <w:rsid w:val="00096E94"/>
    <w:rsid w:val="000A6229"/>
    <w:rsid w:val="000B7780"/>
    <w:rsid w:val="000C45EA"/>
    <w:rsid w:val="000F33CC"/>
    <w:rsid w:val="000F6090"/>
    <w:rsid w:val="001015D4"/>
    <w:rsid w:val="0011125D"/>
    <w:rsid w:val="001530AB"/>
    <w:rsid w:val="001A1EB9"/>
    <w:rsid w:val="001A4180"/>
    <w:rsid w:val="00240AE7"/>
    <w:rsid w:val="002C0C97"/>
    <w:rsid w:val="00360DDF"/>
    <w:rsid w:val="00362000"/>
    <w:rsid w:val="003706E0"/>
    <w:rsid w:val="003942DD"/>
    <w:rsid w:val="003C2F20"/>
    <w:rsid w:val="00414F8D"/>
    <w:rsid w:val="004151D4"/>
    <w:rsid w:val="004C6427"/>
    <w:rsid w:val="00600BFC"/>
    <w:rsid w:val="00747503"/>
    <w:rsid w:val="00845566"/>
    <w:rsid w:val="00864774"/>
    <w:rsid w:val="008960F9"/>
    <w:rsid w:val="008F1D84"/>
    <w:rsid w:val="008F3B8E"/>
    <w:rsid w:val="009D1CDD"/>
    <w:rsid w:val="00A33166"/>
    <w:rsid w:val="00A33291"/>
    <w:rsid w:val="00AE6C13"/>
    <w:rsid w:val="00AF3A53"/>
    <w:rsid w:val="00B076C5"/>
    <w:rsid w:val="00B369E4"/>
    <w:rsid w:val="00C5086D"/>
    <w:rsid w:val="00C96F46"/>
    <w:rsid w:val="00D12D5C"/>
    <w:rsid w:val="00DD2699"/>
    <w:rsid w:val="00E17513"/>
    <w:rsid w:val="00E23946"/>
    <w:rsid w:val="00E5088E"/>
    <w:rsid w:val="00EA4F54"/>
    <w:rsid w:val="00EE2078"/>
    <w:rsid w:val="00EF5B4A"/>
    <w:rsid w:val="00FF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30CC1-CEBD-4BB7-A094-8C510023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C97"/>
    <w:pPr>
      <w:spacing w:after="200" w:line="276" w:lineRule="auto"/>
    </w:pPr>
    <w:rPr>
      <w:lang w:val="en-GB"/>
    </w:rPr>
  </w:style>
  <w:style w:type="paragraph" w:styleId="Heading4">
    <w:name w:val="heading 4"/>
    <w:basedOn w:val="Normal"/>
    <w:next w:val="Normal"/>
    <w:link w:val="Heading4Char"/>
    <w:uiPriority w:val="9"/>
    <w:unhideWhenUsed/>
    <w:qFormat/>
    <w:rsid w:val="008F3B8E"/>
    <w:pPr>
      <w:keepNext/>
      <w:keepLines/>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F3B8E"/>
    <w:pPr>
      <w:keepNext/>
      <w:keepLines/>
      <w:spacing w:before="40" w:after="0"/>
      <w:outlineLvl w:val="4"/>
    </w:pPr>
    <w:rPr>
      <w:rFonts w:ascii="Times New Roman" w:eastAsiaTheme="majorEastAsia" w:hAnsi="Times New Roman"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3B8E"/>
    <w:rPr>
      <w:rFonts w:ascii="Times New Roman" w:eastAsiaTheme="majorEastAsia" w:hAnsi="Times New Roman" w:cstheme="majorBidi"/>
      <w:b/>
      <w:iCs/>
      <w:sz w:val="24"/>
      <w:lang w:val="en-GB"/>
    </w:rPr>
  </w:style>
  <w:style w:type="character" w:customStyle="1" w:styleId="Heading5Char">
    <w:name w:val="Heading 5 Char"/>
    <w:basedOn w:val="DefaultParagraphFont"/>
    <w:link w:val="Heading5"/>
    <w:uiPriority w:val="9"/>
    <w:rsid w:val="008F3B8E"/>
    <w:rPr>
      <w:rFonts w:ascii="Times New Roman" w:eastAsiaTheme="majorEastAsia" w:hAnsi="Times New Roman" w:cstheme="majorBidi"/>
      <w:b/>
      <w:sz w:val="24"/>
      <w:lang w:val="en-GB"/>
    </w:rPr>
  </w:style>
  <w:style w:type="table" w:styleId="TableGrid">
    <w:name w:val="Table Grid"/>
    <w:basedOn w:val="TableNormal"/>
    <w:uiPriority w:val="39"/>
    <w:rsid w:val="004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946"/>
    <w:pPr>
      <w:ind w:left="720"/>
      <w:contextualSpacing/>
    </w:pPr>
  </w:style>
  <w:style w:type="table" w:customStyle="1" w:styleId="TableGrid1">
    <w:name w:val="Table Grid1"/>
    <w:basedOn w:val="TableNormal"/>
    <w:next w:val="TableGrid"/>
    <w:uiPriority w:val="39"/>
    <w:rsid w:val="001A1EB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FF463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FF46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ACBC-E2F7-4AF3-8E48-FBE9FBB0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4</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MLE-USER-2</dc:creator>
  <cp:keywords/>
  <dc:description/>
  <cp:lastModifiedBy>DR. ONUMAH</cp:lastModifiedBy>
  <cp:revision>57</cp:revision>
  <dcterms:created xsi:type="dcterms:W3CDTF">2017-03-19T14:26:00Z</dcterms:created>
  <dcterms:modified xsi:type="dcterms:W3CDTF">2018-04-19T12:23:00Z</dcterms:modified>
</cp:coreProperties>
</file>