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r>
        <w:t xml:space="preserve"> </w:t>
      </w:r>
      <w:r>
        <w:t xml:space="preserve">STAT</w:t>
      </w:r>
      <w:r>
        <w:t xml:space="preserve"> </w:t>
      </w:r>
      <w:r>
        <w:t xml:space="preserve">613</w:t>
      </w:r>
    </w:p>
    <w:p>
      <w:pPr>
        <w:pStyle w:val="Author"/>
      </w:pPr>
      <w:r>
        <w:t xml:space="preserve">Norris</w:t>
      </w:r>
      <w:r>
        <w:t xml:space="preserve"> </w:t>
      </w:r>
      <w:r>
        <w:t xml:space="preserve">Jaber</w:t>
      </w:r>
    </w:p>
    <w:p>
      <w:pPr>
        <w:pStyle w:val="Date"/>
      </w:pPr>
      <w:r>
        <w:t xml:space="preserve">3/5/2021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(broom)</w:t>
      </w:r>
      <w:r>
        <w:br/>
      </w:r>
      <w:r>
        <w:rPr>
          <w:rStyle w:val="NormalTok"/>
        </w:rPr>
        <w:t xml:space="preserve">Stockreturns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8.36</w:t>
      </w:r>
      <w:r>
        <w:rPr>
          <w:rStyle w:val="NormalTok"/>
        </w:rPr>
        <w:t xml:space="preserve">, </w:t>
      </w:r>
      <w:r>
        <w:rPr>
          <w:rStyle w:val="FloatTok"/>
        </w:rPr>
        <w:t xml:space="preserve">1.63</w:t>
      </w:r>
      <w:r>
        <w:rPr>
          <w:rStyle w:val="NormalTok"/>
        </w:rPr>
        <w:t xml:space="preserve">,  </w:t>
      </w:r>
      <w:r>
        <w:rPr>
          <w:rStyle w:val="SpecialCharTok"/>
        </w:rPr>
        <w:t xml:space="preserve">-</w:t>
      </w:r>
      <w:r>
        <w:rPr>
          <w:rStyle w:val="FloatTok"/>
        </w:rPr>
        <w:t xml:space="preserve">2.27</w:t>
      </w:r>
      <w:r>
        <w:rPr>
          <w:rStyle w:val="NormalTok"/>
        </w:rPr>
        <w:t xml:space="preserve">, </w:t>
      </w:r>
      <w:r>
        <w:rPr>
          <w:rStyle w:val="SpecialCharTok"/>
        </w:rPr>
        <w:t xml:space="preserve">-</w:t>
      </w:r>
      <w:r>
        <w:rPr>
          <w:rStyle w:val="FloatTok"/>
        </w:rPr>
        <w:t xml:space="preserve">2.93</w:t>
      </w:r>
      <w:r>
        <w:rPr>
          <w:rStyle w:val="NormalTok"/>
        </w:rPr>
        <w:t xml:space="preserve">,  </w:t>
      </w:r>
      <w:r>
        <w:rPr>
          <w:rStyle w:val="SpecialCharTok"/>
        </w:rPr>
        <w:t xml:space="preserve">-</w:t>
      </w:r>
      <w:r>
        <w:rPr>
          <w:rStyle w:val="FloatTok"/>
        </w:rPr>
        <w:t xml:space="preserve">2.70</w:t>
      </w:r>
      <w:r>
        <w:rPr>
          <w:rStyle w:val="NormalTok"/>
        </w:rPr>
        <w:t xml:space="preserve">, </w:t>
      </w:r>
      <w:r>
        <w:br/>
      </w:r>
      <w:r>
        <w:rPr>
          <w:rStyle w:val="NormalTok"/>
        </w:rPr>
        <w:t xml:space="preserve">                  </w:t>
      </w:r>
      <w:r>
        <w:rPr>
          <w:rStyle w:val="SpecialCharTok"/>
        </w:rPr>
        <w:t xml:space="preserve">-</w:t>
      </w:r>
      <w:r>
        <w:rPr>
          <w:rStyle w:val="FloatTok"/>
        </w:rPr>
        <w:t xml:space="preserve">2.93</w:t>
      </w:r>
      <w:r>
        <w:rPr>
          <w:rStyle w:val="NormalTok"/>
        </w:rPr>
        <w:t xml:space="preserve">, </w:t>
      </w:r>
      <w:r>
        <w:rPr>
          <w:rStyle w:val="SpecialCharTok"/>
        </w:rPr>
        <w:t xml:space="preserve">-</w:t>
      </w:r>
      <w:r>
        <w:rPr>
          <w:rStyle w:val="FloatTok"/>
        </w:rPr>
        <w:t xml:space="preserve">9.14</w:t>
      </w:r>
      <w:r>
        <w:rPr>
          <w:rStyle w:val="NormalTok"/>
        </w:rPr>
        <w:t xml:space="preserve">, </w:t>
      </w:r>
      <w:r>
        <w:rPr>
          <w:rStyle w:val="SpecialCharTok"/>
        </w:rPr>
        <w:t xml:space="preserve">-</w:t>
      </w:r>
      <w:r>
        <w:rPr>
          <w:rStyle w:val="FloatTok"/>
        </w:rPr>
        <w:t xml:space="preserve">2.64</w:t>
      </w:r>
      <w:r>
        <w:rPr>
          <w:rStyle w:val="NormalTok"/>
        </w:rPr>
        <w:t xml:space="preserve">, </w:t>
      </w:r>
      <w:r>
        <w:rPr>
          <w:rStyle w:val="FloatTok"/>
        </w:rPr>
        <w:t xml:space="preserve">6.82</w:t>
      </w:r>
      <w:r>
        <w:rPr>
          <w:rStyle w:val="NormalTok"/>
        </w:rPr>
        <w:t xml:space="preserve">,   </w:t>
      </w:r>
      <w:r>
        <w:rPr>
          <w:rStyle w:val="SpecialCharTok"/>
        </w:rPr>
        <w:t xml:space="preserve">-</w:t>
      </w:r>
      <w:r>
        <w:rPr>
          <w:rStyle w:val="FloatTok"/>
        </w:rPr>
        <w:t xml:space="preserve">2.35</w:t>
      </w:r>
      <w:r>
        <w:rPr>
          <w:rStyle w:val="NormalTok"/>
        </w:rPr>
        <w:t xml:space="preserve">, </w:t>
      </w:r>
      <w:r>
        <w:br/>
      </w:r>
      <w:r>
        <w:rPr>
          <w:rStyle w:val="NormalTok"/>
        </w:rPr>
        <w:t xml:space="preserve">                  </w:t>
      </w:r>
      <w:r>
        <w:rPr>
          <w:rStyle w:val="SpecialCharTok"/>
        </w:rPr>
        <w:t xml:space="preserve">-</w:t>
      </w:r>
      <w:r>
        <w:rPr>
          <w:rStyle w:val="FloatTok"/>
        </w:rPr>
        <w:t xml:space="preserve">3.58</w:t>
      </w:r>
      <w:r>
        <w:rPr>
          <w:rStyle w:val="NormalTok"/>
        </w:rPr>
        <w:t xml:space="preserve">,   </w:t>
      </w:r>
      <w:r>
        <w:rPr>
          <w:rStyle w:val="FloatTok"/>
        </w:rPr>
        <w:t xml:space="preserve">6.13</w:t>
      </w:r>
      <w:r>
        <w:rPr>
          <w:rStyle w:val="NormalTok"/>
        </w:rPr>
        <w:t xml:space="preserve">,   </w:t>
      </w:r>
      <w:r>
        <w:rPr>
          <w:rStyle w:val="FloatTok"/>
        </w:rPr>
        <w:t xml:space="preserve">7.00</w:t>
      </w:r>
      <w:r>
        <w:rPr>
          <w:rStyle w:val="NormalTok"/>
        </w:rPr>
        <w:t xml:space="preserve">, </w:t>
      </w:r>
      <w:r>
        <w:rPr>
          <w:rStyle w:val="SpecialCharTok"/>
        </w:rPr>
        <w:t xml:space="preserve">-</w:t>
      </w:r>
      <w:r>
        <w:rPr>
          <w:rStyle w:val="FloatTok"/>
        </w:rPr>
        <w:t xml:space="preserve">15.25</w:t>
      </w:r>
      <w:r>
        <w:rPr>
          <w:rStyle w:val="NormalTok"/>
        </w:rPr>
        <w:t xml:space="preserve">, </w:t>
      </w:r>
      <w:r>
        <w:rPr>
          <w:rStyle w:val="SpecialCharTok"/>
        </w:rPr>
        <w:t xml:space="preserve">-</w:t>
      </w:r>
      <w:r>
        <w:rPr>
          <w:rStyle w:val="FloatTok"/>
        </w:rPr>
        <w:t xml:space="preserve">8.66</w:t>
      </w:r>
      <w:r>
        <w:rPr>
          <w:rStyle w:val="NormalTok"/>
        </w:rPr>
        <w:t xml:space="preserve">,</w:t>
      </w:r>
      <w:r>
        <w:br/>
      </w:r>
      <w:r>
        <w:rPr>
          <w:rStyle w:val="NormalTok"/>
        </w:rPr>
        <w:t xml:space="preserve">                  </w:t>
      </w:r>
      <w:r>
        <w:rPr>
          <w:rStyle w:val="SpecialCharTok"/>
        </w:rPr>
        <w:t xml:space="preserve">-</w:t>
      </w:r>
      <w:r>
        <w:rPr>
          <w:rStyle w:val="FloatTok"/>
        </w:rPr>
        <w:t xml:space="preserve">1.03</w:t>
      </w:r>
      <w:r>
        <w:rPr>
          <w:rStyle w:val="NormalTok"/>
        </w:rPr>
        <w:t xml:space="preserve">, </w:t>
      </w:r>
      <w:r>
        <w:rPr>
          <w:rStyle w:val="SpecialCharTok"/>
        </w:rPr>
        <w:t xml:space="preserve">-</w:t>
      </w:r>
      <w:r>
        <w:rPr>
          <w:rStyle w:val="FloatTok"/>
        </w:rPr>
        <w:t xml:space="preserve">9.16</w:t>
      </w:r>
      <w:r>
        <w:rPr>
          <w:rStyle w:val="NormalTok"/>
        </w:rPr>
        <w:t xml:space="preserve">,  </w:t>
      </w:r>
      <w:r>
        <w:rPr>
          <w:rStyle w:val="SpecialCharTok"/>
        </w:rPr>
        <w:t xml:space="preserve">-</w:t>
      </w:r>
      <w:r>
        <w:rPr>
          <w:rStyle w:val="FloatTok"/>
        </w:rPr>
        <w:t xml:space="preserve">1.25</w:t>
      </w:r>
      <w:r>
        <w:rPr>
          <w:rStyle w:val="NormalTok"/>
        </w:rPr>
        <w:t xml:space="preserve">, </w:t>
      </w:r>
      <w:r>
        <w:rPr>
          <w:rStyle w:val="SpecialCharTok"/>
        </w:rPr>
        <w:t xml:space="preserve">-</w:t>
      </w:r>
      <w:r>
        <w:rPr>
          <w:rStyle w:val="FloatTok"/>
        </w:rPr>
        <w:t xml:space="preserve">1.22</w:t>
      </w:r>
      <w:r>
        <w:rPr>
          <w:rStyle w:val="NormalTok"/>
        </w:rPr>
        <w:t xml:space="preserve">,  </w:t>
      </w:r>
      <w:r>
        <w:rPr>
          <w:rStyle w:val="SpecialCharTok"/>
        </w:rPr>
        <w:t xml:space="preserve">-</w:t>
      </w:r>
      <w:r>
        <w:rPr>
          <w:rStyle w:val="FloatTok"/>
        </w:rPr>
        <w:t xml:space="preserve">10.27</w:t>
      </w:r>
      <w:r>
        <w:rPr>
          <w:rStyle w:val="NormalTok"/>
        </w:rPr>
        <w:t xml:space="preserve">,</w:t>
      </w:r>
      <w:r>
        <w:br/>
      </w:r>
      <w:r>
        <w:rPr>
          <w:rStyle w:val="NormalTok"/>
        </w:rPr>
        <w:t xml:space="preserve">                  </w:t>
      </w:r>
      <w:r>
        <w:rPr>
          <w:rStyle w:val="SpecialCharTok"/>
        </w:rPr>
        <w:t xml:space="preserve">-</w:t>
      </w:r>
      <w:r>
        <w:rPr>
          <w:rStyle w:val="FloatTok"/>
        </w:rPr>
        <w:t xml:space="preserve">5.11</w:t>
      </w:r>
      <w:r>
        <w:rPr>
          <w:rStyle w:val="NormalTok"/>
        </w:rPr>
        <w:t xml:space="preserve">, </w:t>
      </w:r>
      <w:r>
        <w:rPr>
          <w:rStyle w:val="SpecialCharTok"/>
        </w:rPr>
        <w:t xml:space="preserve">-</w:t>
      </w:r>
      <w:r>
        <w:rPr>
          <w:rStyle w:val="FloatTok"/>
        </w:rPr>
        <w:t xml:space="preserve">0.80</w:t>
      </w:r>
      <w:r>
        <w:rPr>
          <w:rStyle w:val="NormalTok"/>
        </w:rPr>
        <w:t xml:space="preserve">,  </w:t>
      </w:r>
      <w:r>
        <w:rPr>
          <w:rStyle w:val="SpecialCharTok"/>
        </w:rPr>
        <w:t xml:space="preserve">-</w:t>
      </w:r>
      <w:r>
        <w:rPr>
          <w:rStyle w:val="FloatTok"/>
        </w:rPr>
        <w:t xml:space="preserve">1.44</w:t>
      </w:r>
      <w:r>
        <w:rPr>
          <w:rStyle w:val="NormalTok"/>
        </w:rPr>
        <w:t xml:space="preserve">,  </w:t>
      </w:r>
      <w:r>
        <w:rPr>
          <w:rStyle w:val="FloatTok"/>
        </w:rPr>
        <w:t xml:space="preserve">1.28</w:t>
      </w:r>
      <w:r>
        <w:rPr>
          <w:rStyle w:val="NormalTok"/>
        </w:rPr>
        <w:t xml:space="preserve">,  </w:t>
      </w:r>
      <w:r>
        <w:rPr>
          <w:rStyle w:val="SpecialCharTok"/>
        </w:rPr>
        <w:t xml:space="preserve">-</w:t>
      </w:r>
      <w:r>
        <w:rPr>
          <w:rStyle w:val="FloatTok"/>
        </w:rPr>
        <w:t xml:space="preserve">0.65</w:t>
      </w:r>
      <w:r>
        <w:rPr>
          <w:rStyle w:val="NormalTok"/>
        </w:rPr>
        <w:t xml:space="preserve">,</w:t>
      </w:r>
      <w:r>
        <w:br/>
      </w:r>
      <w:r>
        <w:rPr>
          <w:rStyle w:val="NormalTok"/>
        </w:rPr>
        <w:t xml:space="preserve">                   </w:t>
      </w:r>
      <w:r>
        <w:rPr>
          <w:rStyle w:val="FloatTok"/>
        </w:rPr>
        <w:t xml:space="preserve">4.34</w:t>
      </w:r>
      <w:r>
        <w:rPr>
          <w:rStyle w:val="NormalTok"/>
        </w:rPr>
        <w:t xml:space="preserve">,   </w:t>
      </w:r>
      <w:r>
        <w:rPr>
          <w:rStyle w:val="FloatTok"/>
        </w:rPr>
        <w:t xml:space="preserve">12.22</w:t>
      </w:r>
      <w:r>
        <w:rPr>
          <w:rStyle w:val="NormalTok"/>
        </w:rPr>
        <w:t xml:space="preserve">, </w:t>
      </w:r>
      <w:r>
        <w:rPr>
          <w:rStyle w:val="SpecialCharTok"/>
        </w:rPr>
        <w:t xml:space="preserve">-</w:t>
      </w:r>
      <w:r>
        <w:rPr>
          <w:rStyle w:val="FloatTok"/>
        </w:rPr>
        <w:t xml:space="preserve">7.21</w:t>
      </w:r>
      <w:r>
        <w:rPr>
          <w:rStyle w:val="NormalTok"/>
        </w:rPr>
        <w:t xml:space="preserve">, </w:t>
      </w:r>
      <w:r>
        <w:rPr>
          <w:rStyle w:val="SpecialCharTok"/>
        </w:rPr>
        <w:t xml:space="preserve">-</w:t>
      </w:r>
      <w:r>
        <w:rPr>
          <w:rStyle w:val="FloatTok"/>
        </w:rPr>
        <w:t xml:space="preserve">0.09</w:t>
      </w:r>
      <w:r>
        <w:rPr>
          <w:rStyle w:val="NormalTok"/>
        </w:rPr>
        <w:t xml:space="preserve">, </w:t>
      </w:r>
      <w:r>
        <w:rPr>
          <w:rStyle w:val="FloatTok"/>
        </w:rPr>
        <w:t xml:space="preserve">7.34</w:t>
      </w:r>
      <w:r>
        <w:rPr>
          <w:rStyle w:val="NormalTok"/>
        </w:rPr>
        <w:t xml:space="preserve">, </w:t>
      </w:r>
      <w:r>
        <w:br/>
      </w:r>
      <w:r>
        <w:rPr>
          <w:rStyle w:val="NormalTok"/>
        </w:rPr>
        <w:t xml:space="preserve">                   </w:t>
      </w:r>
      <w:r>
        <w:rPr>
          <w:rStyle w:val="FloatTok"/>
        </w:rPr>
        <w:t xml:space="preserve">5.04</w:t>
      </w:r>
      <w:r>
        <w:rPr>
          <w:rStyle w:val="NormalTok"/>
        </w:rPr>
        <w:t xml:space="preserve">,  </w:t>
      </w:r>
      <w:r>
        <w:rPr>
          <w:rStyle w:val="SpecialCharTok"/>
        </w:rPr>
        <w:t xml:space="preserve">-</w:t>
      </w:r>
      <w:r>
        <w:rPr>
          <w:rStyle w:val="FloatTok"/>
        </w:rPr>
        <w:t xml:space="preserve">7.24</w:t>
      </w:r>
      <w:r>
        <w:rPr>
          <w:rStyle w:val="NormalTok"/>
        </w:rPr>
        <w:t xml:space="preserve">,  </w:t>
      </w:r>
      <w:r>
        <w:rPr>
          <w:rStyle w:val="SpecialCharTok"/>
        </w:rPr>
        <w:t xml:space="preserve">-</w:t>
      </w:r>
      <w:r>
        <w:rPr>
          <w:rStyle w:val="FloatTok"/>
        </w:rPr>
        <w:t xml:space="preserve">2.14</w:t>
      </w:r>
      <w:r>
        <w:rPr>
          <w:rStyle w:val="NormalTok"/>
        </w:rPr>
        <w:t xml:space="preserve">, </w:t>
      </w:r>
      <w:r>
        <w:rPr>
          <w:rStyle w:val="SpecialCharTok"/>
        </w:rPr>
        <w:t xml:space="preserve">-</w:t>
      </w:r>
      <w:r>
        <w:rPr>
          <w:rStyle w:val="FloatTok"/>
        </w:rPr>
        <w:t xml:space="preserve">1.01</w:t>
      </w:r>
      <w:r>
        <w:rPr>
          <w:rStyle w:val="NormalTok"/>
        </w:rPr>
        <w:t xml:space="preserve">,  </w:t>
      </w:r>
      <w:r>
        <w:rPr>
          <w:rStyle w:val="SpecialCharTok"/>
        </w:rPr>
        <w:t xml:space="preserve">-</w:t>
      </w:r>
      <w:r>
        <w:rPr>
          <w:rStyle w:val="FloatTok"/>
        </w:rPr>
        <w:t xml:space="preserve">1.41</w:t>
      </w:r>
      <w:r>
        <w:rPr>
          <w:rStyle w:val="NormalTok"/>
        </w:rPr>
        <w:t xml:space="preserve">, </w:t>
      </w:r>
      <w:r>
        <w:br/>
      </w:r>
      <w:r>
        <w:rPr>
          <w:rStyle w:val="NormalTok"/>
        </w:rPr>
        <w:t xml:space="preserve">                   </w:t>
      </w:r>
      <w:r>
        <w:rPr>
          <w:rStyle w:val="FloatTok"/>
        </w:rPr>
        <w:t xml:space="preserve">12.03</w:t>
      </w:r>
      <w:r>
        <w:rPr>
          <w:rStyle w:val="NormalTok"/>
        </w:rPr>
        <w:t xml:space="preserve">, </w:t>
      </w:r>
      <w:r>
        <w:rPr>
          <w:rStyle w:val="SpecialCharTok"/>
        </w:rPr>
        <w:t xml:space="preserve">-</w:t>
      </w:r>
      <w:r>
        <w:rPr>
          <w:rStyle w:val="FloatTok"/>
        </w:rPr>
        <w:t xml:space="preserve">2.53</w:t>
      </w:r>
      <w:r>
        <w:rPr>
          <w:rStyle w:val="NormalTok"/>
        </w:rPr>
        <w:t xml:space="preserve">,  </w:t>
      </w:r>
      <w:r>
        <w:rPr>
          <w:rStyle w:val="FloatTok"/>
        </w:rPr>
        <w:t xml:space="preserve">4.33</w:t>
      </w:r>
      <w:r>
        <w:rPr>
          <w:rStyle w:val="NormalTok"/>
        </w:rPr>
        <w:t xml:space="preserve">,  </w:t>
      </w:r>
      <w:r>
        <w:rPr>
          <w:rStyle w:val="FloatTok"/>
        </w:rPr>
        <w:t xml:space="preserve">1.35</w:t>
      </w:r>
      <w:r>
        <w:rPr>
          <w:rStyle w:val="NormalTok"/>
        </w:rPr>
        <w:t xml:space="preserve">)</w:t>
      </w:r>
      <w:r>
        <w:br/>
      </w:r>
      <w:r>
        <w:rPr>
          <w:rStyle w:val="NormalTok"/>
        </w:rPr>
        <w:t xml:space="preserve">Stockreturns</w:t>
      </w:r>
    </w:p>
    <w:p>
      <w:pPr>
        <w:pStyle w:val="SourceCode"/>
      </w:pPr>
      <w:r>
        <w:rPr>
          <w:rStyle w:val="VerbatimChar"/>
        </w:rPr>
        <w:t xml:space="preserve">##  [1]  -8.36   1.63  -2.27  -2.93  -2.70  -2.93  -9.14  -2.64   6.82  -2.35</w:t>
      </w:r>
      <w:r>
        <w:br/>
      </w:r>
      <w:r>
        <w:rPr>
          <w:rStyle w:val="VerbatimChar"/>
        </w:rPr>
        <w:t xml:space="preserve">## [11]  -3.58   6.13   7.00 -15.25  -8.66  -1.03  -9.16  -1.25  -1.22 -10.27</w:t>
      </w:r>
      <w:r>
        <w:br/>
      </w:r>
      <w:r>
        <w:rPr>
          <w:rStyle w:val="VerbatimChar"/>
        </w:rPr>
        <w:t xml:space="preserve">## [21]  -5.11  -0.80  -1.44   1.28  -0.65   4.34  12.22  -7.21  -0.09   7.34</w:t>
      </w:r>
      <w:r>
        <w:br/>
      </w:r>
      <w:r>
        <w:rPr>
          <w:rStyle w:val="VerbatimChar"/>
        </w:rPr>
        <w:t xml:space="preserve">## [31]   5.04  -7.24  -2.14  -1.01  -1.41  12.03  -2.53   4.33   1.35</w:t>
      </w:r>
    </w:p>
    <w:p>
      <w:pPr>
        <w:pStyle w:val="SourceCode"/>
      </w:pPr>
      <w:r>
        <w:rPr>
          <w:rStyle w:val="FunctionTok"/>
        </w:rPr>
        <w:t xml:space="preserve">mean</w:t>
      </w:r>
      <w:r>
        <w:rPr>
          <w:rStyle w:val="NormalTok"/>
        </w:rPr>
        <w:t xml:space="preserve">(Stockreturns) </w:t>
      </w:r>
      <w:r>
        <w:rPr>
          <w:rStyle w:val="OtherTok"/>
        </w:rPr>
        <w:t xml:space="preserve">-&gt;</w:t>
      </w:r>
      <w:r>
        <w:rPr>
          <w:rStyle w:val="NormalTok"/>
        </w:rPr>
        <w:t xml:space="preserve"> M</w:t>
      </w:r>
      <w:r>
        <w:br/>
      </w:r>
      <w:r>
        <w:rPr>
          <w:rStyle w:val="NormalTok"/>
        </w:rPr>
        <w:t xml:space="preserve">M</w:t>
      </w:r>
    </w:p>
    <w:p>
      <w:pPr>
        <w:pStyle w:val="SourceCode"/>
      </w:pPr>
      <w:r>
        <w:rPr>
          <w:rStyle w:val="VerbatimChar"/>
        </w:rPr>
        <w:t xml:space="preserve">## [1] -1.124615</w:t>
      </w:r>
    </w:p>
    <w:p>
      <w:pPr>
        <w:pStyle w:val="SourceCode"/>
      </w:pPr>
      <w:r>
        <w:rPr>
          <w:rStyle w:val="FunctionTok"/>
        </w:rPr>
        <w:t xml:space="preserve">sd</w:t>
      </w:r>
      <w:r>
        <w:rPr>
          <w:rStyle w:val="NormalTok"/>
        </w:rPr>
        <w:t xml:space="preserve">(Stockreturns)</w:t>
      </w:r>
      <w:r>
        <w:rPr>
          <w:rStyle w:val="OtherTok"/>
        </w:rPr>
        <w:t xml:space="preserve">-&gt;</w:t>
      </w:r>
      <w:r>
        <w:rPr>
          <w:rStyle w:val="NormalTok"/>
        </w:rPr>
        <w:t xml:space="preserve"> S</w:t>
      </w:r>
      <w:r>
        <w:br/>
      </w:r>
      <w:r>
        <w:rPr>
          <w:rStyle w:val="NormalTok"/>
        </w:rPr>
        <w:t xml:space="preserve">S</w:t>
      </w:r>
    </w:p>
    <w:p>
      <w:pPr>
        <w:pStyle w:val="SourceCode"/>
      </w:pPr>
      <w:r>
        <w:rPr>
          <w:rStyle w:val="VerbatimChar"/>
        </w:rPr>
        <w:t xml:space="preserve">## [1] 5.977673</w:t>
      </w:r>
    </w:p>
    <w:p>
      <w:pPr>
        <w:pStyle w:val="SourceCode"/>
      </w:pPr>
      <w:r>
        <w:rPr>
          <w:rStyle w:val="FunctionTok"/>
        </w:rPr>
        <w:t xml:space="preserve">pnorm</w:t>
      </w:r>
      <w:r>
        <w:rPr>
          <w:rStyle w:val="NormalTok"/>
        </w:rPr>
        <w:t xml:space="preserve">(</w:t>
      </w:r>
      <w:r>
        <w:rPr>
          <w:rStyle w:val="AttributeTok"/>
        </w:rPr>
        <w:t xml:space="preserve">q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mean =</w:t>
      </w:r>
      <w:r>
        <w:rPr>
          <w:rStyle w:val="NormalTok"/>
        </w:rPr>
        <w:t xml:space="preserve"> M, </w:t>
      </w:r>
      <w:r>
        <w:rPr>
          <w:rStyle w:val="AttributeTok"/>
        </w:rPr>
        <w:t xml:space="preserve">sd =</w:t>
      </w:r>
      <w:r>
        <w:rPr>
          <w:rStyle w:val="NormalTok"/>
        </w:rPr>
        <w:t xml:space="preserve"> S)</w:t>
      </w:r>
    </w:p>
    <w:p>
      <w:pPr>
        <w:pStyle w:val="SourceCode"/>
      </w:pPr>
      <w:r>
        <w:rPr>
          <w:rStyle w:val="VerbatimChar"/>
        </w:rPr>
        <w:t xml:space="preserve">## [1] 0.4749638</w:t>
      </w:r>
    </w:p>
    <w:p>
      <w:pPr>
        <w:pStyle w:val="FirstParagraph"/>
      </w:pPr>
      <w:r>
        <w:t xml:space="preserve">47.5% of returns are less than -1.5.</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AttributeTok"/>
        </w:rPr>
        <w:t xml:space="preserve">p =</w:t>
      </w:r>
      <w:r>
        <w:rPr>
          <w:rStyle w:val="NormalTok"/>
        </w:rPr>
        <w:t xml:space="preserve"> </w:t>
      </w:r>
      <w:r>
        <w:rPr>
          <w:rStyle w:val="FloatTok"/>
        </w:rPr>
        <w:t xml:space="preserve">0.75</w:t>
      </w:r>
      <w:r>
        <w:rPr>
          <w:rStyle w:val="NormalTok"/>
        </w:rPr>
        <w:t xml:space="preserve">, </w:t>
      </w:r>
      <w:r>
        <w:rPr>
          <w:rStyle w:val="AttributeTok"/>
        </w:rPr>
        <w:t xml:space="preserve">mean =</w:t>
      </w:r>
      <w:r>
        <w:rPr>
          <w:rStyle w:val="NormalTok"/>
        </w:rPr>
        <w:t xml:space="preserve"> M, </w:t>
      </w:r>
      <w:r>
        <w:rPr>
          <w:rStyle w:val="AttributeTok"/>
        </w:rPr>
        <w:t xml:space="preserve">sd =</w:t>
      </w:r>
      <w:r>
        <w:rPr>
          <w:rStyle w:val="NormalTok"/>
        </w:rPr>
        <w:t xml:space="preserve"> S)</w:t>
      </w:r>
    </w:p>
    <w:p>
      <w:pPr>
        <w:pStyle w:val="SourceCode"/>
      </w:pPr>
      <w:r>
        <w:rPr>
          <w:rStyle w:val="VerbatimChar"/>
        </w:rPr>
        <w:t xml:space="preserve">## [1] -1.907264</w:t>
      </w:r>
    </w:p>
    <w:p>
      <w:pPr>
        <w:pStyle w:val="FirstParagraph"/>
      </w:pPr>
      <w:r>
        <w:t xml:space="preserve">70% of the returns are above -1.91.</w:t>
      </w:r>
    </w:p>
    <w:p>
      <w:pPr>
        <w:pStyle w:val="SourceCode"/>
      </w:pPr>
      <w:r>
        <w:rPr>
          <w:rStyle w:val="FunctionTok"/>
        </w:rPr>
        <w:t xml:space="preserve">quantile</w:t>
      </w:r>
      <w:r>
        <w:rPr>
          <w:rStyle w:val="NormalTok"/>
        </w:rPr>
        <w:t xml:space="preserve">(Stockreturns, </w:t>
      </w:r>
      <w:r>
        <w:rPr>
          <w:rStyle w:val="AttributeTok"/>
        </w:rPr>
        <w:t xml:space="preserve">prob=</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25% </w:t>
      </w:r>
      <w:r>
        <w:br/>
      </w:r>
      <w:r>
        <w:rPr>
          <w:rStyle w:val="VerbatimChar"/>
        </w:rPr>
        <w:t xml:space="preserve">## -3.255</w:t>
      </w:r>
    </w:p>
    <w:p>
      <w:pPr>
        <w:pStyle w:val="SourceCode"/>
      </w:pPr>
      <w:r>
        <w:rPr>
          <w:rStyle w:val="FunctionTok"/>
        </w:rPr>
        <w:t xml:space="preserve">summary</w:t>
      </w:r>
      <w:r>
        <w:rPr>
          <w:rStyle w:val="NormalTok"/>
        </w:rPr>
        <w:t xml:space="preserve">(Stockreturns)</w:t>
      </w:r>
    </w:p>
    <w:p>
      <w:pPr>
        <w:pStyle w:val="SourceCode"/>
      </w:pPr>
      <w:r>
        <w:rPr>
          <w:rStyle w:val="VerbatimChar"/>
        </w:rPr>
        <w:t xml:space="preserve">##    Min. 1st Qu.  Median    Mean 3rd Qu.    Max. </w:t>
      </w:r>
      <w:r>
        <w:br/>
      </w:r>
      <w:r>
        <w:rPr>
          <w:rStyle w:val="VerbatimChar"/>
        </w:rPr>
        <w:t xml:space="preserve">## -15.250  -3.255  -1.410  -1.125   1.490  12.220</w:t>
      </w:r>
    </w:p>
    <w:p>
      <w:pPr>
        <w:pStyle w:val="FirstParagraph"/>
      </w:pPr>
      <w:r>
        <w:t xml:space="preserve">1st Quartile of the data is -3.255.</w:t>
      </w:r>
    </w:p>
    <w:p>
      <w:pPr>
        <w:pStyle w:val="SourceCode"/>
      </w:pPr>
      <w:r>
        <w:rPr>
          <w:rStyle w:val="FunctionTok"/>
        </w:rPr>
        <w:t xml:space="preserve">boxplot</w:t>
      </w:r>
      <w:r>
        <w:rPr>
          <w:rStyle w:val="NormalTok"/>
        </w:rPr>
        <w:t xml:space="preserve">(Stockreturns)</w:t>
      </w:r>
    </w:p>
    <w:p>
      <w:pPr>
        <w:pStyle w:val="FirstParagraph"/>
      </w:pPr>
      <w:r>
        <w:drawing>
          <wp:inline>
            <wp:extent cx="4620126" cy="3696101"/>
            <wp:effectExtent b="0" l="0" r="0" t="0"/>
            <wp:docPr descr="" title="" id="1" name="Picture"/>
            <a:graphic>
              <a:graphicData uri="http://schemas.openxmlformats.org/drawingml/2006/picture">
                <pic:pic>
                  <pic:nvPicPr>
                    <pic:cNvPr descr="Homework-5,-STAT-613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(Stockreturns)</w:t>
      </w:r>
      <w:r>
        <w:br/>
      </w:r>
      <w:r>
        <w:rPr>
          <w:rStyle w:val="FunctionTok"/>
        </w:rPr>
        <w:t xml:space="preserve">qqline</w:t>
      </w:r>
      <w:r>
        <w:rPr>
          <w:rStyle w:val="NormalTok"/>
        </w:rPr>
        <w:t xml:space="preserve">(Stockreturns)</w:t>
      </w:r>
    </w:p>
    <w:p>
      <w:pPr>
        <w:pStyle w:val="FirstParagraph"/>
      </w:pPr>
      <w:r>
        <w:drawing>
          <wp:inline>
            <wp:extent cx="4620126" cy="3696101"/>
            <wp:effectExtent b="0" l="0" r="0" t="0"/>
            <wp:docPr descr="" title="" id="1" name="Picture"/>
            <a:graphic>
              <a:graphicData uri="http://schemas.openxmlformats.org/drawingml/2006/picture">
                <pic:pic>
                  <pic:nvPicPr>
                    <pic:cNvPr descr="Homework-5,-STAT-613_files/figure-docx/unnamed-chunk-7-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data appears fairly normaly from the boxplot. There does appear to be two outlier on the boxplot, however most the data looks well spread. It is unknown if these outliers are influential. From the normal qq plot, we can see a fairly normal distribution. There does appear to to be two tails, on the right and left sides respectfully however it does not appear to deviate too much.</w:t>
      </w:r>
    </w:p>
    <w:p>
      <w:pPr>
        <w:numPr>
          <w:ilvl w:val="0"/>
          <w:numId w:val="1007"/>
        </w:numPr>
      </w:pPr>
      <w:r>
        <w:t xml:space="preserve">H(0): Average return rate is equal to 0.95.</w:t>
      </w:r>
      <w:r>
        <w:t xml:space="preserve"> </w:t>
      </w:r>
      <w:r>
        <w:t xml:space="preserve">H(A): Average return rate is less than 0.95.</w:t>
      </w:r>
    </w:p>
    <w:p>
      <w:pPr>
        <w:pStyle w:val="SourceCode"/>
      </w:pPr>
      <w:r>
        <w:rPr>
          <w:rStyle w:val="FunctionTok"/>
        </w:rPr>
        <w:t xml:space="preserve">t.test</w:t>
      </w:r>
      <w:r>
        <w:rPr>
          <w:rStyle w:val="NormalTok"/>
        </w:rPr>
        <w:t xml:space="preserve">(Stockreturns ,</w:t>
      </w:r>
      <w:r>
        <w:rPr>
          <w:rStyle w:val="AttributeTok"/>
        </w:rPr>
        <w:t xml:space="preserve">mu=</w:t>
      </w:r>
      <w:r>
        <w:rPr>
          <w:rStyle w:val="FloatTok"/>
        </w:rPr>
        <w:t xml:space="preserve">0.95</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Stockreturns</w:t>
      </w:r>
      <w:r>
        <w:br/>
      </w:r>
      <w:r>
        <w:rPr>
          <w:rStyle w:val="VerbatimChar"/>
        </w:rPr>
        <w:t xml:space="preserve">## t = -2.1674, df = 38, p-value = 0.01827</w:t>
      </w:r>
      <w:r>
        <w:br/>
      </w:r>
      <w:r>
        <w:rPr>
          <w:rStyle w:val="VerbatimChar"/>
        </w:rPr>
        <w:t xml:space="preserve">## alternative hypothesis: true mean is less than 0.95</w:t>
      </w:r>
      <w:r>
        <w:br/>
      </w:r>
      <w:r>
        <w:rPr>
          <w:rStyle w:val="VerbatimChar"/>
        </w:rPr>
        <w:t xml:space="preserve">## 95 percent confidence interval:</w:t>
      </w:r>
      <w:r>
        <w:br/>
      </w:r>
      <w:r>
        <w:rPr>
          <w:rStyle w:val="VerbatimChar"/>
        </w:rPr>
        <w:t xml:space="preserve">##       -Inf 0.4891698</w:t>
      </w:r>
      <w:r>
        <w:br/>
      </w:r>
      <w:r>
        <w:rPr>
          <w:rStyle w:val="VerbatimChar"/>
        </w:rPr>
        <w:t xml:space="preserve">## sample estimates:</w:t>
      </w:r>
      <w:r>
        <w:br/>
      </w:r>
      <w:r>
        <w:rPr>
          <w:rStyle w:val="VerbatimChar"/>
        </w:rPr>
        <w:t xml:space="preserve">## mean of x </w:t>
      </w:r>
      <w:r>
        <w:br/>
      </w:r>
      <w:r>
        <w:rPr>
          <w:rStyle w:val="VerbatimChar"/>
        </w:rPr>
        <w:t xml:space="preserve">## -1.124615</w:t>
      </w:r>
    </w:p>
    <w:p>
      <w:pPr>
        <w:pStyle w:val="FirstParagraph"/>
      </w:pPr>
      <w:r>
        <w:t xml:space="preserve">At a low p-value of 0.01827 with an alpha level at 0.05 the null hypothesis should be rejected.</w:t>
      </w:r>
    </w:p>
    <w:p>
      <w:pPr>
        <w:numPr>
          <w:ilvl w:val="0"/>
          <w:numId w:val="1008"/>
        </w:numPr>
        <w:pStyle w:val="Compact"/>
      </w:pPr>
      <w:r>
        <w:t xml:space="preserve">The broker does perform worse than average. From the p-value alone we can see that the return rate by the broker was less than 0.95 by the rejection of the null hypothesis. Also from the 95% confidence interval, we see that the true mean of the broker’s return rates are 0.4891 or less. From this we can see that the broker did perform worse.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238d817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STAT 613</dc:title>
  <dc:creator>Norris Jaber</dc:creator>
  <cp:keywords/>
  <dcterms:created xsi:type="dcterms:W3CDTF">2021-03-06T00:44:01Z</dcterms:created>
  <dcterms:modified xsi:type="dcterms:W3CDTF">2021-03-06T00:44:01Z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3/5/2021</vt:lpwstr>
  </property>
  <property fmtid="{D5CDD505-2E9C-101B-9397-08002B2CF9AE}" pid="3" name="output">
    <vt:lpwstr>word_document</vt:lpwstr>
  </property>
</Properties>
</file>