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eastAsia="Aptos Display"/>
          <w:b/>
          <w:color w:val="1F4E79"/>
          <w:sz w:val="54"/>
        </w:rPr>
        <w:t>Nortal World Cup 2026</w:t>
        <w:br/>
        <w:t>Prediction Pool</w:t>
      </w:r>
    </w:p>
    <w:p>
      <w:pPr>
        <w:jc w:val="center"/>
      </w:pPr>
      <w:r>
        <w:rPr>
          <w:b/>
          <w:color w:val="2F5597"/>
          <w:sz w:val="30"/>
        </w:rPr>
        <w:t>Technology-Agnostic High-Level Architecture and Requirements Specification</w:t>
      </w:r>
    </w:p>
    <w:p>
      <w:pPr>
        <w:spacing w:before="400"/>
        <w:jc w:val="center"/>
      </w:pPr>
      <w:r>
        <w:rPr>
          <w:color w:val="666666"/>
          <w:sz w:val="20"/>
        </w:rPr>
        <w:t>Version 2.0 | April 27, 2026</w:t>
      </w:r>
    </w:p>
    <w:tbl>
      <w:tblPr>
        <w:tblW w:type="auto" w:w="0"/>
        <w:jc w:val="center"/>
        <w:tblLook w:firstColumn="1" w:firstRow="1" w:lastColumn="0" w:lastRow="0" w:noHBand="0" w:noVBand="1" w:val="04A0"/>
        <w:tblBorders>
          <w:top w:val="single" w:sz="10" w:space="0" w:color="5B9BD5"/>
          <w:left w:val="single" w:sz="10" w:space="0" w:color="5B9BD5"/>
          <w:bottom w:val="single" w:sz="10" w:space="0" w:color="5B9BD5"/>
          <w:right w:val="single" w:sz="10" w:space="0" w:color="5B9BD5"/>
          <w:insideH w:val="single" w:sz="10" w:space="0" w:color="5B9BD5"/>
          <w:insideV w:val="single" w:sz="10" w:space="0" w:color="5B9BD5"/>
        </w:tblBorders>
      </w:tblPr>
      <w:tblGrid>
        <w:gridCol w:w="10368"/>
      </w:tblGrid>
      <w:tr>
        <w:tc>
          <w:tcPr>
            <w:tcW w:type="dxa" w:w="10368"/>
            <w:shd w:fill="EAF2F8"/>
            <w:tcMar>
              <w:top w:w="120" w:type="dxa"/>
              <w:start w:w="120" w:type="dxa"/>
              <w:bottom w:w="120" w:type="dxa"/>
              <w:end w:w="120" w:type="dxa"/>
            </w:tcMar>
          </w:tcPr>
          <w:p>
            <w:pPr>
              <w:spacing w:after="60"/>
            </w:pPr>
            <w:r>
              <w:rPr>
                <w:b/>
                <w:color w:val="1F4E79"/>
                <w:sz w:val="19"/>
              </w:rPr>
              <w:t>Architecture positioning</w:t>
            </w:r>
          </w:p>
          <w:p>
            <w:pPr>
              <w:spacing w:after="0"/>
            </w:pPr>
            <w:r>
              <w:rPr>
                <w:sz w:val="17"/>
              </w:rPr>
              <w:t>This document intentionally avoids prescribing a single implementation technology. It defines business capabilities, architectural building blocks, integration patterns, controls, data responsibilities, and decision criteria that can be implemented through a custom web application, an enterprise low-code platform, a hybrid model, or another approved internal technology stack.</w:t>
            </w:r>
          </w:p>
        </w:tc>
      </w:tr>
    </w:tbl>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592"/>
            <w:shd w:fill="1F4E79"/>
            <w:tcMar>
              <w:top w:w="80" w:type="dxa"/>
              <w:start w:w="80" w:type="dxa"/>
              <w:bottom w:w="80" w:type="dxa"/>
              <w:end w:w="80" w:type="dxa"/>
            </w:tcMar>
            <w:vAlign w:val="center"/>
          </w:tcPr>
          <w:p>
            <w:pPr>
              <w:jc w:val="center"/>
            </w:pPr>
            <w:r>
              <w:rPr>
                <w:b/>
                <w:color w:val="FFFFFF"/>
                <w:sz w:val="17"/>
              </w:rPr>
              <w:t>Prepared for</w:t>
            </w:r>
          </w:p>
        </w:tc>
        <w:tc>
          <w:tcPr>
            <w:tcW w:type="dxa" w:w="5040"/>
            <w:shd w:fill="1F4E79"/>
            <w:tcMar>
              <w:top w:w="80" w:type="dxa"/>
              <w:start w:w="80" w:type="dxa"/>
              <w:bottom w:w="80" w:type="dxa"/>
              <w:end w:w="80" w:type="dxa"/>
            </w:tcMar>
            <w:vAlign w:val="center"/>
          </w:tcPr>
          <w:p>
            <w:pPr>
              <w:jc w:val="center"/>
            </w:pPr>
            <w:r>
              <w:rPr>
                <w:b/>
                <w:color w:val="FFFFFF"/>
                <w:sz w:val="17"/>
              </w:rPr>
              <w:t>Purpose</w:t>
            </w:r>
          </w:p>
        </w:tc>
        <w:tc>
          <w:tcPr>
            <w:tcW w:type="dxa" w:w="3168"/>
            <w:shd w:fill="1F4E79"/>
            <w:tcMar>
              <w:top w:w="80" w:type="dxa"/>
              <w:start w:w="80" w:type="dxa"/>
              <w:bottom w:w="80" w:type="dxa"/>
              <w:end w:w="80" w:type="dxa"/>
            </w:tcMar>
            <w:vAlign w:val="center"/>
          </w:tcPr>
          <w:p>
            <w:pPr>
              <w:jc w:val="center"/>
            </w:pPr>
            <w:r>
              <w:rPr>
                <w:b/>
                <w:color w:val="FFFFFF"/>
                <w:sz w:val="17"/>
              </w:rPr>
              <w:t>Primary audience</w:t>
            </w:r>
          </w:p>
        </w:tc>
      </w:tr>
      <w:tr>
        <w:tc>
          <w:tcPr>
            <w:tcW w:type="dxa" w:w="2592"/>
            <w:tcMar>
              <w:top w:w="70" w:type="dxa"/>
              <w:start w:w="70" w:type="dxa"/>
              <w:bottom w:w="70" w:type="dxa"/>
              <w:end w:w="70" w:type="dxa"/>
            </w:tcMar>
            <w:vAlign w:val="top"/>
          </w:tcPr>
          <w:p>
            <w:pPr>
              <w:spacing w:after="20" w:line="252" w:lineRule="auto"/>
            </w:pPr>
            <w:r>
              <w:rPr>
                <w:sz w:val="17"/>
              </w:rPr>
              <w:t>Nortal internal collaborators and project stakeholders</w:t>
            </w:r>
          </w:p>
        </w:tc>
        <w:tc>
          <w:tcPr>
            <w:tcW w:type="dxa" w:w="5040"/>
            <w:tcMar>
              <w:top w:w="70" w:type="dxa"/>
              <w:start w:w="70" w:type="dxa"/>
              <w:bottom w:w="70" w:type="dxa"/>
              <w:end w:w="70" w:type="dxa"/>
            </w:tcMar>
            <w:vAlign w:val="top"/>
          </w:tcPr>
          <w:p>
            <w:pPr>
              <w:spacing w:after="20" w:line="252" w:lineRule="auto"/>
            </w:pPr>
            <w:r>
              <w:rPr>
                <w:sz w:val="17"/>
              </w:rPr>
              <w:t>Define a high-level architecture and detailed requirements baseline for a World Cup 2026 prediction pool application.</w:t>
            </w:r>
          </w:p>
        </w:tc>
        <w:tc>
          <w:tcPr>
            <w:tcW w:type="dxa" w:w="3168"/>
            <w:tcMar>
              <w:top w:w="70" w:type="dxa"/>
              <w:start w:w="70" w:type="dxa"/>
              <w:bottom w:w="70" w:type="dxa"/>
              <w:end w:w="70" w:type="dxa"/>
            </w:tcMar>
            <w:vAlign w:val="top"/>
          </w:tcPr>
          <w:p>
            <w:pPr>
              <w:spacing w:after="20" w:line="252" w:lineRule="auto"/>
            </w:pPr>
            <w:r>
              <w:rPr>
                <w:sz w:val="17"/>
              </w:rPr>
              <w:t>Business sponsors, solution architects, product owners, engineering teams, security reviewers, operations, and administrators.</w:t>
            </w:r>
          </w:p>
        </w:tc>
      </w:tr>
    </w:tbl>
    <w:p>
      <w:r>
        <w:br w:type="page"/>
      </w:r>
    </w:p>
    <w:p>
      <w:pPr>
        <w:pStyle w:val="Heading1"/>
        <w:spacing w:before="240" w:after="100"/>
      </w:pPr>
      <w:r>
        <w:t>Document Control</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tblHeader w:val="true"/>
        </w:trPr>
        <w:tc>
          <w:tcPr>
            <w:tcW w:type="dxa" w:w="2880"/>
            <w:shd w:fill="1F4E79"/>
            <w:tcMar>
              <w:top w:w="80" w:type="dxa"/>
              <w:start w:w="80" w:type="dxa"/>
              <w:bottom w:w="80" w:type="dxa"/>
              <w:end w:w="80" w:type="dxa"/>
            </w:tcMar>
            <w:vAlign w:val="center"/>
          </w:tcPr>
          <w:p>
            <w:pPr>
              <w:jc w:val="center"/>
            </w:pPr>
            <w:r>
              <w:rPr>
                <w:b/>
                <w:color w:val="FFFFFF"/>
                <w:sz w:val="17"/>
              </w:rPr>
              <w:t>Attribute</w:t>
            </w:r>
          </w:p>
        </w:tc>
        <w:tc>
          <w:tcPr>
            <w:tcW w:type="dxa" w:w="7632"/>
            <w:shd w:fill="1F4E79"/>
            <w:tcMar>
              <w:top w:w="80" w:type="dxa"/>
              <w:start w:w="80" w:type="dxa"/>
              <w:bottom w:w="80" w:type="dxa"/>
              <w:end w:w="80" w:type="dxa"/>
            </w:tcMar>
            <w:vAlign w:val="center"/>
          </w:tcPr>
          <w:p>
            <w:pPr>
              <w:jc w:val="center"/>
            </w:pPr>
            <w:r>
              <w:rPr>
                <w:b/>
                <w:color w:val="FFFFFF"/>
                <w:sz w:val="17"/>
              </w:rPr>
              <w:t>Value</w:t>
            </w:r>
          </w:p>
        </w:tc>
      </w:tr>
      <w:tr>
        <w:tc>
          <w:tcPr>
            <w:tcW w:type="dxa" w:w="2880"/>
            <w:tcMar>
              <w:top w:w="70" w:type="dxa"/>
              <w:start w:w="70" w:type="dxa"/>
              <w:bottom w:w="70" w:type="dxa"/>
              <w:end w:w="70" w:type="dxa"/>
            </w:tcMar>
            <w:vAlign w:val="top"/>
          </w:tcPr>
          <w:p>
            <w:pPr>
              <w:spacing w:after="20" w:line="252" w:lineRule="auto"/>
            </w:pPr>
            <w:r>
              <w:rPr>
                <w:sz w:val="17"/>
              </w:rPr>
              <w:t>Document title</w:t>
            </w:r>
          </w:p>
        </w:tc>
        <w:tc>
          <w:tcPr>
            <w:tcW w:type="dxa" w:w="7632"/>
            <w:tcMar>
              <w:top w:w="70" w:type="dxa"/>
              <w:start w:w="70" w:type="dxa"/>
              <w:bottom w:w="70" w:type="dxa"/>
              <w:end w:w="70" w:type="dxa"/>
            </w:tcMar>
            <w:vAlign w:val="top"/>
          </w:tcPr>
          <w:p>
            <w:pPr>
              <w:spacing w:after="20" w:line="252" w:lineRule="auto"/>
            </w:pPr>
            <w:r>
              <w:rPr>
                <w:sz w:val="17"/>
              </w:rPr>
              <w:t>Nortal World Cup 2026 Prediction Pool - Technology-Agnostic High-Level Architecture and Requirements Specification</w:t>
            </w:r>
          </w:p>
        </w:tc>
      </w:tr>
      <w:tr>
        <w:tc>
          <w:tcPr>
            <w:tcW w:type="dxa" w:w="2880"/>
            <w:tcMar>
              <w:top w:w="70" w:type="dxa"/>
              <w:start w:w="70" w:type="dxa"/>
              <w:bottom w:w="70" w:type="dxa"/>
              <w:end w:w="70" w:type="dxa"/>
            </w:tcMar>
            <w:vAlign w:val="top"/>
          </w:tcPr>
          <w:p>
            <w:pPr>
              <w:spacing w:after="20" w:line="252" w:lineRule="auto"/>
            </w:pPr>
            <w:r>
              <w:rPr>
                <w:sz w:val="17"/>
              </w:rPr>
              <w:t>Version</w:t>
            </w:r>
          </w:p>
        </w:tc>
        <w:tc>
          <w:tcPr>
            <w:tcW w:type="dxa" w:w="7632"/>
            <w:tcMar>
              <w:top w:w="70" w:type="dxa"/>
              <w:start w:w="70" w:type="dxa"/>
              <w:bottom w:w="70" w:type="dxa"/>
              <w:end w:w="70" w:type="dxa"/>
            </w:tcMar>
            <w:vAlign w:val="top"/>
          </w:tcPr>
          <w:p>
            <w:pPr>
              <w:spacing w:after="20" w:line="252" w:lineRule="auto"/>
            </w:pPr>
            <w:r>
              <w:rPr>
                <w:sz w:val="17"/>
              </w:rPr>
              <w:t>2.0</w:t>
            </w:r>
          </w:p>
        </w:tc>
      </w:tr>
      <w:tr>
        <w:tc>
          <w:tcPr>
            <w:tcW w:type="dxa" w:w="2880"/>
            <w:tcMar>
              <w:top w:w="70" w:type="dxa"/>
              <w:start w:w="70" w:type="dxa"/>
              <w:bottom w:w="70" w:type="dxa"/>
              <w:end w:w="70" w:type="dxa"/>
            </w:tcMar>
            <w:vAlign w:val="top"/>
          </w:tcPr>
          <w:p>
            <w:pPr>
              <w:spacing w:after="20" w:line="252" w:lineRule="auto"/>
            </w:pPr>
            <w:r>
              <w:rPr>
                <w:sz w:val="17"/>
              </w:rPr>
              <w:t>Date</w:t>
            </w:r>
          </w:p>
        </w:tc>
        <w:tc>
          <w:tcPr>
            <w:tcW w:type="dxa" w:w="7632"/>
            <w:tcMar>
              <w:top w:w="70" w:type="dxa"/>
              <w:start w:w="70" w:type="dxa"/>
              <w:bottom w:w="70" w:type="dxa"/>
              <w:end w:w="70" w:type="dxa"/>
            </w:tcMar>
            <w:vAlign w:val="top"/>
          </w:tcPr>
          <w:p>
            <w:pPr>
              <w:spacing w:after="20" w:line="252" w:lineRule="auto"/>
            </w:pPr>
            <w:r>
              <w:rPr>
                <w:sz w:val="17"/>
              </w:rPr>
              <w:t>April 27, 2026</w:t>
            </w:r>
          </w:p>
        </w:tc>
      </w:tr>
      <w:tr>
        <w:tc>
          <w:tcPr>
            <w:tcW w:type="dxa" w:w="2880"/>
            <w:tcMar>
              <w:top w:w="70" w:type="dxa"/>
              <w:start w:w="70" w:type="dxa"/>
              <w:bottom w:w="70" w:type="dxa"/>
              <w:end w:w="70" w:type="dxa"/>
            </w:tcMar>
            <w:vAlign w:val="top"/>
          </w:tcPr>
          <w:p>
            <w:pPr>
              <w:spacing w:after="20" w:line="252" w:lineRule="auto"/>
            </w:pPr>
            <w:r>
              <w:rPr>
                <w:sz w:val="17"/>
              </w:rPr>
              <w:t>Language</w:t>
            </w:r>
          </w:p>
        </w:tc>
        <w:tc>
          <w:tcPr>
            <w:tcW w:type="dxa" w:w="7632"/>
            <w:tcMar>
              <w:top w:w="70" w:type="dxa"/>
              <w:start w:w="70" w:type="dxa"/>
              <w:bottom w:w="70" w:type="dxa"/>
              <w:end w:w="70" w:type="dxa"/>
            </w:tcMar>
            <w:vAlign w:val="top"/>
          </w:tcPr>
          <w:p>
            <w:pPr>
              <w:spacing w:after="20" w:line="252" w:lineRule="auto"/>
            </w:pPr>
            <w:r>
              <w:rPr>
                <w:sz w:val="17"/>
              </w:rPr>
              <w:t>English</w:t>
            </w:r>
          </w:p>
        </w:tc>
      </w:tr>
      <w:tr>
        <w:tc>
          <w:tcPr>
            <w:tcW w:type="dxa" w:w="2880"/>
            <w:tcMar>
              <w:top w:w="70" w:type="dxa"/>
              <w:start w:w="70" w:type="dxa"/>
              <w:bottom w:w="70" w:type="dxa"/>
              <w:end w:w="70" w:type="dxa"/>
            </w:tcMar>
            <w:vAlign w:val="top"/>
          </w:tcPr>
          <w:p>
            <w:pPr>
              <w:spacing w:after="20" w:line="252" w:lineRule="auto"/>
            </w:pPr>
            <w:r>
              <w:rPr>
                <w:sz w:val="17"/>
              </w:rPr>
              <w:t>Status</w:t>
            </w:r>
          </w:p>
        </w:tc>
        <w:tc>
          <w:tcPr>
            <w:tcW w:type="dxa" w:w="7632"/>
            <w:tcMar>
              <w:top w:w="70" w:type="dxa"/>
              <w:start w:w="70" w:type="dxa"/>
              <w:bottom w:w="70" w:type="dxa"/>
              <w:end w:w="70" w:type="dxa"/>
            </w:tcMar>
            <w:vAlign w:val="top"/>
          </w:tcPr>
          <w:p>
            <w:pPr>
              <w:spacing w:after="20" w:line="252" w:lineRule="auto"/>
            </w:pPr>
            <w:r>
              <w:rPr>
                <w:sz w:val="17"/>
              </w:rPr>
              <w:t>Draft for architectural review</w:t>
            </w:r>
          </w:p>
        </w:tc>
      </w:tr>
      <w:tr>
        <w:tc>
          <w:tcPr>
            <w:tcW w:type="dxa" w:w="2880"/>
            <w:tcMar>
              <w:top w:w="70" w:type="dxa"/>
              <w:start w:w="70" w:type="dxa"/>
              <w:bottom w:w="70" w:type="dxa"/>
              <w:end w:w="70" w:type="dxa"/>
            </w:tcMar>
            <w:vAlign w:val="top"/>
          </w:tcPr>
          <w:p>
            <w:pPr>
              <w:spacing w:after="20" w:line="252" w:lineRule="auto"/>
            </w:pPr>
            <w:r>
              <w:rPr>
                <w:sz w:val="17"/>
              </w:rPr>
              <w:t>Technology posture</w:t>
            </w:r>
          </w:p>
        </w:tc>
        <w:tc>
          <w:tcPr>
            <w:tcW w:type="dxa" w:w="7632"/>
            <w:tcMar>
              <w:top w:w="70" w:type="dxa"/>
              <w:start w:w="70" w:type="dxa"/>
              <w:bottom w:w="70" w:type="dxa"/>
              <w:end w:w="70" w:type="dxa"/>
            </w:tcMar>
            <w:vAlign w:val="top"/>
          </w:tcPr>
          <w:p>
            <w:pPr>
              <w:spacing w:after="20" w:line="252" w:lineRule="auto"/>
            </w:pPr>
            <w:r>
              <w:rPr>
                <w:sz w:val="17"/>
              </w:rPr>
              <w:t>Technology-agnostic. No single product, vendor, framework, or platform is mandated by this architecture.</w:t>
            </w:r>
          </w:p>
        </w:tc>
      </w:tr>
      <w:tr>
        <w:tc>
          <w:tcPr>
            <w:tcW w:type="dxa" w:w="2880"/>
            <w:tcMar>
              <w:top w:w="70" w:type="dxa"/>
              <w:start w:w="70" w:type="dxa"/>
              <w:bottom w:w="70" w:type="dxa"/>
              <w:end w:w="70" w:type="dxa"/>
            </w:tcMar>
            <w:vAlign w:val="top"/>
          </w:tcPr>
          <w:p>
            <w:pPr>
              <w:spacing w:after="20" w:line="252" w:lineRule="auto"/>
            </w:pPr>
            <w:r>
              <w:rPr>
                <w:sz w:val="17"/>
              </w:rPr>
              <w:t>Scope level</w:t>
            </w:r>
          </w:p>
        </w:tc>
        <w:tc>
          <w:tcPr>
            <w:tcW w:type="dxa" w:w="7632"/>
            <w:tcMar>
              <w:top w:w="70" w:type="dxa"/>
              <w:start w:w="70" w:type="dxa"/>
              <w:bottom w:w="70" w:type="dxa"/>
              <w:end w:w="70" w:type="dxa"/>
            </w:tcMar>
            <w:vAlign w:val="top"/>
          </w:tcPr>
          <w:p>
            <w:pPr>
              <w:spacing w:after="20" w:line="252" w:lineRule="auto"/>
            </w:pPr>
            <w:r>
              <w:rPr>
                <w:sz w:val="17"/>
              </w:rPr>
              <w:t>High-level architecture plus detailed functional, non-functional, data, security, and operational requirements.</w:t>
            </w:r>
          </w:p>
        </w:tc>
      </w:tr>
    </w:tbl>
    <w:p>
      <w:pPr>
        <w:pStyle w:val="Heading2"/>
        <w:spacing w:before="240" w:after="100"/>
      </w:pPr>
      <w:r>
        <w:t>Recommended Reviewers</w:t>
      </w:r>
    </w:p>
    <w:p>
      <w:pPr>
        <w:pStyle w:val="ListBullet"/>
        <w:spacing w:after="40"/>
      </w:pPr>
      <w:r>
        <w:rPr>
          <w:sz w:val="18"/>
        </w:rPr>
        <w:t>Business sponsor or engagement owner responsible for the internal employee experience.</w:t>
      </w:r>
    </w:p>
    <w:p>
      <w:pPr>
        <w:pStyle w:val="ListBullet"/>
        <w:spacing w:after="40"/>
      </w:pPr>
      <w:r>
        <w:rPr>
          <w:sz w:val="18"/>
        </w:rPr>
        <w:t>Solution architect responsible for validating the logical architecture and integration model.</w:t>
      </w:r>
    </w:p>
    <w:p>
      <w:pPr>
        <w:pStyle w:val="ListBullet"/>
        <w:spacing w:after="40"/>
      </w:pPr>
      <w:r>
        <w:rPr>
          <w:sz w:val="18"/>
        </w:rPr>
        <w:t>Security and identity reviewer responsible for corporate-domain access restrictions and auditability.</w:t>
      </w:r>
    </w:p>
    <w:p>
      <w:pPr>
        <w:pStyle w:val="ListBullet"/>
        <w:spacing w:after="40"/>
      </w:pPr>
      <w:r>
        <w:rPr>
          <w:sz w:val="18"/>
        </w:rPr>
        <w:t>Engineering lead responsible for implementation feasibility, testability, and maintainability.</w:t>
      </w:r>
    </w:p>
    <w:p>
      <w:pPr>
        <w:pStyle w:val="ListBullet"/>
        <w:spacing w:after="40"/>
      </w:pPr>
      <w:r>
        <w:rPr>
          <w:sz w:val="18"/>
        </w:rPr>
        <w:t>Operations owner responsible for monitoring, support, incident response, and data correction procedures.</w:t>
      </w:r>
    </w:p>
    <w:p>
      <w:pPr>
        <w:pStyle w:val="ListBullet"/>
        <w:spacing w:after="40"/>
      </w:pPr>
      <w:r>
        <w:rPr>
          <w:sz w:val="18"/>
        </w:rPr>
        <w:t>Tournament administrator representative responsible for validating rules, scoring, leaderboards, and manual override needs.</w:t>
      </w:r>
    </w:p>
    <w:p>
      <w:pPr>
        <w:pStyle w:val="Heading1"/>
        <w:spacing w:before="240" w:after="100"/>
      </w:pPr>
      <w:r>
        <w:t>Table of Contents</w:t>
      </w:r>
    </w:p>
    <w:p>
      <w:pPr>
        <w:pStyle w:val="ListBullet"/>
        <w:spacing w:after="40"/>
      </w:pPr>
      <w:r>
        <w:rPr>
          <w:sz w:val="18"/>
        </w:rPr>
        <w:t>1. Executive Summary</w:t>
      </w:r>
    </w:p>
    <w:p>
      <w:pPr>
        <w:pStyle w:val="ListBullet"/>
        <w:spacing w:after="40"/>
      </w:pPr>
      <w:r>
        <w:rPr>
          <w:sz w:val="18"/>
        </w:rPr>
        <w:t>2. Vision, Objectives, and Success Criteria</w:t>
      </w:r>
    </w:p>
    <w:p>
      <w:pPr>
        <w:pStyle w:val="ListBullet"/>
        <w:spacing w:after="40"/>
      </w:pPr>
      <w:r>
        <w:rPr>
          <w:sz w:val="18"/>
        </w:rPr>
        <w:t>3. Architecture Principles</w:t>
      </w:r>
    </w:p>
    <w:p>
      <w:pPr>
        <w:pStyle w:val="ListBullet"/>
        <w:spacing w:after="40"/>
      </w:pPr>
      <w:r>
        <w:rPr>
          <w:sz w:val="18"/>
        </w:rPr>
        <w:t>4. Stakeholders and Personas</w:t>
      </w:r>
    </w:p>
    <w:p>
      <w:pPr>
        <w:pStyle w:val="ListBullet"/>
        <w:spacing w:after="40"/>
      </w:pPr>
      <w:r>
        <w:rPr>
          <w:sz w:val="18"/>
        </w:rPr>
        <w:t>5. Scope, Assumptions, and Constraints</w:t>
      </w:r>
    </w:p>
    <w:p>
      <w:pPr>
        <w:pStyle w:val="ListBullet"/>
        <w:spacing w:after="40"/>
      </w:pPr>
      <w:r>
        <w:rPr>
          <w:sz w:val="18"/>
        </w:rPr>
        <w:t>6. Functional Requirements</w:t>
      </w:r>
    </w:p>
    <w:p>
      <w:pPr>
        <w:pStyle w:val="ListBullet"/>
        <w:spacing w:after="40"/>
      </w:pPr>
      <w:r>
        <w:rPr>
          <w:sz w:val="18"/>
        </w:rPr>
        <w:t>7. Business Rules and Scoring Model</w:t>
      </w:r>
    </w:p>
    <w:p>
      <w:pPr>
        <w:pStyle w:val="ListBullet"/>
        <w:spacing w:after="40"/>
      </w:pPr>
      <w:r>
        <w:rPr>
          <w:sz w:val="18"/>
        </w:rPr>
        <w:t>8. High-Level Architecture</w:t>
      </w:r>
    </w:p>
    <w:p>
      <w:pPr>
        <w:pStyle w:val="ListBullet"/>
        <w:spacing w:after="40"/>
      </w:pPr>
      <w:r>
        <w:rPr>
          <w:sz w:val="18"/>
        </w:rPr>
        <w:t>9. Data Architecture</w:t>
      </w:r>
    </w:p>
    <w:p>
      <w:pPr>
        <w:pStyle w:val="ListBullet"/>
        <w:spacing w:after="40"/>
      </w:pPr>
      <w:r>
        <w:rPr>
          <w:sz w:val="18"/>
        </w:rPr>
        <w:t>10. Integration Architecture</w:t>
      </w:r>
    </w:p>
    <w:p>
      <w:pPr>
        <w:pStyle w:val="ListBullet"/>
        <w:spacing w:after="40"/>
      </w:pPr>
      <w:r>
        <w:rPr>
          <w:sz w:val="18"/>
        </w:rPr>
        <w:t>11. Security and Privacy Architecture</w:t>
      </w:r>
    </w:p>
    <w:p>
      <w:pPr>
        <w:pStyle w:val="ListBullet"/>
        <w:spacing w:after="40"/>
      </w:pPr>
      <w:r>
        <w:rPr>
          <w:sz w:val="18"/>
        </w:rPr>
        <w:t>12. Non-Functional Requirements</w:t>
      </w:r>
    </w:p>
    <w:p>
      <w:pPr>
        <w:pStyle w:val="ListBullet"/>
        <w:spacing w:after="40"/>
      </w:pPr>
      <w:r>
        <w:rPr>
          <w:sz w:val="18"/>
        </w:rPr>
        <w:t>13. Administration, Operations, and Observability</w:t>
      </w:r>
    </w:p>
    <w:p>
      <w:pPr>
        <w:pStyle w:val="ListBullet"/>
        <w:spacing w:after="40"/>
      </w:pPr>
      <w:r>
        <w:rPr>
          <w:sz w:val="18"/>
        </w:rPr>
        <w:t>14. User Experience and Engagement Considerations</w:t>
      </w:r>
    </w:p>
    <w:p>
      <w:pPr>
        <w:pStyle w:val="ListBullet"/>
        <w:spacing w:after="40"/>
      </w:pPr>
      <w:r>
        <w:rPr>
          <w:sz w:val="18"/>
        </w:rPr>
        <w:t>15. Quality Assurance and Acceptance Criteria</w:t>
      </w:r>
    </w:p>
    <w:p>
      <w:pPr>
        <w:pStyle w:val="ListBullet"/>
        <w:spacing w:after="40"/>
      </w:pPr>
      <w:r>
        <w:rPr>
          <w:sz w:val="18"/>
        </w:rPr>
        <w:t>16. Delivery Roadmap</w:t>
      </w:r>
    </w:p>
    <w:p>
      <w:pPr>
        <w:pStyle w:val="ListBullet"/>
        <w:spacing w:after="40"/>
      </w:pPr>
      <w:r>
        <w:rPr>
          <w:sz w:val="18"/>
        </w:rPr>
        <w:t>17. Risks, Mitigations, and Open Decisions</w:t>
      </w:r>
    </w:p>
    <w:p>
      <w:pPr>
        <w:pStyle w:val="ListBullet"/>
        <w:spacing w:after="40"/>
      </w:pPr>
      <w:r>
        <w:rPr>
          <w:sz w:val="18"/>
        </w:rPr>
        <w:t>18. Glossary and References</w:t>
      </w:r>
    </w:p>
    <w:p>
      <w:pPr>
        <w:pStyle w:val="Heading1"/>
        <w:spacing w:before="240" w:after="100"/>
      </w:pPr>
      <w:r>
        <w:t>1. Executive Summary</w:t>
      </w:r>
    </w:p>
    <w:p>
      <w:pPr>
        <w:keepLines w:val="0"/>
        <w:spacing w:after="120"/>
      </w:pPr>
      <w:r>
        <w:rPr>
          <w:b w:val="0"/>
          <w:i w:val="0"/>
        </w:rPr>
        <w:t>Nortal intends to build an internal World Cup 2026 prediction pool application for collaborators. The product should provide a secure, engaging, fair, and auditable experience where eligible users can submit match-by-match predictions, submit final tournament predictions, track points, and compare their performance through leaderboards during the tournament.</w:t>
      </w:r>
    </w:p>
    <w:p>
      <w:pPr>
        <w:keepLines w:val="0"/>
        <w:spacing w:after="120"/>
      </w:pPr>
      <w:r>
        <w:rPr>
          <w:b w:val="0"/>
          <w:i w:val="0"/>
        </w:rPr>
        <w:t>The architecture must not be tied to a single implementation technology. Instead, it should be defined around business capabilities and logical components: user experience, corporate identity enforcement, prediction management, rules and scoring, official match data synchronization, administrative controls, reporting, audit trail, monitoring, and operational support.</w:t>
      </w:r>
    </w:p>
    <w:p>
      <w:pPr>
        <w:keepLines w:val="0"/>
        <w:spacing w:after="120"/>
      </w:pPr>
      <w:r>
        <w:rPr>
          <w:b w:val="0"/>
          <w:i w:val="0"/>
        </w:rPr>
        <w:t>The most important architectural concern is fairness. Prediction deadlines, score updates, data corrections, and leaderboard calculations must be deterministic, transparent, and auditable. All time-based rules must rely on trusted server-side time and official match kickoff timestamps stored in a normalized time zone. User device time must never be used to decide whether a prediction is still editable.</w:t>
      </w:r>
    </w:p>
    <w:tbl>
      <w:tblPr>
        <w:tblW w:type="auto" w:w="0"/>
        <w:jc w:val="center"/>
        <w:tblLook w:firstColumn="1" w:firstRow="1" w:lastColumn="0" w:lastRow="0" w:noHBand="0" w:noVBand="1" w:val="04A0"/>
        <w:tblBorders>
          <w:top w:val="single" w:sz="10" w:space="0" w:color="D6B656"/>
          <w:left w:val="single" w:sz="10" w:space="0" w:color="D6B656"/>
          <w:bottom w:val="single" w:sz="10" w:space="0" w:color="D6B656"/>
          <w:right w:val="single" w:sz="10" w:space="0" w:color="D6B656"/>
          <w:insideH w:val="single" w:sz="10" w:space="0" w:color="D6B656"/>
          <w:insideV w:val="single" w:sz="10" w:space="0" w:color="D6B656"/>
        </w:tblBorders>
      </w:tblPr>
      <w:tblGrid>
        <w:gridCol w:w="10368"/>
      </w:tblGrid>
      <w:tr>
        <w:tc>
          <w:tcPr>
            <w:tcW w:type="dxa" w:w="10368"/>
            <w:shd w:fill="FFF2CC"/>
            <w:tcMar>
              <w:top w:w="120" w:type="dxa"/>
              <w:start w:w="120" w:type="dxa"/>
              <w:bottom w:w="120" w:type="dxa"/>
              <w:end w:w="120" w:type="dxa"/>
            </w:tcMar>
          </w:tcPr>
          <w:p>
            <w:pPr>
              <w:spacing w:after="60"/>
            </w:pPr>
            <w:r>
              <w:rPr>
                <w:b/>
                <w:color w:val="1F4E79"/>
                <w:sz w:val="19"/>
              </w:rPr>
              <w:t>Key change from the previous approach</w:t>
            </w:r>
          </w:p>
          <w:p>
            <w:pPr>
              <w:spacing w:after="0"/>
            </w:pPr>
            <w:r>
              <w:rPr>
                <w:sz w:val="17"/>
              </w:rPr>
              <w:t>The application should not be presented as a Power Apps-only solution or any other single-product solution. A low-code implementation, a custom web application, a hybrid model, or another approved internal platform may all be valid depending on Nortal's governance, delivery timeline, budget, licensing, security posture, and expected user adoption.</w:t>
            </w:r>
          </w:p>
        </w:tc>
      </w:tr>
    </w:tbl>
    <w:p/>
    <w:p>
      <w:pPr>
        <w:pStyle w:val="Heading2"/>
        <w:spacing w:before="240" w:after="100"/>
      </w:pPr>
      <w:r>
        <w:t>1.1 Architectural Intent</w:t>
      </w:r>
    </w:p>
    <w:p>
      <w:pPr>
        <w:pStyle w:val="ListBullet"/>
        <w:spacing w:after="40"/>
      </w:pPr>
      <w:r>
        <w:rPr>
          <w:sz w:val="18"/>
        </w:rPr>
        <w:t>Provide a high-level architecture that can be implemented using multiple technology stacks without changing the business rules.</w:t>
      </w:r>
    </w:p>
    <w:p>
      <w:pPr>
        <w:pStyle w:val="ListBullet"/>
        <w:spacing w:after="40"/>
      </w:pPr>
      <w:r>
        <w:rPr>
          <w:sz w:val="18"/>
        </w:rPr>
        <w:t>Separate business rules from presentation logic so scoring and locking rules remain consistent across web, mobile, administrative, and integration channels.</w:t>
      </w:r>
    </w:p>
    <w:p>
      <w:pPr>
        <w:pStyle w:val="ListBullet"/>
        <w:spacing w:after="40"/>
      </w:pPr>
      <w:r>
        <w:rPr>
          <w:sz w:val="18"/>
        </w:rPr>
        <w:t>Abstract the football data provider behind an integration layer so the solution can start with a free or low-cost API and later switch to a paid or more reliable provider if needed.</w:t>
      </w:r>
    </w:p>
    <w:p>
      <w:pPr>
        <w:pStyle w:val="ListBullet"/>
        <w:spacing w:after="40"/>
      </w:pPr>
      <w:r>
        <w:rPr>
          <w:sz w:val="18"/>
        </w:rPr>
        <w:t>Ensure that only Nortal collaborators with approved corporate domains can access the application.</w:t>
      </w:r>
    </w:p>
    <w:p>
      <w:pPr>
        <w:pStyle w:val="ListBullet"/>
        <w:spacing w:after="40"/>
      </w:pPr>
      <w:r>
        <w:rPr>
          <w:sz w:val="18"/>
        </w:rPr>
        <w:t>Design for tournament traffic peaks, especially shortly before match lock times and immediately after final scores are published.</w:t>
      </w:r>
    </w:p>
    <w:p>
      <w:pPr>
        <w:pStyle w:val="Heading2"/>
        <w:spacing w:before="240" w:after="100"/>
      </w:pPr>
      <w:r>
        <w:t>1.2 Recommended Architectural Direction</w:t>
      </w:r>
    </w:p>
    <w:p>
      <w:pPr>
        <w:keepLines w:val="0"/>
        <w:spacing w:after="120"/>
      </w:pPr>
      <w:r>
        <w:rPr>
          <w:b w:val="0"/>
          <w:i w:val="0"/>
        </w:rPr>
        <w:t>The recommended direction is a modular, provider-agnostic application architecture. The application should expose a single consistent experience to collaborators while internally separating user access, prediction capture, scoring, data synchronization, administration, and reporting into well-defined logical services or modules. This does not require microservices; it requires clear separation of responsibilities.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592"/>
            <w:shd w:fill="1F4E79"/>
            <w:tcMar>
              <w:top w:w="80" w:type="dxa"/>
              <w:start w:w="80" w:type="dxa"/>
              <w:bottom w:w="80" w:type="dxa"/>
              <w:end w:w="80" w:type="dxa"/>
            </w:tcMar>
            <w:vAlign w:val="center"/>
          </w:tcPr>
          <w:p>
            <w:pPr>
              <w:jc w:val="center"/>
            </w:pPr>
            <w:r>
              <w:rPr>
                <w:b/>
                <w:color w:val="FFFFFF"/>
                <w:sz w:val="16"/>
              </w:rPr>
              <w:t>Architectural capability</w:t>
            </w:r>
          </w:p>
        </w:tc>
        <w:tc>
          <w:tcPr>
            <w:tcW w:type="dxa" w:w="4176"/>
            <w:shd w:fill="1F4E79"/>
            <w:tcMar>
              <w:top w:w="80" w:type="dxa"/>
              <w:start w:w="80" w:type="dxa"/>
              <w:bottom w:w="80" w:type="dxa"/>
              <w:end w:w="80" w:type="dxa"/>
            </w:tcMar>
            <w:vAlign w:val="center"/>
          </w:tcPr>
          <w:p>
            <w:pPr>
              <w:jc w:val="center"/>
            </w:pPr>
            <w:r>
              <w:rPr>
                <w:b/>
                <w:color w:val="FFFFFF"/>
                <w:sz w:val="16"/>
              </w:rPr>
              <w:t>Purpose</w:t>
            </w:r>
          </w:p>
        </w:tc>
        <w:tc>
          <w:tcPr>
            <w:tcW w:type="dxa" w:w="4032"/>
            <w:shd w:fill="1F4E79"/>
            <w:tcMar>
              <w:top w:w="80" w:type="dxa"/>
              <w:start w:w="80" w:type="dxa"/>
              <w:bottom w:w="80" w:type="dxa"/>
              <w:end w:w="80" w:type="dxa"/>
            </w:tcMar>
            <w:vAlign w:val="center"/>
          </w:tcPr>
          <w:p>
            <w:pPr>
              <w:jc w:val="center"/>
            </w:pPr>
            <w:r>
              <w:rPr>
                <w:b/>
                <w:color w:val="FFFFFF"/>
                <w:sz w:val="16"/>
              </w:rPr>
              <w:t>Why it matters</w:t>
            </w:r>
          </w:p>
        </w:tc>
      </w:tr>
      <w:tr>
        <w:tc>
          <w:tcPr>
            <w:tcW w:type="dxa" w:w="2592"/>
            <w:tcMar>
              <w:top w:w="70" w:type="dxa"/>
              <w:start w:w="70" w:type="dxa"/>
              <w:bottom w:w="70" w:type="dxa"/>
              <w:end w:w="70" w:type="dxa"/>
            </w:tcMar>
            <w:vAlign w:val="top"/>
          </w:tcPr>
          <w:p>
            <w:pPr>
              <w:spacing w:after="20" w:line="252" w:lineRule="auto"/>
            </w:pPr>
            <w:r>
              <w:rPr>
                <w:sz w:val="16"/>
              </w:rPr>
              <w:t>Corporate access boundary</w:t>
            </w:r>
          </w:p>
        </w:tc>
        <w:tc>
          <w:tcPr>
            <w:tcW w:type="dxa" w:w="4176"/>
            <w:tcMar>
              <w:top w:w="70" w:type="dxa"/>
              <w:start w:w="70" w:type="dxa"/>
              <w:bottom w:w="70" w:type="dxa"/>
              <w:end w:w="70" w:type="dxa"/>
            </w:tcMar>
            <w:vAlign w:val="top"/>
          </w:tcPr>
          <w:p>
            <w:pPr>
              <w:spacing w:after="20" w:line="252" w:lineRule="auto"/>
            </w:pPr>
            <w:r>
              <w:rPr>
                <w:sz w:val="16"/>
              </w:rPr>
              <w:t>Authenticate users and verify they belong to the allowed Nortal domain or approved Nortal identity tenant.</w:t>
            </w:r>
          </w:p>
        </w:tc>
        <w:tc>
          <w:tcPr>
            <w:tcW w:type="dxa" w:w="4032"/>
            <w:tcMar>
              <w:top w:w="70" w:type="dxa"/>
              <w:start w:w="70" w:type="dxa"/>
              <w:bottom w:w="70" w:type="dxa"/>
              <w:end w:w="70" w:type="dxa"/>
            </w:tcMar>
            <w:vAlign w:val="top"/>
          </w:tcPr>
          <w:p>
            <w:pPr>
              <w:spacing w:after="20" w:line="252" w:lineRule="auto"/>
            </w:pPr>
            <w:r>
              <w:rPr>
                <w:sz w:val="16"/>
              </w:rPr>
              <w:t>Prevents participation from external email addresses and protects internal engagement data.</w:t>
            </w:r>
          </w:p>
        </w:tc>
      </w:tr>
      <w:tr>
        <w:tc>
          <w:tcPr>
            <w:tcW w:type="dxa" w:w="2592"/>
            <w:tcMar>
              <w:top w:w="70" w:type="dxa"/>
              <w:start w:w="70" w:type="dxa"/>
              <w:bottom w:w="70" w:type="dxa"/>
              <w:end w:w="70" w:type="dxa"/>
            </w:tcMar>
            <w:vAlign w:val="top"/>
          </w:tcPr>
          <w:p>
            <w:pPr>
              <w:spacing w:after="20" w:line="252" w:lineRule="auto"/>
            </w:pPr>
            <w:r>
              <w:rPr>
                <w:sz w:val="16"/>
              </w:rPr>
              <w:t>Prediction management</w:t>
            </w:r>
          </w:p>
        </w:tc>
        <w:tc>
          <w:tcPr>
            <w:tcW w:type="dxa" w:w="4176"/>
            <w:tcMar>
              <w:top w:w="70" w:type="dxa"/>
              <w:start w:w="70" w:type="dxa"/>
              <w:bottom w:w="70" w:type="dxa"/>
              <w:end w:w="70" w:type="dxa"/>
            </w:tcMar>
            <w:vAlign w:val="top"/>
          </w:tcPr>
          <w:p>
            <w:pPr>
              <w:spacing w:after="20" w:line="252" w:lineRule="auto"/>
            </w:pPr>
            <w:r>
              <w:rPr>
                <w:sz w:val="16"/>
              </w:rPr>
              <w:t>Allow users to create and update match predictions while respecting lock windows.</w:t>
            </w:r>
          </w:p>
        </w:tc>
        <w:tc>
          <w:tcPr>
            <w:tcW w:type="dxa" w:w="4032"/>
            <w:tcMar>
              <w:top w:w="70" w:type="dxa"/>
              <w:start w:w="70" w:type="dxa"/>
              <w:bottom w:w="70" w:type="dxa"/>
              <w:end w:w="70" w:type="dxa"/>
            </w:tcMar>
            <w:vAlign w:val="top"/>
          </w:tcPr>
          <w:p>
            <w:pPr>
              <w:spacing w:after="20" w:line="252" w:lineRule="auto"/>
            </w:pPr>
            <w:r>
              <w:rPr>
                <w:sz w:val="16"/>
              </w:rPr>
              <w:t>Core product value; must be reliable and easy to use under time pressure.</w:t>
            </w:r>
          </w:p>
        </w:tc>
      </w:tr>
      <w:tr>
        <w:tc>
          <w:tcPr>
            <w:tcW w:type="dxa" w:w="2592"/>
            <w:tcMar>
              <w:top w:w="70" w:type="dxa"/>
              <w:start w:w="70" w:type="dxa"/>
              <w:bottom w:w="70" w:type="dxa"/>
              <w:end w:w="70" w:type="dxa"/>
            </w:tcMar>
            <w:vAlign w:val="top"/>
          </w:tcPr>
          <w:p>
            <w:pPr>
              <w:spacing w:after="20" w:line="252" w:lineRule="auto"/>
            </w:pPr>
            <w:r>
              <w:rPr>
                <w:sz w:val="16"/>
              </w:rPr>
              <w:t>Tournament final predictions</w:t>
            </w:r>
          </w:p>
        </w:tc>
        <w:tc>
          <w:tcPr>
            <w:tcW w:type="dxa" w:w="4176"/>
            <w:tcMar>
              <w:top w:w="70" w:type="dxa"/>
              <w:start w:w="70" w:type="dxa"/>
              <w:bottom w:w="70" w:type="dxa"/>
              <w:end w:w="70" w:type="dxa"/>
            </w:tcMar>
            <w:vAlign w:val="top"/>
          </w:tcPr>
          <w:p>
            <w:pPr>
              <w:spacing w:after="20" w:line="252" w:lineRule="auto"/>
            </w:pPr>
            <w:r>
              <w:rPr>
                <w:sz w:val="16"/>
              </w:rPr>
              <w:t>Allow predictions for top scorer, best player, champion, and runner-up before the first match starts.</w:t>
            </w:r>
          </w:p>
        </w:tc>
        <w:tc>
          <w:tcPr>
            <w:tcW w:type="dxa" w:w="4032"/>
            <w:tcMar>
              <w:top w:w="70" w:type="dxa"/>
              <w:start w:w="70" w:type="dxa"/>
              <w:bottom w:w="70" w:type="dxa"/>
              <w:end w:w="70" w:type="dxa"/>
            </w:tcMar>
            <w:vAlign w:val="top"/>
          </w:tcPr>
          <w:p>
            <w:pPr>
              <w:spacing w:after="20" w:line="252" w:lineRule="auto"/>
            </w:pPr>
            <w:r>
              <w:rPr>
                <w:sz w:val="16"/>
              </w:rPr>
              <w:t>Creates long-term engagement and additional scoring mechanics.</w:t>
            </w:r>
          </w:p>
        </w:tc>
      </w:tr>
      <w:tr>
        <w:tc>
          <w:tcPr>
            <w:tcW w:type="dxa" w:w="2592"/>
            <w:tcMar>
              <w:top w:w="70" w:type="dxa"/>
              <w:start w:w="70" w:type="dxa"/>
              <w:bottom w:w="70" w:type="dxa"/>
              <w:end w:w="70" w:type="dxa"/>
            </w:tcMar>
            <w:vAlign w:val="top"/>
          </w:tcPr>
          <w:p>
            <w:pPr>
              <w:spacing w:after="20" w:line="252" w:lineRule="auto"/>
            </w:pPr>
            <w:r>
              <w:rPr>
                <w:sz w:val="16"/>
              </w:rPr>
              <w:t>Rules and scoring engine</w:t>
            </w:r>
          </w:p>
        </w:tc>
        <w:tc>
          <w:tcPr>
            <w:tcW w:type="dxa" w:w="4176"/>
            <w:tcMar>
              <w:top w:w="70" w:type="dxa"/>
              <w:start w:w="70" w:type="dxa"/>
              <w:bottom w:w="70" w:type="dxa"/>
              <w:end w:w="70" w:type="dxa"/>
            </w:tcMar>
            <w:vAlign w:val="top"/>
          </w:tcPr>
          <w:p>
            <w:pPr>
              <w:spacing w:after="20" w:line="252" w:lineRule="auto"/>
            </w:pPr>
            <w:r>
              <w:rPr>
                <w:sz w:val="16"/>
              </w:rPr>
              <w:t>Apply scoring rules consistently for exact score, winner/draw, and final prediction items.</w:t>
            </w:r>
          </w:p>
        </w:tc>
        <w:tc>
          <w:tcPr>
            <w:tcW w:type="dxa" w:w="4032"/>
            <w:tcMar>
              <w:top w:w="70" w:type="dxa"/>
              <w:start w:w="70" w:type="dxa"/>
              <w:bottom w:w="70" w:type="dxa"/>
              <w:end w:w="70" w:type="dxa"/>
            </w:tcMar>
            <w:vAlign w:val="top"/>
          </w:tcPr>
          <w:p>
            <w:pPr>
              <w:spacing w:after="20" w:line="252" w:lineRule="auto"/>
            </w:pPr>
            <w:r>
              <w:rPr>
                <w:sz w:val="16"/>
              </w:rPr>
              <w:t>Prevents disputes and allows recalculation if official data changes.</w:t>
            </w:r>
          </w:p>
        </w:tc>
      </w:tr>
      <w:tr>
        <w:tc>
          <w:tcPr>
            <w:tcW w:type="dxa" w:w="2592"/>
            <w:tcMar>
              <w:top w:w="70" w:type="dxa"/>
              <w:start w:w="70" w:type="dxa"/>
              <w:bottom w:w="70" w:type="dxa"/>
              <w:end w:w="70" w:type="dxa"/>
            </w:tcMar>
            <w:vAlign w:val="top"/>
          </w:tcPr>
          <w:p>
            <w:pPr>
              <w:spacing w:after="20" w:line="252" w:lineRule="auto"/>
            </w:pPr>
            <w:r>
              <w:rPr>
                <w:sz w:val="16"/>
              </w:rPr>
              <w:t>Match data integration</w:t>
            </w:r>
          </w:p>
        </w:tc>
        <w:tc>
          <w:tcPr>
            <w:tcW w:type="dxa" w:w="4176"/>
            <w:tcMar>
              <w:top w:w="70" w:type="dxa"/>
              <w:start w:w="70" w:type="dxa"/>
              <w:bottom w:w="70" w:type="dxa"/>
              <w:end w:w="70" w:type="dxa"/>
            </w:tcMar>
            <w:vAlign w:val="top"/>
          </w:tcPr>
          <w:p>
            <w:pPr>
              <w:spacing w:after="20" w:line="252" w:lineRule="auto"/>
            </w:pPr>
            <w:r>
              <w:rPr>
                <w:sz w:val="16"/>
              </w:rPr>
              <w:t>Synchronize fixtures, kickoff times, statuses, and final scores from one or more trusted sources.</w:t>
            </w:r>
          </w:p>
        </w:tc>
        <w:tc>
          <w:tcPr>
            <w:tcW w:type="dxa" w:w="4032"/>
            <w:tcMar>
              <w:top w:w="70" w:type="dxa"/>
              <w:start w:w="70" w:type="dxa"/>
              <w:bottom w:w="70" w:type="dxa"/>
              <w:end w:w="70" w:type="dxa"/>
            </w:tcMar>
            <w:vAlign w:val="top"/>
          </w:tcPr>
          <w:p>
            <w:pPr>
              <w:spacing w:after="20" w:line="252" w:lineRule="auto"/>
            </w:pPr>
            <w:r>
              <w:rPr>
                <w:sz w:val="16"/>
              </w:rPr>
              <w:t>Reduces manual work and keeps the pool aligned with official results.</w:t>
            </w:r>
          </w:p>
        </w:tc>
      </w:tr>
      <w:tr>
        <w:tc>
          <w:tcPr>
            <w:tcW w:type="dxa" w:w="2592"/>
            <w:tcMar>
              <w:top w:w="70" w:type="dxa"/>
              <w:start w:w="70" w:type="dxa"/>
              <w:bottom w:w="70" w:type="dxa"/>
              <w:end w:w="70" w:type="dxa"/>
            </w:tcMar>
            <w:vAlign w:val="top"/>
          </w:tcPr>
          <w:p>
            <w:pPr>
              <w:spacing w:after="20" w:line="252" w:lineRule="auto"/>
            </w:pPr>
            <w:r>
              <w:rPr>
                <w:sz w:val="16"/>
              </w:rPr>
              <w:t>Leaderboard and analytics</w:t>
            </w:r>
          </w:p>
        </w:tc>
        <w:tc>
          <w:tcPr>
            <w:tcW w:type="dxa" w:w="4176"/>
            <w:tcMar>
              <w:top w:w="70" w:type="dxa"/>
              <w:start w:w="70" w:type="dxa"/>
              <w:bottom w:w="70" w:type="dxa"/>
              <w:end w:w="70" w:type="dxa"/>
            </w:tcMar>
            <w:vAlign w:val="top"/>
          </w:tcPr>
          <w:p>
            <w:pPr>
              <w:spacing w:after="20" w:line="252" w:lineRule="auto"/>
            </w:pPr>
            <w:r>
              <w:rPr>
                <w:sz w:val="16"/>
              </w:rPr>
              <w:t>Present rankings, personal progress, match-level points, and summary statistics.</w:t>
            </w:r>
          </w:p>
        </w:tc>
        <w:tc>
          <w:tcPr>
            <w:tcW w:type="dxa" w:w="4032"/>
            <w:tcMar>
              <w:top w:w="70" w:type="dxa"/>
              <w:start w:w="70" w:type="dxa"/>
              <w:bottom w:w="70" w:type="dxa"/>
              <w:end w:w="70" w:type="dxa"/>
            </w:tcMar>
            <w:vAlign w:val="top"/>
          </w:tcPr>
          <w:p>
            <w:pPr>
              <w:spacing w:after="20" w:line="252" w:lineRule="auto"/>
            </w:pPr>
            <w:r>
              <w:rPr>
                <w:sz w:val="16"/>
              </w:rPr>
              <w:t>Drives engagement and transparency.</w:t>
            </w:r>
          </w:p>
        </w:tc>
      </w:tr>
      <w:tr>
        <w:tc>
          <w:tcPr>
            <w:tcW w:type="dxa" w:w="2592"/>
            <w:tcMar>
              <w:top w:w="70" w:type="dxa"/>
              <w:start w:w="70" w:type="dxa"/>
              <w:bottom w:w="70" w:type="dxa"/>
              <w:end w:w="70" w:type="dxa"/>
            </w:tcMar>
            <w:vAlign w:val="top"/>
          </w:tcPr>
          <w:p>
            <w:pPr>
              <w:spacing w:after="20" w:line="252" w:lineRule="auto"/>
            </w:pPr>
            <w:r>
              <w:rPr>
                <w:sz w:val="16"/>
              </w:rPr>
              <w:t>Administration and operations</w:t>
            </w:r>
          </w:p>
        </w:tc>
        <w:tc>
          <w:tcPr>
            <w:tcW w:type="dxa" w:w="4176"/>
            <w:tcMar>
              <w:top w:w="70" w:type="dxa"/>
              <w:start w:w="70" w:type="dxa"/>
              <w:bottom w:w="70" w:type="dxa"/>
              <w:end w:w="70" w:type="dxa"/>
            </w:tcMar>
            <w:vAlign w:val="top"/>
          </w:tcPr>
          <w:p>
            <w:pPr>
              <w:spacing w:after="20" w:line="252" w:lineRule="auto"/>
            </w:pPr>
            <w:r>
              <w:rPr>
                <w:sz w:val="16"/>
              </w:rPr>
              <w:t>Support configuration, manual corrections, audits, and tournament monitoring.</w:t>
            </w:r>
          </w:p>
        </w:tc>
        <w:tc>
          <w:tcPr>
            <w:tcW w:type="dxa" w:w="4032"/>
            <w:tcMar>
              <w:top w:w="70" w:type="dxa"/>
              <w:start w:w="70" w:type="dxa"/>
              <w:bottom w:w="70" w:type="dxa"/>
              <w:end w:w="70" w:type="dxa"/>
            </w:tcMar>
            <w:vAlign w:val="top"/>
          </w:tcPr>
          <w:p>
            <w:pPr>
              <w:spacing w:after="20" w:line="252" w:lineRule="auto"/>
            </w:pPr>
            <w:r>
              <w:rPr>
                <w:sz w:val="16"/>
              </w:rPr>
              <w:t>Provides resilience when APIs fail or match data requires correction.</w:t>
            </w:r>
          </w:p>
        </w:tc>
      </w:tr>
    </w:tbl>
    <w:p>
      <w:pPr>
        <w:pStyle w:val="Heading1"/>
        <w:spacing w:before="240" w:after="100"/>
      </w:pPr>
      <w:r>
        <w:t>2. Vision, Objectives, and Success Criteria</w:t>
      </w:r>
    </w:p>
    <w:p>
      <w:pPr>
        <w:pStyle w:val="Heading2"/>
        <w:spacing w:before="240" w:after="100"/>
      </w:pPr>
      <w:r>
        <w:t>2.1 Product Vision</w:t>
      </w:r>
    </w:p>
    <w:p>
      <w:pPr>
        <w:keepLines w:val="0"/>
        <w:spacing w:after="120"/>
      </w:pPr>
      <w:r>
        <w:rPr>
          <w:b w:val="0"/>
          <w:i w:val="0"/>
        </w:rPr>
        <w:t>The product vision is to create a secure internal competition that increases employee engagement during the FIFA World Cup 2026 while remaining simple enough for broad adoption and robust enough to withstand tournament-specific edge cases.</w:t>
      </w:r>
    </w:p>
    <w:p>
      <w:pPr>
        <w:pStyle w:val="Heading2"/>
        <w:spacing w:before="240" w:after="100"/>
      </w:pPr>
      <w:r>
        <w:t>2.2 Business Objectives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160"/>
            <w:shd w:fill="1F4E79"/>
            <w:tcMar>
              <w:top w:w="80" w:type="dxa"/>
              <w:start w:w="80" w:type="dxa"/>
              <w:bottom w:w="80" w:type="dxa"/>
              <w:end w:w="80" w:type="dxa"/>
            </w:tcMar>
            <w:vAlign w:val="center"/>
          </w:tcPr>
          <w:p>
            <w:pPr>
              <w:jc w:val="center"/>
            </w:pPr>
            <w:r>
              <w:rPr>
                <w:b/>
                <w:color w:val="FFFFFF"/>
                <w:sz w:val="16"/>
              </w:rPr>
              <w:t>Objective</w:t>
            </w:r>
          </w:p>
        </w:tc>
        <w:tc>
          <w:tcPr>
            <w:tcW w:type="dxa" w:w="4752"/>
            <w:shd w:fill="1F4E79"/>
            <w:tcMar>
              <w:top w:w="80" w:type="dxa"/>
              <w:start w:w="80" w:type="dxa"/>
              <w:bottom w:w="80" w:type="dxa"/>
              <w:end w:w="80" w:type="dxa"/>
            </w:tcMar>
            <w:vAlign w:val="center"/>
          </w:tcPr>
          <w:p>
            <w:pPr>
              <w:jc w:val="center"/>
            </w:pPr>
            <w:r>
              <w:rPr>
                <w:b/>
                <w:color w:val="FFFFFF"/>
                <w:sz w:val="16"/>
              </w:rPr>
              <w:t>Description</w:t>
            </w:r>
          </w:p>
        </w:tc>
        <w:tc>
          <w:tcPr>
            <w:tcW w:type="dxa" w:w="3888"/>
            <w:shd w:fill="1F4E79"/>
            <w:tcMar>
              <w:top w:w="80" w:type="dxa"/>
              <w:start w:w="80" w:type="dxa"/>
              <w:bottom w:w="80" w:type="dxa"/>
              <w:end w:w="80" w:type="dxa"/>
            </w:tcMar>
            <w:vAlign w:val="center"/>
          </w:tcPr>
          <w:p>
            <w:pPr>
              <w:jc w:val="center"/>
            </w:pPr>
            <w:r>
              <w:rPr>
                <w:b/>
                <w:color w:val="FFFFFF"/>
                <w:sz w:val="16"/>
              </w:rPr>
              <w:t>Success indicator</w:t>
            </w:r>
          </w:p>
        </w:tc>
      </w:tr>
      <w:tr>
        <w:tc>
          <w:tcPr>
            <w:tcW w:type="dxa" w:w="2160"/>
            <w:tcMar>
              <w:top w:w="70" w:type="dxa"/>
              <w:start w:w="70" w:type="dxa"/>
              <w:bottom w:w="70" w:type="dxa"/>
              <w:end w:w="70" w:type="dxa"/>
            </w:tcMar>
            <w:vAlign w:val="top"/>
          </w:tcPr>
          <w:p>
            <w:pPr>
              <w:spacing w:after="20" w:line="252" w:lineRule="auto"/>
            </w:pPr>
            <w:r>
              <w:rPr>
                <w:sz w:val="16"/>
              </w:rPr>
              <w:t>Engagement</w:t>
            </w:r>
          </w:p>
        </w:tc>
        <w:tc>
          <w:tcPr>
            <w:tcW w:type="dxa" w:w="4752"/>
            <w:tcMar>
              <w:top w:w="70" w:type="dxa"/>
              <w:start w:w="70" w:type="dxa"/>
              <w:bottom w:w="70" w:type="dxa"/>
              <w:end w:w="70" w:type="dxa"/>
            </w:tcMar>
            <w:vAlign w:val="top"/>
          </w:tcPr>
          <w:p>
            <w:pPr>
              <w:spacing w:after="20" w:line="252" w:lineRule="auto"/>
            </w:pPr>
            <w:r>
              <w:rPr>
                <w:sz w:val="16"/>
              </w:rPr>
              <w:t>Encourage Nortal collaborators to participate before and throughout the tournament.</w:t>
            </w:r>
          </w:p>
        </w:tc>
        <w:tc>
          <w:tcPr>
            <w:tcW w:type="dxa" w:w="3888"/>
            <w:tcMar>
              <w:top w:w="70" w:type="dxa"/>
              <w:start w:w="70" w:type="dxa"/>
              <w:bottom w:w="70" w:type="dxa"/>
              <w:end w:w="70" w:type="dxa"/>
            </w:tcMar>
            <w:vAlign w:val="top"/>
          </w:tcPr>
          <w:p>
            <w:pPr>
              <w:spacing w:after="20" w:line="252" w:lineRule="auto"/>
            </w:pPr>
            <w:r>
              <w:rPr>
                <w:sz w:val="16"/>
              </w:rPr>
              <w:t>High registration rate, repeated visits, and prediction completion rate.</w:t>
            </w:r>
          </w:p>
        </w:tc>
      </w:tr>
      <w:tr>
        <w:tc>
          <w:tcPr>
            <w:tcW w:type="dxa" w:w="2160"/>
            <w:tcMar>
              <w:top w:w="70" w:type="dxa"/>
              <w:start w:w="70" w:type="dxa"/>
              <w:bottom w:w="70" w:type="dxa"/>
              <w:end w:w="70" w:type="dxa"/>
            </w:tcMar>
            <w:vAlign w:val="top"/>
          </w:tcPr>
          <w:p>
            <w:pPr>
              <w:spacing w:after="20" w:line="252" w:lineRule="auto"/>
            </w:pPr>
            <w:r>
              <w:rPr>
                <w:sz w:val="16"/>
              </w:rPr>
              <w:t>Fairness</w:t>
            </w:r>
          </w:p>
        </w:tc>
        <w:tc>
          <w:tcPr>
            <w:tcW w:type="dxa" w:w="4752"/>
            <w:tcMar>
              <w:top w:w="70" w:type="dxa"/>
              <w:start w:w="70" w:type="dxa"/>
              <w:bottom w:w="70" w:type="dxa"/>
              <w:end w:w="70" w:type="dxa"/>
            </w:tcMar>
            <w:vAlign w:val="top"/>
          </w:tcPr>
          <w:p>
            <w:pPr>
              <w:spacing w:after="20" w:line="252" w:lineRule="auto"/>
            </w:pPr>
            <w:r>
              <w:rPr>
                <w:sz w:val="16"/>
              </w:rPr>
              <w:t>Ensure all participants are subject to identical deadlines and scoring rules.</w:t>
            </w:r>
          </w:p>
        </w:tc>
        <w:tc>
          <w:tcPr>
            <w:tcW w:type="dxa" w:w="3888"/>
            <w:tcMar>
              <w:top w:w="70" w:type="dxa"/>
              <w:start w:w="70" w:type="dxa"/>
              <w:bottom w:w="70" w:type="dxa"/>
              <w:end w:w="70" w:type="dxa"/>
            </w:tcMar>
            <w:vAlign w:val="top"/>
          </w:tcPr>
          <w:p>
            <w:pPr>
              <w:spacing w:after="20" w:line="252" w:lineRule="auto"/>
            </w:pPr>
            <w:r>
              <w:rPr>
                <w:sz w:val="16"/>
              </w:rPr>
              <w:t>No confirmed disputes caused by inconsistent locks or score calculations.</w:t>
            </w:r>
          </w:p>
        </w:tc>
      </w:tr>
      <w:tr>
        <w:tc>
          <w:tcPr>
            <w:tcW w:type="dxa" w:w="2160"/>
            <w:tcMar>
              <w:top w:w="70" w:type="dxa"/>
              <w:start w:w="70" w:type="dxa"/>
              <w:bottom w:w="70" w:type="dxa"/>
              <w:end w:w="70" w:type="dxa"/>
            </w:tcMar>
            <w:vAlign w:val="top"/>
          </w:tcPr>
          <w:p>
            <w:pPr>
              <w:spacing w:after="20" w:line="252" w:lineRule="auto"/>
            </w:pPr>
            <w:r>
              <w:rPr>
                <w:sz w:val="16"/>
              </w:rPr>
              <w:t>Transparency</w:t>
            </w:r>
          </w:p>
        </w:tc>
        <w:tc>
          <w:tcPr>
            <w:tcW w:type="dxa" w:w="4752"/>
            <w:tcMar>
              <w:top w:w="70" w:type="dxa"/>
              <w:start w:w="70" w:type="dxa"/>
              <w:bottom w:w="70" w:type="dxa"/>
              <w:end w:w="70" w:type="dxa"/>
            </w:tcMar>
            <w:vAlign w:val="top"/>
          </w:tcPr>
          <w:p>
            <w:pPr>
              <w:spacing w:after="20" w:line="252" w:lineRule="auto"/>
            </w:pPr>
            <w:r>
              <w:rPr>
                <w:sz w:val="16"/>
              </w:rPr>
              <w:t>Make points, prediction locks, and leaderboard calculations understandable.</w:t>
            </w:r>
          </w:p>
        </w:tc>
        <w:tc>
          <w:tcPr>
            <w:tcW w:type="dxa" w:w="3888"/>
            <w:tcMar>
              <w:top w:w="70" w:type="dxa"/>
              <w:start w:w="70" w:type="dxa"/>
              <w:bottom w:w="70" w:type="dxa"/>
              <w:end w:w="70" w:type="dxa"/>
            </w:tcMar>
            <w:vAlign w:val="top"/>
          </w:tcPr>
          <w:p>
            <w:pPr>
              <w:spacing w:after="20" w:line="252" w:lineRule="auto"/>
            </w:pPr>
            <w:r>
              <w:rPr>
                <w:sz w:val="16"/>
              </w:rPr>
              <w:t>Users can explain why they received a specific score.</w:t>
            </w:r>
          </w:p>
        </w:tc>
      </w:tr>
      <w:tr>
        <w:tc>
          <w:tcPr>
            <w:tcW w:type="dxa" w:w="2160"/>
            <w:tcMar>
              <w:top w:w="70" w:type="dxa"/>
              <w:start w:w="70" w:type="dxa"/>
              <w:bottom w:w="70" w:type="dxa"/>
              <w:end w:w="70" w:type="dxa"/>
            </w:tcMar>
            <w:vAlign w:val="top"/>
          </w:tcPr>
          <w:p>
            <w:pPr>
              <w:spacing w:after="20" w:line="252" w:lineRule="auto"/>
            </w:pPr>
            <w:r>
              <w:rPr>
                <w:sz w:val="16"/>
              </w:rPr>
              <w:t>Security</w:t>
            </w:r>
          </w:p>
        </w:tc>
        <w:tc>
          <w:tcPr>
            <w:tcW w:type="dxa" w:w="4752"/>
            <w:tcMar>
              <w:top w:w="70" w:type="dxa"/>
              <w:start w:w="70" w:type="dxa"/>
              <w:bottom w:w="70" w:type="dxa"/>
              <w:end w:w="70" w:type="dxa"/>
            </w:tcMar>
            <w:vAlign w:val="top"/>
          </w:tcPr>
          <w:p>
            <w:pPr>
              <w:spacing w:after="20" w:line="252" w:lineRule="auto"/>
            </w:pPr>
            <w:r>
              <w:rPr>
                <w:sz w:val="16"/>
              </w:rPr>
              <w:t>Restrict access to eligible Nortal users only.</w:t>
            </w:r>
          </w:p>
        </w:tc>
        <w:tc>
          <w:tcPr>
            <w:tcW w:type="dxa" w:w="3888"/>
            <w:tcMar>
              <w:top w:w="70" w:type="dxa"/>
              <w:start w:w="70" w:type="dxa"/>
              <w:bottom w:w="70" w:type="dxa"/>
              <w:end w:w="70" w:type="dxa"/>
            </w:tcMar>
            <w:vAlign w:val="top"/>
          </w:tcPr>
          <w:p>
            <w:pPr>
              <w:spacing w:after="20" w:line="252" w:lineRule="auto"/>
            </w:pPr>
            <w:r>
              <w:rPr>
                <w:sz w:val="16"/>
              </w:rPr>
              <w:t>No successful login or registration with non-approved domains.</w:t>
            </w:r>
          </w:p>
        </w:tc>
      </w:tr>
      <w:tr>
        <w:tc>
          <w:tcPr>
            <w:tcW w:type="dxa" w:w="2160"/>
            <w:tcMar>
              <w:top w:w="70" w:type="dxa"/>
              <w:start w:w="70" w:type="dxa"/>
              <w:bottom w:w="70" w:type="dxa"/>
              <w:end w:w="70" w:type="dxa"/>
            </w:tcMar>
            <w:vAlign w:val="top"/>
          </w:tcPr>
          <w:p>
            <w:pPr>
              <w:spacing w:after="20" w:line="252" w:lineRule="auto"/>
            </w:pPr>
            <w:r>
              <w:rPr>
                <w:sz w:val="16"/>
              </w:rPr>
              <w:t>Operational reliability</w:t>
            </w:r>
          </w:p>
        </w:tc>
        <w:tc>
          <w:tcPr>
            <w:tcW w:type="dxa" w:w="4752"/>
            <w:tcMar>
              <w:top w:w="70" w:type="dxa"/>
              <w:start w:w="70" w:type="dxa"/>
              <w:bottom w:w="70" w:type="dxa"/>
              <w:end w:w="70" w:type="dxa"/>
            </w:tcMar>
            <w:vAlign w:val="top"/>
          </w:tcPr>
          <w:p>
            <w:pPr>
              <w:spacing w:after="20" w:line="252" w:lineRule="auto"/>
            </w:pPr>
            <w:r>
              <w:rPr>
                <w:sz w:val="16"/>
              </w:rPr>
              <w:t>Handle match-day updates, API limitations, and manual correction scenarios.</w:t>
            </w:r>
          </w:p>
        </w:tc>
        <w:tc>
          <w:tcPr>
            <w:tcW w:type="dxa" w:w="3888"/>
            <w:tcMar>
              <w:top w:w="70" w:type="dxa"/>
              <w:start w:w="70" w:type="dxa"/>
              <w:bottom w:w="70" w:type="dxa"/>
              <w:end w:w="70" w:type="dxa"/>
            </w:tcMar>
            <w:vAlign w:val="top"/>
          </w:tcPr>
          <w:p>
            <w:pPr>
              <w:spacing w:after="20" w:line="252" w:lineRule="auto"/>
            </w:pPr>
            <w:r>
              <w:rPr>
                <w:sz w:val="16"/>
              </w:rPr>
              <w:t>Scores and leaderboards update within agreed service targets.</w:t>
            </w:r>
          </w:p>
        </w:tc>
      </w:tr>
      <w:tr>
        <w:tc>
          <w:tcPr>
            <w:tcW w:type="dxa" w:w="2160"/>
            <w:tcMar>
              <w:top w:w="70" w:type="dxa"/>
              <w:start w:w="70" w:type="dxa"/>
              <w:bottom w:w="70" w:type="dxa"/>
              <w:end w:w="70" w:type="dxa"/>
            </w:tcMar>
            <w:vAlign w:val="top"/>
          </w:tcPr>
          <w:p>
            <w:pPr>
              <w:spacing w:after="20" w:line="252" w:lineRule="auto"/>
            </w:pPr>
            <w:r>
              <w:rPr>
                <w:sz w:val="16"/>
              </w:rPr>
              <w:t>Extensibility</w:t>
            </w:r>
          </w:p>
        </w:tc>
        <w:tc>
          <w:tcPr>
            <w:tcW w:type="dxa" w:w="4752"/>
            <w:tcMar>
              <w:top w:w="70" w:type="dxa"/>
              <w:start w:w="70" w:type="dxa"/>
              <w:bottom w:w="70" w:type="dxa"/>
              <w:end w:w="70" w:type="dxa"/>
            </w:tcMar>
            <w:vAlign w:val="top"/>
          </w:tcPr>
          <w:p>
            <w:pPr>
              <w:spacing w:after="20" w:line="252" w:lineRule="auto"/>
            </w:pPr>
            <w:r>
              <w:rPr>
                <w:sz w:val="16"/>
              </w:rPr>
              <w:t>Allow future tournaments, rule changes, or regions without complete redesign.</w:t>
            </w:r>
          </w:p>
        </w:tc>
        <w:tc>
          <w:tcPr>
            <w:tcW w:type="dxa" w:w="3888"/>
            <w:tcMar>
              <w:top w:w="70" w:type="dxa"/>
              <w:start w:w="70" w:type="dxa"/>
              <w:bottom w:w="70" w:type="dxa"/>
              <w:end w:w="70" w:type="dxa"/>
            </w:tcMar>
            <w:vAlign w:val="top"/>
          </w:tcPr>
          <w:p>
            <w:pPr>
              <w:spacing w:after="20" w:line="252" w:lineRule="auto"/>
            </w:pPr>
            <w:r>
              <w:rPr>
                <w:sz w:val="16"/>
              </w:rPr>
              <w:t>Reusable data model and rules configuration for future events.</w:t>
            </w:r>
          </w:p>
        </w:tc>
      </w:tr>
    </w:tbl>
    <w:p>
      <w:pPr>
        <w:pStyle w:val="Heading2"/>
        <w:spacing w:before="240" w:after="100"/>
      </w:pPr>
      <w:r>
        <w:t>2.3 Success Criteria</w:t>
      </w:r>
    </w:p>
    <w:p>
      <w:pPr>
        <w:pStyle w:val="ListBullet"/>
        <w:spacing w:after="40"/>
      </w:pPr>
      <w:r>
        <w:rPr>
          <w:sz w:val="18"/>
        </w:rPr>
        <w:t>Eligible users can access the application using approved Nortal identity credentials only.</w:t>
      </w:r>
    </w:p>
    <w:p>
      <w:pPr>
        <w:pStyle w:val="ListBullet"/>
        <w:spacing w:after="40"/>
      </w:pPr>
      <w:r>
        <w:rPr>
          <w:sz w:val="18"/>
        </w:rPr>
        <w:t>Users can submit predictions for upcoming matches until the match-specific lock window starts.</w:t>
      </w:r>
    </w:p>
    <w:p>
      <w:pPr>
        <w:pStyle w:val="ListBullet"/>
        <w:spacing w:after="40"/>
      </w:pPr>
      <w:r>
        <w:rPr>
          <w:sz w:val="18"/>
        </w:rPr>
        <w:t>Users can edit predictions only when the match has not started and more than one hour remains before kickoff.</w:t>
      </w:r>
    </w:p>
    <w:p>
      <w:pPr>
        <w:pStyle w:val="ListBullet"/>
        <w:spacing w:after="40"/>
      </w:pPr>
      <w:r>
        <w:rPr>
          <w:sz w:val="18"/>
        </w:rPr>
        <w:t>Users can submit final tournament predictions only before the first official tournament match begins.</w:t>
      </w:r>
    </w:p>
    <w:p>
      <w:pPr>
        <w:pStyle w:val="ListBullet"/>
        <w:spacing w:after="40"/>
      </w:pPr>
      <w:r>
        <w:rPr>
          <w:sz w:val="18"/>
        </w:rPr>
        <w:t>Scores are calculated consistently using an auditable scoring model.</w:t>
      </w:r>
    </w:p>
    <w:p>
      <w:pPr>
        <w:pStyle w:val="ListBullet"/>
        <w:spacing w:after="40"/>
      </w:pPr>
      <w:r>
        <w:rPr>
          <w:sz w:val="18"/>
        </w:rPr>
        <w:t>Leaderboard updates are timely, transparent, and resilient to external data provider delays.</w:t>
      </w:r>
    </w:p>
    <w:p>
      <w:pPr>
        <w:pStyle w:val="ListBullet"/>
        <w:spacing w:after="40"/>
      </w:pPr>
      <w:r>
        <w:rPr>
          <w:sz w:val="18"/>
        </w:rPr>
        <w:t>Administrators can manage tournament configuration, monitor data synchronization, correct official score data when justified, and trigger recalculation.</w:t>
      </w:r>
    </w:p>
    <w:p>
      <w:pPr>
        <w:pStyle w:val="ListBullet"/>
        <w:spacing w:after="40"/>
      </w:pPr>
      <w:r>
        <w:rPr>
          <w:sz w:val="18"/>
        </w:rPr>
        <w:t>The architecture can be implemented by multiple technologies without changing the business requirements.</w:t>
      </w:r>
    </w:p>
    <w:p>
      <w:pPr>
        <w:pStyle w:val="Heading1"/>
        <w:spacing w:before="240" w:after="100"/>
      </w:pPr>
      <w:r>
        <w:t>3. Architecture Principles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376"/>
            <w:shd w:fill="1F4E79"/>
            <w:tcMar>
              <w:top w:w="80" w:type="dxa"/>
              <w:start w:w="80" w:type="dxa"/>
              <w:bottom w:w="80" w:type="dxa"/>
              <w:end w:w="80" w:type="dxa"/>
            </w:tcMar>
            <w:vAlign w:val="center"/>
          </w:tcPr>
          <w:p>
            <w:pPr>
              <w:jc w:val="center"/>
            </w:pPr>
            <w:r>
              <w:rPr>
                <w:b/>
                <w:color w:val="FFFFFF"/>
                <w:sz w:val="16"/>
              </w:rPr>
              <w:t>Principle</w:t>
            </w:r>
          </w:p>
        </w:tc>
        <w:tc>
          <w:tcPr>
            <w:tcW w:type="dxa" w:w="4536"/>
            <w:shd w:fill="1F4E79"/>
            <w:tcMar>
              <w:top w:w="80" w:type="dxa"/>
              <w:start w:w="80" w:type="dxa"/>
              <w:bottom w:w="80" w:type="dxa"/>
              <w:end w:w="80" w:type="dxa"/>
            </w:tcMar>
            <w:vAlign w:val="center"/>
          </w:tcPr>
          <w:p>
            <w:pPr>
              <w:jc w:val="center"/>
            </w:pPr>
            <w:r>
              <w:rPr>
                <w:b/>
                <w:color w:val="FFFFFF"/>
                <w:sz w:val="16"/>
              </w:rPr>
              <w:t>Definition</w:t>
            </w:r>
          </w:p>
        </w:tc>
        <w:tc>
          <w:tcPr>
            <w:tcW w:type="dxa" w:w="3816"/>
            <w:shd w:fill="1F4E79"/>
            <w:tcMar>
              <w:top w:w="80" w:type="dxa"/>
              <w:start w:w="80" w:type="dxa"/>
              <w:bottom w:w="80" w:type="dxa"/>
              <w:end w:w="80" w:type="dxa"/>
            </w:tcMar>
            <w:vAlign w:val="center"/>
          </w:tcPr>
          <w:p>
            <w:pPr>
              <w:jc w:val="center"/>
            </w:pPr>
            <w:r>
              <w:rPr>
                <w:b/>
                <w:color w:val="FFFFFF"/>
                <w:sz w:val="16"/>
              </w:rPr>
              <w:t>Implication</w:t>
            </w:r>
          </w:p>
        </w:tc>
      </w:tr>
      <w:tr>
        <w:tc>
          <w:tcPr>
            <w:tcW w:type="dxa" w:w="2376"/>
            <w:tcMar>
              <w:top w:w="70" w:type="dxa"/>
              <w:start w:w="70" w:type="dxa"/>
              <w:bottom w:w="70" w:type="dxa"/>
              <w:end w:w="70" w:type="dxa"/>
            </w:tcMar>
            <w:vAlign w:val="top"/>
          </w:tcPr>
          <w:p>
            <w:pPr>
              <w:spacing w:after="20" w:line="252" w:lineRule="auto"/>
            </w:pPr>
            <w:r>
              <w:rPr>
                <w:sz w:val="16"/>
              </w:rPr>
              <w:t>Technology neutrality</w:t>
            </w:r>
          </w:p>
        </w:tc>
        <w:tc>
          <w:tcPr>
            <w:tcW w:type="dxa" w:w="4536"/>
            <w:tcMar>
              <w:top w:w="70" w:type="dxa"/>
              <w:start w:w="70" w:type="dxa"/>
              <w:bottom w:w="70" w:type="dxa"/>
              <w:end w:w="70" w:type="dxa"/>
            </w:tcMar>
            <w:vAlign w:val="top"/>
          </w:tcPr>
          <w:p>
            <w:pPr>
              <w:spacing w:after="20" w:line="252" w:lineRule="auto"/>
            </w:pPr>
            <w:r>
              <w:rPr>
                <w:sz w:val="16"/>
              </w:rPr>
              <w:t>The architecture must define capabilities, responsibilities, and interfaces without mandating a specific implementation product.</w:t>
            </w:r>
          </w:p>
        </w:tc>
        <w:tc>
          <w:tcPr>
            <w:tcW w:type="dxa" w:w="3816"/>
            <w:tcMar>
              <w:top w:w="70" w:type="dxa"/>
              <w:start w:w="70" w:type="dxa"/>
              <w:bottom w:w="70" w:type="dxa"/>
              <w:end w:w="70" w:type="dxa"/>
            </w:tcMar>
            <w:vAlign w:val="top"/>
          </w:tcPr>
          <w:p>
            <w:pPr>
              <w:spacing w:after="20" w:line="252" w:lineRule="auto"/>
            </w:pPr>
            <w:r>
              <w:rPr>
                <w:sz w:val="16"/>
              </w:rPr>
              <w:t>Implementation teams should evaluate platform options separately through objective criteria.</w:t>
            </w:r>
          </w:p>
        </w:tc>
      </w:tr>
      <w:tr>
        <w:tc>
          <w:tcPr>
            <w:tcW w:type="dxa" w:w="2376"/>
            <w:tcMar>
              <w:top w:w="70" w:type="dxa"/>
              <w:start w:w="70" w:type="dxa"/>
              <w:bottom w:w="70" w:type="dxa"/>
              <w:end w:w="70" w:type="dxa"/>
            </w:tcMar>
            <w:vAlign w:val="top"/>
          </w:tcPr>
          <w:p>
            <w:pPr>
              <w:spacing w:after="20" w:line="252" w:lineRule="auto"/>
            </w:pPr>
            <w:r>
              <w:rPr>
                <w:sz w:val="16"/>
              </w:rPr>
              <w:t>Security by design</w:t>
            </w:r>
          </w:p>
        </w:tc>
        <w:tc>
          <w:tcPr>
            <w:tcW w:type="dxa" w:w="4536"/>
            <w:tcMar>
              <w:top w:w="70" w:type="dxa"/>
              <w:start w:w="70" w:type="dxa"/>
              <w:bottom w:w="70" w:type="dxa"/>
              <w:end w:w="70" w:type="dxa"/>
            </w:tcMar>
            <w:vAlign w:val="top"/>
          </w:tcPr>
          <w:p>
            <w:pPr>
              <w:spacing w:after="20" w:line="252" w:lineRule="auto"/>
            </w:pPr>
            <w:r>
              <w:rPr>
                <w:sz w:val="16"/>
              </w:rPr>
              <w:t>Access restrictions must be enforced server-side and at the identity boundary, not only in the user interface.</w:t>
            </w:r>
          </w:p>
        </w:tc>
        <w:tc>
          <w:tcPr>
            <w:tcW w:type="dxa" w:w="3816"/>
            <w:tcMar>
              <w:top w:w="70" w:type="dxa"/>
              <w:start w:w="70" w:type="dxa"/>
              <w:bottom w:w="70" w:type="dxa"/>
              <w:end w:w="70" w:type="dxa"/>
            </w:tcMar>
            <w:vAlign w:val="top"/>
          </w:tcPr>
          <w:p>
            <w:pPr>
              <w:spacing w:after="20" w:line="252" w:lineRule="auto"/>
            </w:pPr>
            <w:r>
              <w:rPr>
                <w:sz w:val="16"/>
              </w:rPr>
              <w:t>The application must validate domain eligibility on every authenticated session and critical operation.</w:t>
            </w:r>
          </w:p>
        </w:tc>
      </w:tr>
      <w:tr>
        <w:tc>
          <w:tcPr>
            <w:tcW w:type="dxa" w:w="2376"/>
            <w:tcMar>
              <w:top w:w="70" w:type="dxa"/>
              <w:start w:w="70" w:type="dxa"/>
              <w:bottom w:w="70" w:type="dxa"/>
              <w:end w:w="70" w:type="dxa"/>
            </w:tcMar>
            <w:vAlign w:val="top"/>
          </w:tcPr>
          <w:p>
            <w:pPr>
              <w:spacing w:after="20" w:line="252" w:lineRule="auto"/>
            </w:pPr>
            <w:r>
              <w:rPr>
                <w:sz w:val="16"/>
              </w:rPr>
              <w:t>Rules outside the UI</w:t>
            </w:r>
          </w:p>
        </w:tc>
        <w:tc>
          <w:tcPr>
            <w:tcW w:type="dxa" w:w="4536"/>
            <w:tcMar>
              <w:top w:w="70" w:type="dxa"/>
              <w:start w:w="70" w:type="dxa"/>
              <w:bottom w:w="70" w:type="dxa"/>
              <w:end w:w="70" w:type="dxa"/>
            </w:tcMar>
            <w:vAlign w:val="top"/>
          </w:tcPr>
          <w:p>
            <w:pPr>
              <w:spacing w:after="20" w:line="252" w:lineRule="auto"/>
            </w:pPr>
            <w:r>
              <w:rPr>
                <w:sz w:val="16"/>
              </w:rPr>
              <w:t>Locking, editability, and scoring logic must be centralized and reusable.</w:t>
            </w:r>
          </w:p>
        </w:tc>
        <w:tc>
          <w:tcPr>
            <w:tcW w:type="dxa" w:w="3816"/>
            <w:tcMar>
              <w:top w:w="70" w:type="dxa"/>
              <w:start w:w="70" w:type="dxa"/>
              <w:bottom w:w="70" w:type="dxa"/>
              <w:end w:w="70" w:type="dxa"/>
            </w:tcMar>
            <w:vAlign w:val="top"/>
          </w:tcPr>
          <w:p>
            <w:pPr>
              <w:spacing w:after="20" w:line="252" w:lineRule="auto"/>
            </w:pPr>
            <w:r>
              <w:rPr>
                <w:sz w:val="16"/>
              </w:rPr>
              <w:t>Users cannot bypass rules by manipulating the front-end or direct API calls.</w:t>
            </w:r>
          </w:p>
        </w:tc>
      </w:tr>
      <w:tr>
        <w:tc>
          <w:tcPr>
            <w:tcW w:type="dxa" w:w="2376"/>
            <w:tcMar>
              <w:top w:w="70" w:type="dxa"/>
              <w:start w:w="70" w:type="dxa"/>
              <w:bottom w:w="70" w:type="dxa"/>
              <w:end w:w="70" w:type="dxa"/>
            </w:tcMar>
            <w:vAlign w:val="top"/>
          </w:tcPr>
          <w:p>
            <w:pPr>
              <w:spacing w:after="20" w:line="252" w:lineRule="auto"/>
            </w:pPr>
            <w:r>
              <w:rPr>
                <w:sz w:val="16"/>
              </w:rPr>
              <w:t>Provider abstraction</w:t>
            </w:r>
          </w:p>
        </w:tc>
        <w:tc>
          <w:tcPr>
            <w:tcW w:type="dxa" w:w="4536"/>
            <w:tcMar>
              <w:top w:w="70" w:type="dxa"/>
              <w:start w:w="70" w:type="dxa"/>
              <w:bottom w:w="70" w:type="dxa"/>
              <w:end w:w="70" w:type="dxa"/>
            </w:tcMar>
            <w:vAlign w:val="top"/>
          </w:tcPr>
          <w:p>
            <w:pPr>
              <w:spacing w:after="20" w:line="252" w:lineRule="auto"/>
            </w:pPr>
            <w:r>
              <w:rPr>
                <w:sz w:val="16"/>
              </w:rPr>
              <w:t>External football data providers should be hidden behind a stable integration contract.</w:t>
            </w:r>
          </w:p>
        </w:tc>
        <w:tc>
          <w:tcPr>
            <w:tcW w:type="dxa" w:w="3816"/>
            <w:tcMar>
              <w:top w:w="70" w:type="dxa"/>
              <w:start w:w="70" w:type="dxa"/>
              <w:bottom w:w="70" w:type="dxa"/>
              <w:end w:w="70" w:type="dxa"/>
            </w:tcMar>
            <w:vAlign w:val="top"/>
          </w:tcPr>
          <w:p>
            <w:pPr>
              <w:spacing w:after="20" w:line="252" w:lineRule="auto"/>
            </w:pPr>
            <w:r>
              <w:rPr>
                <w:sz w:val="16"/>
              </w:rPr>
              <w:t>A provider can be replaced if coverage, cost, reliability, or licensing changes.</w:t>
            </w:r>
          </w:p>
        </w:tc>
      </w:tr>
      <w:tr>
        <w:tc>
          <w:tcPr>
            <w:tcW w:type="dxa" w:w="2376"/>
            <w:tcMar>
              <w:top w:w="70" w:type="dxa"/>
              <w:start w:w="70" w:type="dxa"/>
              <w:bottom w:w="70" w:type="dxa"/>
              <w:end w:w="70" w:type="dxa"/>
            </w:tcMar>
            <w:vAlign w:val="top"/>
          </w:tcPr>
          <w:p>
            <w:pPr>
              <w:spacing w:after="20" w:line="252" w:lineRule="auto"/>
            </w:pPr>
            <w:r>
              <w:rPr>
                <w:sz w:val="16"/>
              </w:rPr>
              <w:t>Auditability</w:t>
            </w:r>
          </w:p>
        </w:tc>
        <w:tc>
          <w:tcPr>
            <w:tcW w:type="dxa" w:w="4536"/>
            <w:tcMar>
              <w:top w:w="70" w:type="dxa"/>
              <w:start w:w="70" w:type="dxa"/>
              <w:bottom w:w="70" w:type="dxa"/>
              <w:end w:w="70" w:type="dxa"/>
            </w:tcMar>
            <w:vAlign w:val="top"/>
          </w:tcPr>
          <w:p>
            <w:pPr>
              <w:spacing w:after="20" w:line="252" w:lineRule="auto"/>
            </w:pPr>
            <w:r>
              <w:rPr>
                <w:sz w:val="16"/>
              </w:rPr>
              <w:t>Every prediction, edit, score calculation, override, and administrative action must be traceable.</w:t>
            </w:r>
          </w:p>
        </w:tc>
        <w:tc>
          <w:tcPr>
            <w:tcW w:type="dxa" w:w="3816"/>
            <w:tcMar>
              <w:top w:w="70" w:type="dxa"/>
              <w:start w:w="70" w:type="dxa"/>
              <w:bottom w:w="70" w:type="dxa"/>
              <w:end w:w="70" w:type="dxa"/>
            </w:tcMar>
            <w:vAlign w:val="top"/>
          </w:tcPr>
          <w:p>
            <w:pPr>
              <w:spacing w:after="20" w:line="252" w:lineRule="auto"/>
            </w:pPr>
            <w:r>
              <w:rPr>
                <w:sz w:val="16"/>
              </w:rPr>
              <w:t>Disputes can be resolved using historical evidence rather than assumptions.</w:t>
            </w:r>
          </w:p>
        </w:tc>
      </w:tr>
      <w:tr>
        <w:tc>
          <w:tcPr>
            <w:tcW w:type="dxa" w:w="2376"/>
            <w:tcMar>
              <w:top w:w="70" w:type="dxa"/>
              <w:start w:w="70" w:type="dxa"/>
              <w:bottom w:w="70" w:type="dxa"/>
              <w:end w:w="70" w:type="dxa"/>
            </w:tcMar>
            <w:vAlign w:val="top"/>
          </w:tcPr>
          <w:p>
            <w:pPr>
              <w:spacing w:after="20" w:line="252" w:lineRule="auto"/>
            </w:pPr>
            <w:r>
              <w:rPr>
                <w:sz w:val="16"/>
              </w:rPr>
              <w:t>Time-zone correctness</w:t>
            </w:r>
          </w:p>
        </w:tc>
        <w:tc>
          <w:tcPr>
            <w:tcW w:type="dxa" w:w="4536"/>
            <w:tcMar>
              <w:top w:w="70" w:type="dxa"/>
              <w:start w:w="70" w:type="dxa"/>
              <w:bottom w:w="70" w:type="dxa"/>
              <w:end w:w="70" w:type="dxa"/>
            </w:tcMar>
            <w:vAlign w:val="top"/>
          </w:tcPr>
          <w:p>
            <w:pPr>
              <w:spacing w:after="20" w:line="252" w:lineRule="auto"/>
            </w:pPr>
            <w:r>
              <w:rPr>
                <w:sz w:val="16"/>
              </w:rPr>
              <w:t>All deadlines must use normalized kickoff timestamps and trusted server time.</w:t>
            </w:r>
          </w:p>
        </w:tc>
        <w:tc>
          <w:tcPr>
            <w:tcW w:type="dxa" w:w="3816"/>
            <w:tcMar>
              <w:top w:w="70" w:type="dxa"/>
              <w:start w:w="70" w:type="dxa"/>
              <w:bottom w:w="70" w:type="dxa"/>
              <w:end w:w="70" w:type="dxa"/>
            </w:tcMar>
            <w:vAlign w:val="top"/>
          </w:tcPr>
          <w:p>
            <w:pPr>
              <w:spacing w:after="20" w:line="252" w:lineRule="auto"/>
            </w:pPr>
            <w:r>
              <w:rPr>
                <w:sz w:val="16"/>
              </w:rPr>
              <w:t>Local display can vary by user, but locking decisions must be consistent globally.</w:t>
            </w:r>
          </w:p>
        </w:tc>
      </w:tr>
      <w:tr>
        <w:tc>
          <w:tcPr>
            <w:tcW w:type="dxa" w:w="2376"/>
            <w:tcMar>
              <w:top w:w="70" w:type="dxa"/>
              <w:start w:w="70" w:type="dxa"/>
              <w:bottom w:w="70" w:type="dxa"/>
              <w:end w:w="70" w:type="dxa"/>
            </w:tcMar>
            <w:vAlign w:val="top"/>
          </w:tcPr>
          <w:p>
            <w:pPr>
              <w:spacing w:after="20" w:line="252" w:lineRule="auto"/>
            </w:pPr>
            <w:r>
              <w:rPr>
                <w:sz w:val="16"/>
              </w:rPr>
              <w:t>Operational resilience</w:t>
            </w:r>
          </w:p>
        </w:tc>
        <w:tc>
          <w:tcPr>
            <w:tcW w:type="dxa" w:w="4536"/>
            <w:tcMar>
              <w:top w:w="70" w:type="dxa"/>
              <w:start w:w="70" w:type="dxa"/>
              <w:bottom w:w="70" w:type="dxa"/>
              <w:end w:w="70" w:type="dxa"/>
            </w:tcMar>
            <w:vAlign w:val="top"/>
          </w:tcPr>
          <w:p>
            <w:pPr>
              <w:spacing w:after="20" w:line="252" w:lineRule="auto"/>
            </w:pPr>
            <w:r>
              <w:rPr>
                <w:sz w:val="16"/>
              </w:rPr>
              <w:t>The system should continue operating even if the external score provider is delayed or temporarily unavailable.</w:t>
            </w:r>
          </w:p>
        </w:tc>
        <w:tc>
          <w:tcPr>
            <w:tcW w:type="dxa" w:w="3816"/>
            <w:tcMar>
              <w:top w:w="70" w:type="dxa"/>
              <w:start w:w="70" w:type="dxa"/>
              <w:bottom w:w="70" w:type="dxa"/>
              <w:end w:w="70" w:type="dxa"/>
            </w:tcMar>
            <w:vAlign w:val="top"/>
          </w:tcPr>
          <w:p>
            <w:pPr>
              <w:spacing w:after="20" w:line="252" w:lineRule="auto"/>
            </w:pPr>
            <w:r>
              <w:rPr>
                <w:sz w:val="16"/>
              </w:rPr>
              <w:t>Manual correction and retry mechanisms are required.</w:t>
            </w:r>
          </w:p>
        </w:tc>
      </w:tr>
      <w:tr>
        <w:tc>
          <w:tcPr>
            <w:tcW w:type="dxa" w:w="2376"/>
            <w:tcMar>
              <w:top w:w="70" w:type="dxa"/>
              <w:start w:w="70" w:type="dxa"/>
              <w:bottom w:w="70" w:type="dxa"/>
              <w:end w:w="70" w:type="dxa"/>
            </w:tcMar>
            <w:vAlign w:val="top"/>
          </w:tcPr>
          <w:p>
            <w:pPr>
              <w:spacing w:after="20" w:line="252" w:lineRule="auto"/>
            </w:pPr>
            <w:r>
              <w:rPr>
                <w:sz w:val="16"/>
              </w:rPr>
              <w:t>Extensibility</w:t>
            </w:r>
          </w:p>
        </w:tc>
        <w:tc>
          <w:tcPr>
            <w:tcW w:type="dxa" w:w="4536"/>
            <w:tcMar>
              <w:top w:w="70" w:type="dxa"/>
              <w:start w:w="70" w:type="dxa"/>
              <w:bottom w:w="70" w:type="dxa"/>
              <w:end w:w="70" w:type="dxa"/>
            </w:tcMar>
            <w:vAlign w:val="top"/>
          </w:tcPr>
          <w:p>
            <w:pPr>
              <w:spacing w:after="20" w:line="252" w:lineRule="auto"/>
            </w:pPr>
            <w:r>
              <w:rPr>
                <w:sz w:val="16"/>
              </w:rPr>
              <w:t>Tournament, scoring, and eligibility settings should be configurable where reasonable.</w:t>
            </w:r>
          </w:p>
        </w:tc>
        <w:tc>
          <w:tcPr>
            <w:tcW w:type="dxa" w:w="3816"/>
            <w:tcMar>
              <w:top w:w="70" w:type="dxa"/>
              <w:start w:w="70" w:type="dxa"/>
              <w:bottom w:w="70" w:type="dxa"/>
              <w:end w:w="70" w:type="dxa"/>
            </w:tcMar>
            <w:vAlign w:val="top"/>
          </w:tcPr>
          <w:p>
            <w:pPr>
              <w:spacing w:after="20" w:line="252" w:lineRule="auto"/>
            </w:pPr>
            <w:r>
              <w:rPr>
                <w:sz w:val="16"/>
              </w:rPr>
              <w:t>Future editions or internal tournaments should not require rebuilding the product.</w:t>
            </w:r>
          </w:p>
        </w:tc>
      </w:tr>
    </w:tbl>
    <w:p>
      <w:pPr>
        <w:pStyle w:val="Heading1"/>
        <w:spacing w:before="240" w:after="100"/>
      </w:pPr>
      <w:r>
        <w:t>4. Stakeholders and Personas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448"/>
            <w:shd w:fill="1F4E79"/>
            <w:tcMar>
              <w:top w:w="80" w:type="dxa"/>
              <w:start w:w="80" w:type="dxa"/>
              <w:bottom w:w="80" w:type="dxa"/>
              <w:end w:w="80" w:type="dxa"/>
            </w:tcMar>
            <w:vAlign w:val="center"/>
          </w:tcPr>
          <w:p>
            <w:pPr>
              <w:jc w:val="center"/>
            </w:pPr>
            <w:r>
              <w:rPr>
                <w:b/>
                <w:color w:val="FFFFFF"/>
                <w:sz w:val="16"/>
              </w:rPr>
              <w:t>Persona</w:t>
            </w:r>
          </w:p>
        </w:tc>
        <w:tc>
          <w:tcPr>
            <w:tcW w:type="dxa" w:w="4320"/>
            <w:shd w:fill="1F4E79"/>
            <w:tcMar>
              <w:top w:w="80" w:type="dxa"/>
              <w:start w:w="80" w:type="dxa"/>
              <w:bottom w:w="80" w:type="dxa"/>
              <w:end w:w="80" w:type="dxa"/>
            </w:tcMar>
            <w:vAlign w:val="center"/>
          </w:tcPr>
          <w:p>
            <w:pPr>
              <w:jc w:val="center"/>
            </w:pPr>
            <w:r>
              <w:rPr>
                <w:b/>
                <w:color w:val="FFFFFF"/>
                <w:sz w:val="16"/>
              </w:rPr>
              <w:t>Primary goals</w:t>
            </w:r>
          </w:p>
        </w:tc>
        <w:tc>
          <w:tcPr>
            <w:tcW w:type="dxa" w:w="4032"/>
            <w:shd w:fill="1F4E79"/>
            <w:tcMar>
              <w:top w:w="80" w:type="dxa"/>
              <w:start w:w="80" w:type="dxa"/>
              <w:bottom w:w="80" w:type="dxa"/>
              <w:end w:w="80" w:type="dxa"/>
            </w:tcMar>
            <w:vAlign w:val="center"/>
          </w:tcPr>
          <w:p>
            <w:pPr>
              <w:jc w:val="center"/>
            </w:pPr>
            <w:r>
              <w:rPr>
                <w:b/>
                <w:color w:val="FFFFFF"/>
                <w:sz w:val="16"/>
              </w:rPr>
              <w:t>Key needs</w:t>
            </w:r>
          </w:p>
        </w:tc>
      </w:tr>
      <w:tr>
        <w:tc>
          <w:tcPr>
            <w:tcW w:type="dxa" w:w="2448"/>
            <w:tcMar>
              <w:top w:w="70" w:type="dxa"/>
              <w:start w:w="70" w:type="dxa"/>
              <w:bottom w:w="70" w:type="dxa"/>
              <w:end w:w="70" w:type="dxa"/>
            </w:tcMar>
            <w:vAlign w:val="top"/>
          </w:tcPr>
          <w:p>
            <w:pPr>
              <w:spacing w:after="20" w:line="252" w:lineRule="auto"/>
            </w:pPr>
            <w:r>
              <w:rPr>
                <w:sz w:val="16"/>
              </w:rPr>
              <w:t>Participant / collaborator</w:t>
            </w:r>
          </w:p>
        </w:tc>
        <w:tc>
          <w:tcPr>
            <w:tcW w:type="dxa" w:w="4320"/>
            <w:tcMar>
              <w:top w:w="70" w:type="dxa"/>
              <w:start w:w="70" w:type="dxa"/>
              <w:bottom w:w="70" w:type="dxa"/>
              <w:end w:w="70" w:type="dxa"/>
            </w:tcMar>
            <w:vAlign w:val="top"/>
          </w:tcPr>
          <w:p>
            <w:pPr>
              <w:spacing w:after="20" w:line="252" w:lineRule="auto"/>
            </w:pPr>
            <w:r>
              <w:rPr>
                <w:sz w:val="16"/>
              </w:rPr>
              <w:t>Submit predictions, track points, view leaderboards, and compare results with colleagues.</w:t>
            </w:r>
          </w:p>
        </w:tc>
        <w:tc>
          <w:tcPr>
            <w:tcW w:type="dxa" w:w="4032"/>
            <w:tcMar>
              <w:top w:w="70" w:type="dxa"/>
              <w:start w:w="70" w:type="dxa"/>
              <w:bottom w:w="70" w:type="dxa"/>
              <w:end w:w="70" w:type="dxa"/>
            </w:tcMar>
            <w:vAlign w:val="top"/>
          </w:tcPr>
          <w:p>
            <w:pPr>
              <w:spacing w:after="20" w:line="252" w:lineRule="auto"/>
            </w:pPr>
            <w:r>
              <w:rPr>
                <w:sz w:val="16"/>
              </w:rPr>
              <w:t>Fast login, clear deadlines, easy prediction entry, transparent scoring, mobile-friendly experience.</w:t>
            </w:r>
          </w:p>
        </w:tc>
      </w:tr>
      <w:tr>
        <w:tc>
          <w:tcPr>
            <w:tcW w:type="dxa" w:w="2448"/>
            <w:tcMar>
              <w:top w:w="70" w:type="dxa"/>
              <w:start w:w="70" w:type="dxa"/>
              <w:bottom w:w="70" w:type="dxa"/>
              <w:end w:w="70" w:type="dxa"/>
            </w:tcMar>
            <w:vAlign w:val="top"/>
          </w:tcPr>
          <w:p>
            <w:pPr>
              <w:spacing w:after="20" w:line="252" w:lineRule="auto"/>
            </w:pPr>
            <w:r>
              <w:rPr>
                <w:sz w:val="16"/>
              </w:rPr>
              <w:t>Tournament administrator</w:t>
            </w:r>
          </w:p>
        </w:tc>
        <w:tc>
          <w:tcPr>
            <w:tcW w:type="dxa" w:w="4320"/>
            <w:tcMar>
              <w:top w:w="70" w:type="dxa"/>
              <w:start w:w="70" w:type="dxa"/>
              <w:bottom w:w="70" w:type="dxa"/>
              <w:end w:w="70" w:type="dxa"/>
            </w:tcMar>
            <w:vAlign w:val="top"/>
          </w:tcPr>
          <w:p>
            <w:pPr>
              <w:spacing w:after="20" w:line="252" w:lineRule="auto"/>
            </w:pPr>
            <w:r>
              <w:rPr>
                <w:sz w:val="16"/>
              </w:rPr>
              <w:t>Configure tournament data, resolve issues, manage overrides, and supervise scoring.</w:t>
            </w:r>
          </w:p>
        </w:tc>
        <w:tc>
          <w:tcPr>
            <w:tcW w:type="dxa" w:w="4032"/>
            <w:tcMar>
              <w:top w:w="70" w:type="dxa"/>
              <w:start w:w="70" w:type="dxa"/>
              <w:bottom w:w="70" w:type="dxa"/>
              <w:end w:w="70" w:type="dxa"/>
            </w:tcMar>
            <w:vAlign w:val="top"/>
          </w:tcPr>
          <w:p>
            <w:pPr>
              <w:spacing w:after="20" w:line="252" w:lineRule="auto"/>
            </w:pPr>
            <w:r>
              <w:rPr>
                <w:sz w:val="16"/>
              </w:rPr>
              <w:t>Admin dashboard, manual correction workflow, audit logs, recalculation controls, clear exception handling.</w:t>
            </w:r>
          </w:p>
        </w:tc>
      </w:tr>
      <w:tr>
        <w:tc>
          <w:tcPr>
            <w:tcW w:type="dxa" w:w="2448"/>
            <w:tcMar>
              <w:top w:w="70" w:type="dxa"/>
              <w:start w:w="70" w:type="dxa"/>
              <w:bottom w:w="70" w:type="dxa"/>
              <w:end w:w="70" w:type="dxa"/>
            </w:tcMar>
            <w:vAlign w:val="top"/>
          </w:tcPr>
          <w:p>
            <w:pPr>
              <w:spacing w:after="20" w:line="252" w:lineRule="auto"/>
            </w:pPr>
            <w:r>
              <w:rPr>
                <w:sz w:val="16"/>
              </w:rPr>
              <w:t>Business sponsor</w:t>
            </w:r>
          </w:p>
        </w:tc>
        <w:tc>
          <w:tcPr>
            <w:tcW w:type="dxa" w:w="4320"/>
            <w:tcMar>
              <w:top w:w="70" w:type="dxa"/>
              <w:start w:w="70" w:type="dxa"/>
              <w:bottom w:w="70" w:type="dxa"/>
              <w:end w:w="70" w:type="dxa"/>
            </w:tcMar>
            <w:vAlign w:val="top"/>
          </w:tcPr>
          <w:p>
            <w:pPr>
              <w:spacing w:after="20" w:line="252" w:lineRule="auto"/>
            </w:pPr>
            <w:r>
              <w:rPr>
                <w:sz w:val="16"/>
              </w:rPr>
              <w:t>Drive engagement and ensure the experience reflects Nortal's culture.</w:t>
            </w:r>
          </w:p>
        </w:tc>
        <w:tc>
          <w:tcPr>
            <w:tcW w:type="dxa" w:w="4032"/>
            <w:tcMar>
              <w:top w:w="70" w:type="dxa"/>
              <w:start w:w="70" w:type="dxa"/>
              <w:bottom w:w="70" w:type="dxa"/>
              <w:end w:w="70" w:type="dxa"/>
            </w:tcMar>
            <w:vAlign w:val="top"/>
          </w:tcPr>
          <w:p>
            <w:pPr>
              <w:spacing w:after="20" w:line="252" w:lineRule="auto"/>
            </w:pPr>
            <w:r>
              <w:rPr>
                <w:sz w:val="16"/>
              </w:rPr>
              <w:t>Adoption metrics, communications support, fairness, positive user feedback.</w:t>
            </w:r>
          </w:p>
        </w:tc>
      </w:tr>
      <w:tr>
        <w:tc>
          <w:tcPr>
            <w:tcW w:type="dxa" w:w="2448"/>
            <w:tcMar>
              <w:top w:w="70" w:type="dxa"/>
              <w:start w:w="70" w:type="dxa"/>
              <w:bottom w:w="70" w:type="dxa"/>
              <w:end w:w="70" w:type="dxa"/>
            </w:tcMar>
            <w:vAlign w:val="top"/>
          </w:tcPr>
          <w:p>
            <w:pPr>
              <w:spacing w:after="20" w:line="252" w:lineRule="auto"/>
            </w:pPr>
            <w:r>
              <w:rPr>
                <w:sz w:val="16"/>
              </w:rPr>
              <w:t>Solution architect</w:t>
            </w:r>
          </w:p>
        </w:tc>
        <w:tc>
          <w:tcPr>
            <w:tcW w:type="dxa" w:w="4320"/>
            <w:tcMar>
              <w:top w:w="70" w:type="dxa"/>
              <w:start w:w="70" w:type="dxa"/>
              <w:bottom w:w="70" w:type="dxa"/>
              <w:end w:w="70" w:type="dxa"/>
            </w:tcMar>
            <w:vAlign w:val="top"/>
          </w:tcPr>
          <w:p>
            <w:pPr>
              <w:spacing w:after="20" w:line="252" w:lineRule="auto"/>
            </w:pPr>
            <w:r>
              <w:rPr>
                <w:sz w:val="16"/>
              </w:rPr>
              <w:t>Ensure the application is maintainable, secure, scalable, and independent from unnecessary vendor lock-in.</w:t>
            </w:r>
          </w:p>
        </w:tc>
        <w:tc>
          <w:tcPr>
            <w:tcW w:type="dxa" w:w="4032"/>
            <w:tcMar>
              <w:top w:w="70" w:type="dxa"/>
              <w:start w:w="70" w:type="dxa"/>
              <w:bottom w:w="70" w:type="dxa"/>
              <w:end w:w="70" w:type="dxa"/>
            </w:tcMar>
            <w:vAlign w:val="top"/>
          </w:tcPr>
          <w:p>
            <w:pPr>
              <w:spacing w:after="20" w:line="252" w:lineRule="auto"/>
            </w:pPr>
            <w:r>
              <w:rPr>
                <w:sz w:val="16"/>
              </w:rPr>
              <w:t>Clear component boundaries, data ownership, integration contracts, NFRs.</w:t>
            </w:r>
          </w:p>
        </w:tc>
      </w:tr>
      <w:tr>
        <w:tc>
          <w:tcPr>
            <w:tcW w:type="dxa" w:w="2448"/>
            <w:tcMar>
              <w:top w:w="70" w:type="dxa"/>
              <w:start w:w="70" w:type="dxa"/>
              <w:bottom w:w="70" w:type="dxa"/>
              <w:end w:w="70" w:type="dxa"/>
            </w:tcMar>
            <w:vAlign w:val="top"/>
          </w:tcPr>
          <w:p>
            <w:pPr>
              <w:spacing w:after="20" w:line="252" w:lineRule="auto"/>
            </w:pPr>
            <w:r>
              <w:rPr>
                <w:sz w:val="16"/>
              </w:rPr>
              <w:t>Security reviewer</w:t>
            </w:r>
          </w:p>
        </w:tc>
        <w:tc>
          <w:tcPr>
            <w:tcW w:type="dxa" w:w="4320"/>
            <w:tcMar>
              <w:top w:w="70" w:type="dxa"/>
              <w:start w:w="70" w:type="dxa"/>
              <w:bottom w:w="70" w:type="dxa"/>
              <w:end w:w="70" w:type="dxa"/>
            </w:tcMar>
            <w:vAlign w:val="top"/>
          </w:tcPr>
          <w:p>
            <w:pPr>
              <w:spacing w:after="20" w:line="252" w:lineRule="auto"/>
            </w:pPr>
            <w:r>
              <w:rPr>
                <w:sz w:val="16"/>
              </w:rPr>
              <w:t>Validate access control, domain enforcement, privacy, and audit capabilities.</w:t>
            </w:r>
          </w:p>
        </w:tc>
        <w:tc>
          <w:tcPr>
            <w:tcW w:type="dxa" w:w="4032"/>
            <w:tcMar>
              <w:top w:w="70" w:type="dxa"/>
              <w:start w:w="70" w:type="dxa"/>
              <w:bottom w:w="70" w:type="dxa"/>
              <w:end w:w="70" w:type="dxa"/>
            </w:tcMar>
            <w:vAlign w:val="top"/>
          </w:tcPr>
          <w:p>
            <w:pPr>
              <w:spacing w:after="20" w:line="252" w:lineRule="auto"/>
            </w:pPr>
            <w:r>
              <w:rPr>
                <w:sz w:val="16"/>
              </w:rPr>
              <w:t>Identity controls, authorization model, logging, data retention, risk mitigations.</w:t>
            </w:r>
          </w:p>
        </w:tc>
      </w:tr>
      <w:tr>
        <w:tc>
          <w:tcPr>
            <w:tcW w:type="dxa" w:w="2448"/>
            <w:tcMar>
              <w:top w:w="70" w:type="dxa"/>
              <w:start w:w="70" w:type="dxa"/>
              <w:bottom w:w="70" w:type="dxa"/>
              <w:end w:w="70" w:type="dxa"/>
            </w:tcMar>
            <w:vAlign w:val="top"/>
          </w:tcPr>
          <w:p>
            <w:pPr>
              <w:spacing w:after="20" w:line="252" w:lineRule="auto"/>
            </w:pPr>
            <w:r>
              <w:rPr>
                <w:sz w:val="16"/>
              </w:rPr>
              <w:t>Operations/support owner</w:t>
            </w:r>
          </w:p>
        </w:tc>
        <w:tc>
          <w:tcPr>
            <w:tcW w:type="dxa" w:w="4320"/>
            <w:tcMar>
              <w:top w:w="70" w:type="dxa"/>
              <w:start w:w="70" w:type="dxa"/>
              <w:bottom w:w="70" w:type="dxa"/>
              <w:end w:w="70" w:type="dxa"/>
            </w:tcMar>
            <w:vAlign w:val="top"/>
          </w:tcPr>
          <w:p>
            <w:pPr>
              <w:spacing w:after="20" w:line="252" w:lineRule="auto"/>
            </w:pPr>
            <w:r>
              <w:rPr>
                <w:sz w:val="16"/>
              </w:rPr>
              <w:t>Monitor production behavior, respond to incidents, and support users during the tournament.</w:t>
            </w:r>
          </w:p>
        </w:tc>
        <w:tc>
          <w:tcPr>
            <w:tcW w:type="dxa" w:w="4032"/>
            <w:tcMar>
              <w:top w:w="70" w:type="dxa"/>
              <w:start w:w="70" w:type="dxa"/>
              <w:bottom w:w="70" w:type="dxa"/>
              <w:end w:w="70" w:type="dxa"/>
            </w:tcMar>
            <w:vAlign w:val="top"/>
          </w:tcPr>
          <w:p>
            <w:pPr>
              <w:spacing w:after="20" w:line="252" w:lineRule="auto"/>
            </w:pPr>
            <w:r>
              <w:rPr>
                <w:sz w:val="16"/>
              </w:rPr>
              <w:t>Health dashboards, alerts, runbooks, support procedures, recovery steps.</w:t>
            </w:r>
          </w:p>
        </w:tc>
      </w:tr>
    </w:tbl>
    <w:p>
      <w:pPr>
        <w:pStyle w:val="Heading1"/>
        <w:spacing w:before="240" w:after="100"/>
      </w:pPr>
      <w:r>
        <w:t>5. Scope, Assumptions, and Constraints</w:t>
      </w:r>
    </w:p>
    <w:p>
      <w:pPr>
        <w:pStyle w:val="Heading2"/>
        <w:spacing w:before="240" w:after="100"/>
      </w:pPr>
      <w:r>
        <w:t>5.1 In Scope</w:t>
      </w:r>
    </w:p>
    <w:p>
      <w:pPr>
        <w:pStyle w:val="ListBullet"/>
        <w:spacing w:after="40"/>
      </w:pPr>
      <w:r>
        <w:rPr>
          <w:sz w:val="18"/>
        </w:rPr>
        <w:t>Authentication and eligibility validation for Nortal collaborators.</w:t>
      </w:r>
    </w:p>
    <w:p>
      <w:pPr>
        <w:pStyle w:val="ListBullet"/>
        <w:spacing w:after="40"/>
      </w:pPr>
      <w:r>
        <w:rPr>
          <w:sz w:val="18"/>
        </w:rPr>
        <w:t>Participant registration or automatic profile provisioning after first eligible login.</w:t>
      </w:r>
    </w:p>
    <w:p>
      <w:pPr>
        <w:pStyle w:val="ListBullet"/>
        <w:spacing w:after="40"/>
      </w:pPr>
      <w:r>
        <w:rPr>
          <w:sz w:val="18"/>
        </w:rPr>
        <w:t>Match catalog for FIFA World Cup 2026 fixtures, including teams, dates, kickoff times, stage, group, status, and score fields.</w:t>
      </w:r>
    </w:p>
    <w:p>
      <w:pPr>
        <w:pStyle w:val="ListBullet"/>
        <w:spacing w:after="40"/>
      </w:pPr>
      <w:r>
        <w:rPr>
          <w:sz w:val="18"/>
        </w:rPr>
        <w:t>Submission and update of match score predictions before match lock deadlines.</w:t>
      </w:r>
    </w:p>
    <w:p>
      <w:pPr>
        <w:pStyle w:val="ListBullet"/>
        <w:spacing w:after="40"/>
      </w:pPr>
      <w:r>
        <w:rPr>
          <w:sz w:val="18"/>
        </w:rPr>
        <w:t>Submission and update of final tournament predictions before the first match begins.</w:t>
      </w:r>
    </w:p>
    <w:p>
      <w:pPr>
        <w:pStyle w:val="ListBullet"/>
        <w:spacing w:after="40"/>
      </w:pPr>
      <w:r>
        <w:rPr>
          <w:sz w:val="18"/>
        </w:rPr>
        <w:t>Scoring for match predictions and final tournament prediction items.</w:t>
      </w:r>
    </w:p>
    <w:p>
      <w:pPr>
        <w:pStyle w:val="ListBullet"/>
        <w:spacing w:after="40"/>
      </w:pPr>
      <w:r>
        <w:rPr>
          <w:sz w:val="18"/>
        </w:rPr>
        <w:t>Leaderboard views and personal scoring breakdowns.</w:t>
      </w:r>
    </w:p>
    <w:p>
      <w:pPr>
        <w:pStyle w:val="ListBullet"/>
        <w:spacing w:after="40"/>
      </w:pPr>
      <w:r>
        <w:rPr>
          <w:sz w:val="18"/>
        </w:rPr>
        <w:t>Administrative tools for configuration, data validation, manual correction, and recalculation.</w:t>
      </w:r>
    </w:p>
    <w:p>
      <w:pPr>
        <w:pStyle w:val="ListBullet"/>
        <w:spacing w:after="40"/>
      </w:pPr>
      <w:r>
        <w:rPr>
          <w:sz w:val="18"/>
        </w:rPr>
        <w:t>Integration with at least one external football data source, plus fallback/manual mechanisms.</w:t>
      </w:r>
    </w:p>
    <w:p>
      <w:pPr>
        <w:pStyle w:val="ListBullet"/>
        <w:spacing w:after="40"/>
      </w:pPr>
      <w:r>
        <w:rPr>
          <w:sz w:val="18"/>
        </w:rPr>
        <w:t>Audit, monitoring, reporting, and operational support requirements.</w:t>
      </w:r>
    </w:p>
    <w:p>
      <w:pPr>
        <w:pStyle w:val="Heading2"/>
        <w:spacing w:before="240" w:after="100"/>
      </w:pPr>
      <w:r>
        <w:t>5.2 Out of Scope for Initial Release</w:t>
      </w:r>
    </w:p>
    <w:p>
      <w:pPr>
        <w:pStyle w:val="ListBullet"/>
        <w:spacing w:after="40"/>
      </w:pPr>
      <w:r>
        <w:rPr>
          <w:sz w:val="18"/>
        </w:rPr>
        <w:t>Paid betting, wagers, money pools, or gambling functionality.</w:t>
      </w:r>
    </w:p>
    <w:p>
      <w:pPr>
        <w:pStyle w:val="ListBullet"/>
        <w:spacing w:after="40"/>
      </w:pPr>
      <w:r>
        <w:rPr>
          <w:sz w:val="18"/>
        </w:rPr>
        <w:t>Public access for users outside Nortal's approved identity boundary.</w:t>
      </w:r>
    </w:p>
    <w:p>
      <w:pPr>
        <w:pStyle w:val="ListBullet"/>
        <w:spacing w:after="40"/>
      </w:pPr>
      <w:r>
        <w:rPr>
          <w:sz w:val="18"/>
        </w:rPr>
        <w:t>Complex social networking features unrelated to the prediction pool.</w:t>
      </w:r>
    </w:p>
    <w:p>
      <w:pPr>
        <w:pStyle w:val="ListBullet"/>
        <w:spacing w:after="40"/>
      </w:pPr>
      <w:r>
        <w:rPr>
          <w:sz w:val="18"/>
        </w:rPr>
        <w:t>Real-time live match commentary unless a later decision explicitly adds it.</w:t>
      </w:r>
    </w:p>
    <w:p>
      <w:pPr>
        <w:pStyle w:val="ListBullet"/>
        <w:spacing w:after="40"/>
      </w:pPr>
      <w:r>
        <w:rPr>
          <w:sz w:val="18"/>
        </w:rPr>
        <w:t>Full mobile native applications unless selected as part of the implementation strategy.</w:t>
      </w:r>
    </w:p>
    <w:p>
      <w:pPr>
        <w:pStyle w:val="ListBullet"/>
        <w:spacing w:after="40"/>
      </w:pPr>
      <w:r>
        <w:rPr>
          <w:sz w:val="18"/>
        </w:rPr>
        <w:t>Integration with payroll, HR performance systems, or sensitive employee records beyond basic corporate identity attributes.</w:t>
      </w:r>
    </w:p>
    <w:p>
      <w:pPr>
        <w:pStyle w:val="Heading2"/>
        <w:spacing w:before="240" w:after="100"/>
      </w:pPr>
      <w:r>
        <w:t>5.3 Key Assumptions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tblHeader w:val="true"/>
        </w:trPr>
        <w:tc>
          <w:tcPr>
            <w:tcW w:type="dxa" w:w="4608"/>
            <w:shd w:fill="1F4E79"/>
            <w:tcMar>
              <w:top w:w="80" w:type="dxa"/>
              <w:start w:w="80" w:type="dxa"/>
              <w:bottom w:w="80" w:type="dxa"/>
              <w:end w:w="80" w:type="dxa"/>
            </w:tcMar>
            <w:vAlign w:val="center"/>
          </w:tcPr>
          <w:p>
            <w:pPr>
              <w:jc w:val="center"/>
            </w:pPr>
            <w:r>
              <w:rPr>
                <w:b/>
                <w:color w:val="FFFFFF"/>
                <w:sz w:val="16"/>
              </w:rPr>
              <w:t>Assumption</w:t>
            </w:r>
          </w:p>
        </w:tc>
        <w:tc>
          <w:tcPr>
            <w:tcW w:type="dxa" w:w="6048"/>
            <w:shd w:fill="1F4E79"/>
            <w:tcMar>
              <w:top w:w="80" w:type="dxa"/>
              <w:start w:w="80" w:type="dxa"/>
              <w:bottom w:w="80" w:type="dxa"/>
              <w:end w:w="80" w:type="dxa"/>
            </w:tcMar>
            <w:vAlign w:val="center"/>
          </w:tcPr>
          <w:p>
            <w:pPr>
              <w:jc w:val="center"/>
            </w:pPr>
            <w:r>
              <w:rPr>
                <w:b/>
                <w:color w:val="FFFFFF"/>
                <w:sz w:val="16"/>
              </w:rPr>
              <w:t>Architectural impact</w:t>
            </w:r>
          </w:p>
        </w:tc>
      </w:tr>
      <w:tr>
        <w:tc>
          <w:tcPr>
            <w:tcW w:type="dxa" w:w="4608"/>
            <w:tcMar>
              <w:top w:w="70" w:type="dxa"/>
              <w:start w:w="70" w:type="dxa"/>
              <w:bottom w:w="70" w:type="dxa"/>
              <w:end w:w="70" w:type="dxa"/>
            </w:tcMar>
            <w:vAlign w:val="top"/>
          </w:tcPr>
          <w:p>
            <w:pPr>
              <w:spacing w:after="20" w:line="252" w:lineRule="auto"/>
            </w:pPr>
            <w:r>
              <w:rPr>
                <w:sz w:val="16"/>
              </w:rPr>
              <w:t>Nortal has an approved corporate identity mechanism for employees or collaborators.</w:t>
            </w:r>
          </w:p>
        </w:tc>
        <w:tc>
          <w:tcPr>
            <w:tcW w:type="dxa" w:w="6048"/>
            <w:tcMar>
              <w:top w:w="70" w:type="dxa"/>
              <w:start w:w="70" w:type="dxa"/>
              <w:bottom w:w="70" w:type="dxa"/>
              <w:end w:w="70" w:type="dxa"/>
            </w:tcMar>
            <w:vAlign w:val="top"/>
          </w:tcPr>
          <w:p>
            <w:pPr>
              <w:spacing w:after="20" w:line="252" w:lineRule="auto"/>
            </w:pPr>
            <w:r>
              <w:rPr>
                <w:sz w:val="16"/>
              </w:rPr>
              <w:t>The application should delegate authentication to the corporate identity boundary instead of storing passwords.</w:t>
            </w:r>
          </w:p>
        </w:tc>
      </w:tr>
      <w:tr>
        <w:tc>
          <w:tcPr>
            <w:tcW w:type="dxa" w:w="4608"/>
            <w:tcMar>
              <w:top w:w="70" w:type="dxa"/>
              <w:start w:w="70" w:type="dxa"/>
              <w:bottom w:w="70" w:type="dxa"/>
              <w:end w:w="70" w:type="dxa"/>
            </w:tcMar>
            <w:vAlign w:val="top"/>
          </w:tcPr>
          <w:p>
            <w:pPr>
              <w:spacing w:after="20" w:line="252" w:lineRule="auto"/>
            </w:pPr>
            <w:r>
              <w:rPr>
                <w:sz w:val="16"/>
              </w:rPr>
              <w:t>The allowed email domain or domains can be formally defined before launch.</w:t>
            </w:r>
          </w:p>
        </w:tc>
        <w:tc>
          <w:tcPr>
            <w:tcW w:type="dxa" w:w="6048"/>
            <w:tcMar>
              <w:top w:w="70" w:type="dxa"/>
              <w:start w:w="70" w:type="dxa"/>
              <w:bottom w:w="70" w:type="dxa"/>
              <w:end w:w="70" w:type="dxa"/>
            </w:tcMar>
            <w:vAlign w:val="top"/>
          </w:tcPr>
          <w:p>
            <w:pPr>
              <w:spacing w:after="20" w:line="252" w:lineRule="auto"/>
            </w:pPr>
            <w:r>
              <w:rPr>
                <w:sz w:val="16"/>
              </w:rPr>
              <w:t>Domain validation must be configurable, for example allowing a list such as @nortal.com and any other approved corporate domains.</w:t>
            </w:r>
          </w:p>
        </w:tc>
      </w:tr>
      <w:tr>
        <w:tc>
          <w:tcPr>
            <w:tcW w:type="dxa" w:w="4608"/>
            <w:tcMar>
              <w:top w:w="70" w:type="dxa"/>
              <w:start w:w="70" w:type="dxa"/>
              <w:bottom w:w="70" w:type="dxa"/>
              <w:end w:w="70" w:type="dxa"/>
            </w:tcMar>
            <w:vAlign w:val="top"/>
          </w:tcPr>
          <w:p>
            <w:pPr>
              <w:spacing w:after="20" w:line="252" w:lineRule="auto"/>
            </w:pPr>
            <w:r>
              <w:rPr>
                <w:sz w:val="16"/>
              </w:rPr>
              <w:t>The tournament schedule and official match times may change before or during the tournament.</w:t>
            </w:r>
          </w:p>
        </w:tc>
        <w:tc>
          <w:tcPr>
            <w:tcW w:type="dxa" w:w="6048"/>
            <w:tcMar>
              <w:top w:w="70" w:type="dxa"/>
              <w:start w:w="70" w:type="dxa"/>
              <w:bottom w:w="70" w:type="dxa"/>
              <w:end w:w="70" w:type="dxa"/>
            </w:tcMar>
            <w:vAlign w:val="top"/>
          </w:tcPr>
          <w:p>
            <w:pPr>
              <w:spacing w:after="20" w:line="252" w:lineRule="auto"/>
            </w:pPr>
            <w:r>
              <w:rPr>
                <w:sz w:val="16"/>
              </w:rPr>
              <w:t>Match data synchronization and administrative correction are mandatory capabilities.</w:t>
            </w:r>
          </w:p>
        </w:tc>
      </w:tr>
      <w:tr>
        <w:tc>
          <w:tcPr>
            <w:tcW w:type="dxa" w:w="4608"/>
            <w:tcMar>
              <w:top w:w="70" w:type="dxa"/>
              <w:start w:w="70" w:type="dxa"/>
              <w:bottom w:w="70" w:type="dxa"/>
              <w:end w:w="70" w:type="dxa"/>
            </w:tcMar>
            <w:vAlign w:val="top"/>
          </w:tcPr>
          <w:p>
            <w:pPr>
              <w:spacing w:after="20" w:line="252" w:lineRule="auto"/>
            </w:pPr>
            <w:r>
              <w:rPr>
                <w:sz w:val="16"/>
              </w:rPr>
              <w:t>External football APIs may have rate limits, delayed scores, limited free coverage, or licensing restrictions.</w:t>
            </w:r>
          </w:p>
        </w:tc>
        <w:tc>
          <w:tcPr>
            <w:tcW w:type="dxa" w:w="6048"/>
            <w:tcMar>
              <w:top w:w="70" w:type="dxa"/>
              <w:start w:w="70" w:type="dxa"/>
              <w:bottom w:w="70" w:type="dxa"/>
              <w:end w:w="70" w:type="dxa"/>
            </w:tcMar>
            <w:vAlign w:val="top"/>
          </w:tcPr>
          <w:p>
            <w:pPr>
              <w:spacing w:after="20" w:line="252" w:lineRule="auto"/>
            </w:pPr>
            <w:r>
              <w:rPr>
                <w:sz w:val="16"/>
              </w:rPr>
              <w:t>The solution must not depend on a single provider without fallback and caching.</w:t>
            </w:r>
          </w:p>
        </w:tc>
      </w:tr>
      <w:tr>
        <w:tc>
          <w:tcPr>
            <w:tcW w:type="dxa" w:w="4608"/>
            <w:tcMar>
              <w:top w:w="70" w:type="dxa"/>
              <w:start w:w="70" w:type="dxa"/>
              <w:bottom w:w="70" w:type="dxa"/>
              <w:end w:w="70" w:type="dxa"/>
            </w:tcMar>
            <w:vAlign w:val="top"/>
          </w:tcPr>
          <w:p>
            <w:pPr>
              <w:spacing w:after="20" w:line="252" w:lineRule="auto"/>
            </w:pPr>
            <w:r>
              <w:rPr>
                <w:sz w:val="16"/>
              </w:rPr>
              <w:t>User traffic will spike near match deadlines and after matches finish.</w:t>
            </w:r>
          </w:p>
        </w:tc>
        <w:tc>
          <w:tcPr>
            <w:tcW w:type="dxa" w:w="6048"/>
            <w:tcMar>
              <w:top w:w="70" w:type="dxa"/>
              <w:start w:w="70" w:type="dxa"/>
              <w:bottom w:w="70" w:type="dxa"/>
              <w:end w:w="70" w:type="dxa"/>
            </w:tcMar>
            <w:vAlign w:val="top"/>
          </w:tcPr>
          <w:p>
            <w:pPr>
              <w:spacing w:after="20" w:line="252" w:lineRule="auto"/>
            </w:pPr>
            <w:r>
              <w:rPr>
                <w:sz w:val="16"/>
              </w:rPr>
              <w:t>Critical paths must be optimized for read-heavy leaderboard traffic and deadline-sensitive prediction writes.</w:t>
            </w:r>
          </w:p>
        </w:tc>
      </w:tr>
    </w:tbl>
    <w:p>
      <w:pPr>
        <w:pStyle w:val="Heading2"/>
        <w:spacing w:before="240" w:after="100"/>
      </w:pPr>
      <w:r>
        <w:t>5.4 Constraints</w:t>
      </w:r>
    </w:p>
    <w:p>
      <w:pPr>
        <w:pStyle w:val="ListBullet"/>
        <w:spacing w:after="40"/>
      </w:pPr>
      <w:r>
        <w:rPr>
          <w:sz w:val="18"/>
        </w:rPr>
        <w:t>No user with a non-approved Nortal email domain may access or participate in the application.</w:t>
      </w:r>
    </w:p>
    <w:p>
      <w:pPr>
        <w:pStyle w:val="ListBullet"/>
        <w:spacing w:after="40"/>
      </w:pPr>
      <w:r>
        <w:rPr>
          <w:sz w:val="18"/>
        </w:rPr>
        <w:t>Prediction locks must be based on server-side time and official kickoff time, not client-side time.</w:t>
      </w:r>
    </w:p>
    <w:p>
      <w:pPr>
        <w:pStyle w:val="ListBullet"/>
        <w:spacing w:after="40"/>
      </w:pPr>
      <w:r>
        <w:rPr>
          <w:sz w:val="18"/>
        </w:rPr>
        <w:t>The final tournament predictions must become immutable as soon as the first official World Cup 2026 match starts.</w:t>
      </w:r>
    </w:p>
    <w:p>
      <w:pPr>
        <w:pStyle w:val="ListBullet"/>
        <w:spacing w:after="40"/>
      </w:pPr>
      <w:r>
        <w:rPr>
          <w:sz w:val="18"/>
        </w:rPr>
        <w:t>The solution must preserve an audit trail of prediction changes and scoring recalculations.</w:t>
      </w:r>
    </w:p>
    <w:p>
      <w:pPr>
        <w:pStyle w:val="ListBullet"/>
        <w:spacing w:after="40"/>
      </w:pPr>
      <w:r>
        <w:rPr>
          <w:sz w:val="18"/>
        </w:rPr>
        <w:t>The architecture must allow different implementation technologies and should avoid product-specific requirements at this stage.</w:t>
      </w:r>
    </w:p>
    <w:p>
      <w:pPr>
        <w:pStyle w:val="Heading1"/>
        <w:spacing w:before="240" w:after="100"/>
      </w:pPr>
      <w:r>
        <w:t>6. Functional Requirements</w:t>
      </w:r>
    </w:p>
    <w:p>
      <w:pPr>
        <w:keepLines w:val="0"/>
        <w:spacing w:after="120"/>
      </w:pPr>
      <w:r>
        <w:rPr>
          <w:b w:val="0"/>
          <w:i w:val="0"/>
        </w:rPr>
        <w:t>The following functional requirements define what the application must do. They are intentionally written in technology-neutral language and can be implemented through different delivery approaches.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tblHeader w:val="true"/>
        </w:trPr>
        <w:tc>
          <w:tcPr>
            <w:tcW w:type="dxa" w:w="1008"/>
            <w:shd w:fill="1F4E79"/>
            <w:tcMar>
              <w:top w:w="80" w:type="dxa"/>
              <w:start w:w="80" w:type="dxa"/>
              <w:bottom w:w="80" w:type="dxa"/>
              <w:end w:w="80" w:type="dxa"/>
            </w:tcMar>
            <w:vAlign w:val="center"/>
          </w:tcPr>
          <w:p>
            <w:pPr>
              <w:jc w:val="center"/>
            </w:pPr>
            <w:r>
              <w:rPr>
                <w:b/>
                <w:color w:val="FFFFFF"/>
                <w:sz w:val="15"/>
              </w:rPr>
              <w:t>ID</w:t>
            </w:r>
          </w:p>
        </w:tc>
        <w:tc>
          <w:tcPr>
            <w:tcW w:type="dxa" w:w="2088"/>
            <w:shd w:fill="1F4E79"/>
            <w:tcMar>
              <w:top w:w="80" w:type="dxa"/>
              <w:start w:w="80" w:type="dxa"/>
              <w:bottom w:w="80" w:type="dxa"/>
              <w:end w:w="80" w:type="dxa"/>
            </w:tcMar>
            <w:vAlign w:val="center"/>
          </w:tcPr>
          <w:p>
            <w:pPr>
              <w:jc w:val="center"/>
            </w:pPr>
            <w:r>
              <w:rPr>
                <w:b/>
                <w:color w:val="FFFFFF"/>
                <w:sz w:val="15"/>
              </w:rPr>
              <w:t>Area</w:t>
            </w:r>
          </w:p>
        </w:tc>
        <w:tc>
          <w:tcPr>
            <w:tcW w:type="dxa" w:w="6624"/>
            <w:shd w:fill="1F4E79"/>
            <w:tcMar>
              <w:top w:w="80" w:type="dxa"/>
              <w:start w:w="80" w:type="dxa"/>
              <w:bottom w:w="80" w:type="dxa"/>
              <w:end w:w="80" w:type="dxa"/>
            </w:tcMar>
            <w:vAlign w:val="center"/>
          </w:tcPr>
          <w:p>
            <w:pPr>
              <w:jc w:val="center"/>
            </w:pPr>
            <w:r>
              <w:rPr>
                <w:b/>
                <w:color w:val="FFFFFF"/>
                <w:sz w:val="15"/>
              </w:rPr>
              <w:t>Requirement</w:t>
            </w:r>
          </w:p>
        </w:tc>
        <w:tc>
          <w:tcPr>
            <w:tcW w:type="dxa" w:w="1224"/>
            <w:shd w:fill="1F4E79"/>
            <w:tcMar>
              <w:top w:w="80" w:type="dxa"/>
              <w:start w:w="80" w:type="dxa"/>
              <w:bottom w:w="80" w:type="dxa"/>
              <w:end w:w="80" w:type="dxa"/>
            </w:tcMar>
            <w:vAlign w:val="center"/>
          </w:tcPr>
          <w:p>
            <w:pPr>
              <w:jc w:val="center"/>
            </w:pPr>
            <w:r>
              <w:rPr>
                <w:b/>
                <w:color w:val="FFFFFF"/>
                <w:sz w:val="15"/>
              </w:rPr>
              <w:t>Priority</w:t>
            </w:r>
          </w:p>
        </w:tc>
      </w:tr>
      <w:tr>
        <w:tc>
          <w:tcPr>
            <w:tcW w:type="dxa" w:w="1008"/>
            <w:tcMar>
              <w:top w:w="70" w:type="dxa"/>
              <w:start w:w="70" w:type="dxa"/>
              <w:bottom w:w="70" w:type="dxa"/>
              <w:end w:w="70" w:type="dxa"/>
            </w:tcMar>
            <w:vAlign w:val="top"/>
          </w:tcPr>
          <w:p>
            <w:pPr>
              <w:spacing w:after="20" w:line="252" w:lineRule="auto"/>
            </w:pPr>
            <w:r>
              <w:rPr>
                <w:sz w:val="15"/>
              </w:rPr>
              <w:t>FR-001</w:t>
            </w:r>
          </w:p>
        </w:tc>
        <w:tc>
          <w:tcPr>
            <w:tcW w:type="dxa" w:w="2088"/>
            <w:tcMar>
              <w:top w:w="70" w:type="dxa"/>
              <w:start w:w="70" w:type="dxa"/>
              <w:bottom w:w="70" w:type="dxa"/>
              <w:end w:w="70" w:type="dxa"/>
            </w:tcMar>
            <w:vAlign w:val="top"/>
          </w:tcPr>
          <w:p>
            <w:pPr>
              <w:spacing w:after="20" w:line="252" w:lineRule="auto"/>
            </w:pPr>
            <w:r>
              <w:rPr>
                <w:sz w:val="15"/>
              </w:rPr>
              <w:t>Eligibility and access</w:t>
            </w:r>
          </w:p>
        </w:tc>
        <w:tc>
          <w:tcPr>
            <w:tcW w:type="dxa" w:w="6624"/>
            <w:tcMar>
              <w:top w:w="70" w:type="dxa"/>
              <w:start w:w="70" w:type="dxa"/>
              <w:bottom w:w="70" w:type="dxa"/>
              <w:end w:w="70" w:type="dxa"/>
            </w:tcMar>
            <w:vAlign w:val="top"/>
          </w:tcPr>
          <w:p>
            <w:pPr>
              <w:spacing w:after="20" w:line="252" w:lineRule="auto"/>
            </w:pPr>
            <w:r>
              <w:rPr>
                <w:sz w:val="15"/>
              </w:rPr>
              <w:t>The application shall allow access only to authenticated users whose identity belongs to an approved Nortal corporate domain or approved Nortal identity tenant.</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FR-002</w:t>
            </w:r>
          </w:p>
        </w:tc>
        <w:tc>
          <w:tcPr>
            <w:tcW w:type="dxa" w:w="2088"/>
            <w:tcMar>
              <w:top w:w="70" w:type="dxa"/>
              <w:start w:w="70" w:type="dxa"/>
              <w:bottom w:w="70" w:type="dxa"/>
              <w:end w:w="70" w:type="dxa"/>
            </w:tcMar>
            <w:vAlign w:val="top"/>
          </w:tcPr>
          <w:p>
            <w:pPr>
              <w:spacing w:after="20" w:line="252" w:lineRule="auto"/>
            </w:pPr>
            <w:r>
              <w:rPr>
                <w:sz w:val="15"/>
              </w:rPr>
              <w:t>Rejected external access</w:t>
            </w:r>
          </w:p>
        </w:tc>
        <w:tc>
          <w:tcPr>
            <w:tcW w:type="dxa" w:w="6624"/>
            <w:tcMar>
              <w:top w:w="70" w:type="dxa"/>
              <w:start w:w="70" w:type="dxa"/>
              <w:bottom w:w="70" w:type="dxa"/>
              <w:end w:w="70" w:type="dxa"/>
            </w:tcMar>
            <w:vAlign w:val="top"/>
          </w:tcPr>
          <w:p>
            <w:pPr>
              <w:spacing w:after="20" w:line="252" w:lineRule="auto"/>
            </w:pPr>
            <w:r>
              <w:rPr>
                <w:sz w:val="15"/>
              </w:rPr>
              <w:t>The application shall reject login, registration, and API access attempts from non-approved domains, even if the user can technically authenticate through a third-party identity provider.</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FR-003</w:t>
            </w:r>
          </w:p>
        </w:tc>
        <w:tc>
          <w:tcPr>
            <w:tcW w:type="dxa" w:w="2088"/>
            <w:tcMar>
              <w:top w:w="70" w:type="dxa"/>
              <w:start w:w="70" w:type="dxa"/>
              <w:bottom w:w="70" w:type="dxa"/>
              <w:end w:w="70" w:type="dxa"/>
            </w:tcMar>
            <w:vAlign w:val="top"/>
          </w:tcPr>
          <w:p>
            <w:pPr>
              <w:spacing w:after="20" w:line="252" w:lineRule="auto"/>
            </w:pPr>
            <w:r>
              <w:rPr>
                <w:sz w:val="15"/>
              </w:rPr>
              <w:t>Profile provisioning</w:t>
            </w:r>
          </w:p>
        </w:tc>
        <w:tc>
          <w:tcPr>
            <w:tcW w:type="dxa" w:w="6624"/>
            <w:tcMar>
              <w:top w:w="70" w:type="dxa"/>
              <w:start w:w="70" w:type="dxa"/>
              <w:bottom w:w="70" w:type="dxa"/>
              <w:end w:w="70" w:type="dxa"/>
            </w:tcMar>
            <w:vAlign w:val="top"/>
          </w:tcPr>
          <w:p>
            <w:pPr>
              <w:spacing w:after="20" w:line="252" w:lineRule="auto"/>
            </w:pPr>
            <w:r>
              <w:rPr>
                <w:sz w:val="15"/>
              </w:rPr>
              <w:t>The application shall create or update a participant profile after first successful eligible login, capturing only required business attributes such as display name, email, domain, region if available, and participation status.</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FR-004</w:t>
            </w:r>
          </w:p>
        </w:tc>
        <w:tc>
          <w:tcPr>
            <w:tcW w:type="dxa" w:w="2088"/>
            <w:tcMar>
              <w:top w:w="70" w:type="dxa"/>
              <w:start w:w="70" w:type="dxa"/>
              <w:bottom w:w="70" w:type="dxa"/>
              <w:end w:w="70" w:type="dxa"/>
            </w:tcMar>
            <w:vAlign w:val="top"/>
          </w:tcPr>
          <w:p>
            <w:pPr>
              <w:spacing w:after="20" w:line="252" w:lineRule="auto"/>
            </w:pPr>
            <w:r>
              <w:rPr>
                <w:sz w:val="15"/>
              </w:rPr>
              <w:t>Match catalog</w:t>
            </w:r>
          </w:p>
        </w:tc>
        <w:tc>
          <w:tcPr>
            <w:tcW w:type="dxa" w:w="6624"/>
            <w:tcMar>
              <w:top w:w="70" w:type="dxa"/>
              <w:start w:w="70" w:type="dxa"/>
              <w:bottom w:w="70" w:type="dxa"/>
              <w:end w:w="70" w:type="dxa"/>
            </w:tcMar>
            <w:vAlign w:val="top"/>
          </w:tcPr>
          <w:p>
            <w:pPr>
              <w:spacing w:after="20" w:line="252" w:lineRule="auto"/>
            </w:pPr>
            <w:r>
              <w:rPr>
                <w:sz w:val="15"/>
              </w:rPr>
              <w:t>The application shall maintain a catalog of World Cup 2026 matches with official identifiers, teams, stage, group, kickoff time, venue if available, status, and score fields.</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FR-005</w:t>
            </w:r>
          </w:p>
        </w:tc>
        <w:tc>
          <w:tcPr>
            <w:tcW w:type="dxa" w:w="2088"/>
            <w:tcMar>
              <w:top w:w="70" w:type="dxa"/>
              <w:start w:w="70" w:type="dxa"/>
              <w:bottom w:w="70" w:type="dxa"/>
              <w:end w:w="70" w:type="dxa"/>
            </w:tcMar>
            <w:vAlign w:val="top"/>
          </w:tcPr>
          <w:p>
            <w:pPr>
              <w:spacing w:after="20" w:line="252" w:lineRule="auto"/>
            </w:pPr>
            <w:r>
              <w:rPr>
                <w:sz w:val="15"/>
              </w:rPr>
              <w:t>Prediction entry</w:t>
            </w:r>
          </w:p>
        </w:tc>
        <w:tc>
          <w:tcPr>
            <w:tcW w:type="dxa" w:w="6624"/>
            <w:tcMar>
              <w:top w:w="70" w:type="dxa"/>
              <w:start w:w="70" w:type="dxa"/>
              <w:bottom w:w="70" w:type="dxa"/>
              <w:end w:w="70" w:type="dxa"/>
            </w:tcMar>
            <w:vAlign w:val="top"/>
          </w:tcPr>
          <w:p>
            <w:pPr>
              <w:spacing w:after="20" w:line="252" w:lineRule="auto"/>
            </w:pPr>
            <w:r>
              <w:rPr>
                <w:sz w:val="15"/>
              </w:rPr>
              <w:t>The application shall allow each participant to enter predictions for one or more upcoming matches.</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FR-006</w:t>
            </w:r>
          </w:p>
        </w:tc>
        <w:tc>
          <w:tcPr>
            <w:tcW w:type="dxa" w:w="2088"/>
            <w:tcMar>
              <w:top w:w="70" w:type="dxa"/>
              <w:start w:w="70" w:type="dxa"/>
              <w:bottom w:w="70" w:type="dxa"/>
              <w:end w:w="70" w:type="dxa"/>
            </w:tcMar>
            <w:vAlign w:val="top"/>
          </w:tcPr>
          <w:p>
            <w:pPr>
              <w:spacing w:after="20" w:line="252" w:lineRule="auto"/>
            </w:pPr>
            <w:r>
              <w:rPr>
                <w:sz w:val="15"/>
              </w:rPr>
              <w:t>Single active prediction per match</w:t>
            </w:r>
          </w:p>
        </w:tc>
        <w:tc>
          <w:tcPr>
            <w:tcW w:type="dxa" w:w="6624"/>
            <w:tcMar>
              <w:top w:w="70" w:type="dxa"/>
              <w:start w:w="70" w:type="dxa"/>
              <w:bottom w:w="70" w:type="dxa"/>
              <w:end w:w="70" w:type="dxa"/>
            </w:tcMar>
            <w:vAlign w:val="top"/>
          </w:tcPr>
          <w:p>
            <w:pPr>
              <w:spacing w:after="20" w:line="252" w:lineRule="auto"/>
            </w:pPr>
            <w:r>
              <w:rPr>
                <w:sz w:val="15"/>
              </w:rPr>
              <w:t>The application shall maintain only one active match prediction per participant per match, while preserving historical edits for audit purposes.</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FR-007</w:t>
            </w:r>
          </w:p>
        </w:tc>
        <w:tc>
          <w:tcPr>
            <w:tcW w:type="dxa" w:w="2088"/>
            <w:tcMar>
              <w:top w:w="70" w:type="dxa"/>
              <w:start w:w="70" w:type="dxa"/>
              <w:bottom w:w="70" w:type="dxa"/>
              <w:end w:w="70" w:type="dxa"/>
            </w:tcMar>
            <w:vAlign w:val="top"/>
          </w:tcPr>
          <w:p>
            <w:pPr>
              <w:spacing w:after="20" w:line="252" w:lineRule="auto"/>
            </w:pPr>
            <w:r>
              <w:rPr>
                <w:sz w:val="15"/>
              </w:rPr>
              <w:t>Prediction update</w:t>
            </w:r>
          </w:p>
        </w:tc>
        <w:tc>
          <w:tcPr>
            <w:tcW w:type="dxa" w:w="6624"/>
            <w:tcMar>
              <w:top w:w="70" w:type="dxa"/>
              <w:start w:w="70" w:type="dxa"/>
              <w:bottom w:w="70" w:type="dxa"/>
              <w:end w:w="70" w:type="dxa"/>
            </w:tcMar>
            <w:vAlign w:val="top"/>
          </w:tcPr>
          <w:p>
            <w:pPr>
              <w:spacing w:after="20" w:line="252" w:lineRule="auto"/>
            </w:pPr>
            <w:r>
              <w:rPr>
                <w:sz w:val="15"/>
              </w:rPr>
              <w:t>The application shall allow a participant to update an existing match prediction only when the match has not started and more than one hour remains before kickoff.</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FR-008</w:t>
            </w:r>
          </w:p>
        </w:tc>
        <w:tc>
          <w:tcPr>
            <w:tcW w:type="dxa" w:w="2088"/>
            <w:tcMar>
              <w:top w:w="70" w:type="dxa"/>
              <w:start w:w="70" w:type="dxa"/>
              <w:bottom w:w="70" w:type="dxa"/>
              <w:end w:w="70" w:type="dxa"/>
            </w:tcMar>
            <w:vAlign w:val="top"/>
          </w:tcPr>
          <w:p>
            <w:pPr>
              <w:spacing w:after="20" w:line="252" w:lineRule="auto"/>
            </w:pPr>
            <w:r>
              <w:rPr>
                <w:sz w:val="15"/>
              </w:rPr>
              <w:t>Match lock</w:t>
            </w:r>
          </w:p>
        </w:tc>
        <w:tc>
          <w:tcPr>
            <w:tcW w:type="dxa" w:w="6624"/>
            <w:tcMar>
              <w:top w:w="70" w:type="dxa"/>
              <w:start w:w="70" w:type="dxa"/>
              <w:bottom w:w="70" w:type="dxa"/>
              <w:end w:w="70" w:type="dxa"/>
            </w:tcMar>
            <w:vAlign w:val="top"/>
          </w:tcPr>
          <w:p>
            <w:pPr>
              <w:spacing w:after="20" w:line="252" w:lineRule="auto"/>
            </w:pPr>
            <w:r>
              <w:rPr>
                <w:sz w:val="15"/>
              </w:rPr>
              <w:t>The application shall prevent creation or modification of a match prediction when the current trusted server time is equal to or later than the match kickoff time minus 60 minutes.</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FR-009</w:t>
            </w:r>
          </w:p>
        </w:tc>
        <w:tc>
          <w:tcPr>
            <w:tcW w:type="dxa" w:w="2088"/>
            <w:tcMar>
              <w:top w:w="70" w:type="dxa"/>
              <w:start w:w="70" w:type="dxa"/>
              <w:bottom w:w="70" w:type="dxa"/>
              <w:end w:w="70" w:type="dxa"/>
            </w:tcMar>
            <w:vAlign w:val="top"/>
          </w:tcPr>
          <w:p>
            <w:pPr>
              <w:spacing w:after="20" w:line="252" w:lineRule="auto"/>
            </w:pPr>
            <w:r>
              <w:rPr>
                <w:sz w:val="15"/>
              </w:rPr>
              <w:t>Final predictions</w:t>
            </w:r>
          </w:p>
        </w:tc>
        <w:tc>
          <w:tcPr>
            <w:tcW w:type="dxa" w:w="6624"/>
            <w:tcMar>
              <w:top w:w="70" w:type="dxa"/>
              <w:start w:w="70" w:type="dxa"/>
              <w:bottom w:w="70" w:type="dxa"/>
              <w:end w:w="70" w:type="dxa"/>
            </w:tcMar>
            <w:vAlign w:val="top"/>
          </w:tcPr>
          <w:p>
            <w:pPr>
              <w:spacing w:after="20" w:line="252" w:lineRule="auto"/>
            </w:pPr>
            <w:r>
              <w:rPr>
                <w:sz w:val="15"/>
              </w:rPr>
              <w:t>The application shall allow participants to submit predictions for top scorer, best player, champion team, and runner-up team before the first official tournament match begins.</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FR-010</w:t>
            </w:r>
          </w:p>
        </w:tc>
        <w:tc>
          <w:tcPr>
            <w:tcW w:type="dxa" w:w="2088"/>
            <w:tcMar>
              <w:top w:w="70" w:type="dxa"/>
              <w:start w:w="70" w:type="dxa"/>
              <w:bottom w:w="70" w:type="dxa"/>
              <w:end w:w="70" w:type="dxa"/>
            </w:tcMar>
            <w:vAlign w:val="top"/>
          </w:tcPr>
          <w:p>
            <w:pPr>
              <w:spacing w:after="20" w:line="252" w:lineRule="auto"/>
            </w:pPr>
            <w:r>
              <w:rPr>
                <w:sz w:val="15"/>
              </w:rPr>
              <w:t>Final prediction lock</w:t>
            </w:r>
          </w:p>
        </w:tc>
        <w:tc>
          <w:tcPr>
            <w:tcW w:type="dxa" w:w="6624"/>
            <w:tcMar>
              <w:top w:w="70" w:type="dxa"/>
              <w:start w:w="70" w:type="dxa"/>
              <w:bottom w:w="70" w:type="dxa"/>
              <w:end w:w="70" w:type="dxa"/>
            </w:tcMar>
            <w:vAlign w:val="top"/>
          </w:tcPr>
          <w:p>
            <w:pPr>
              <w:spacing w:after="20" w:line="252" w:lineRule="auto"/>
            </w:pPr>
            <w:r>
              <w:rPr>
                <w:sz w:val="15"/>
              </w:rPr>
              <w:t>The application shall prevent creation or modification of final tournament predictions once the first official World Cup 2026 match has started.</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FR-011</w:t>
            </w:r>
          </w:p>
        </w:tc>
        <w:tc>
          <w:tcPr>
            <w:tcW w:type="dxa" w:w="2088"/>
            <w:tcMar>
              <w:top w:w="70" w:type="dxa"/>
              <w:start w:w="70" w:type="dxa"/>
              <w:bottom w:w="70" w:type="dxa"/>
              <w:end w:w="70" w:type="dxa"/>
            </w:tcMar>
            <w:vAlign w:val="top"/>
          </w:tcPr>
          <w:p>
            <w:pPr>
              <w:spacing w:after="20" w:line="252" w:lineRule="auto"/>
            </w:pPr>
            <w:r>
              <w:rPr>
                <w:sz w:val="15"/>
              </w:rPr>
              <w:t>Score calculation</w:t>
            </w:r>
          </w:p>
        </w:tc>
        <w:tc>
          <w:tcPr>
            <w:tcW w:type="dxa" w:w="6624"/>
            <w:tcMar>
              <w:top w:w="70" w:type="dxa"/>
              <w:start w:w="70" w:type="dxa"/>
              <w:bottom w:w="70" w:type="dxa"/>
              <w:end w:w="70" w:type="dxa"/>
            </w:tcMar>
            <w:vAlign w:val="top"/>
          </w:tcPr>
          <w:p>
            <w:pPr>
              <w:spacing w:after="20" w:line="252" w:lineRule="auto"/>
            </w:pPr>
            <w:r>
              <w:rPr>
                <w:sz w:val="15"/>
              </w:rPr>
              <w:t>The application shall calculate match prediction points using the defined scoring rules for exact score, correct outcome, and incorrect prediction.</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FR-012</w:t>
            </w:r>
          </w:p>
        </w:tc>
        <w:tc>
          <w:tcPr>
            <w:tcW w:type="dxa" w:w="2088"/>
            <w:tcMar>
              <w:top w:w="70" w:type="dxa"/>
              <w:start w:w="70" w:type="dxa"/>
              <w:bottom w:w="70" w:type="dxa"/>
              <w:end w:w="70" w:type="dxa"/>
            </w:tcMar>
            <w:vAlign w:val="top"/>
          </w:tcPr>
          <w:p>
            <w:pPr>
              <w:spacing w:after="20" w:line="252" w:lineRule="auto"/>
            </w:pPr>
            <w:r>
              <w:rPr>
                <w:sz w:val="15"/>
              </w:rPr>
              <w:t>Final prediction scoring</w:t>
            </w:r>
          </w:p>
        </w:tc>
        <w:tc>
          <w:tcPr>
            <w:tcW w:type="dxa" w:w="6624"/>
            <w:tcMar>
              <w:top w:w="70" w:type="dxa"/>
              <w:start w:w="70" w:type="dxa"/>
              <w:bottom w:w="70" w:type="dxa"/>
              <w:end w:w="70" w:type="dxa"/>
            </w:tcMar>
            <w:vAlign w:val="top"/>
          </w:tcPr>
          <w:p>
            <w:pPr>
              <w:spacing w:after="20" w:line="252" w:lineRule="auto"/>
            </w:pPr>
            <w:r>
              <w:rPr>
                <w:sz w:val="15"/>
              </w:rPr>
              <w:t>The application shall award 20 points for each correctly predicted final tournament item: top scorer, best player, champion, and runner-up.</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FR-013</w:t>
            </w:r>
          </w:p>
        </w:tc>
        <w:tc>
          <w:tcPr>
            <w:tcW w:type="dxa" w:w="2088"/>
            <w:tcMar>
              <w:top w:w="70" w:type="dxa"/>
              <w:start w:w="70" w:type="dxa"/>
              <w:bottom w:w="70" w:type="dxa"/>
              <w:end w:w="70" w:type="dxa"/>
            </w:tcMar>
            <w:vAlign w:val="top"/>
          </w:tcPr>
          <w:p>
            <w:pPr>
              <w:spacing w:after="20" w:line="252" w:lineRule="auto"/>
            </w:pPr>
            <w:r>
              <w:rPr>
                <w:sz w:val="15"/>
              </w:rPr>
              <w:t>Leaderboard</w:t>
            </w:r>
          </w:p>
        </w:tc>
        <w:tc>
          <w:tcPr>
            <w:tcW w:type="dxa" w:w="6624"/>
            <w:tcMar>
              <w:top w:w="70" w:type="dxa"/>
              <w:start w:w="70" w:type="dxa"/>
              <w:bottom w:w="70" w:type="dxa"/>
              <w:end w:w="70" w:type="dxa"/>
            </w:tcMar>
            <w:vAlign w:val="top"/>
          </w:tcPr>
          <w:p>
            <w:pPr>
              <w:spacing w:after="20" w:line="252" w:lineRule="auto"/>
            </w:pPr>
            <w:r>
              <w:rPr>
                <w:sz w:val="15"/>
              </w:rPr>
              <w:t>The application shall provide a leaderboard ranked by total points, with deterministic tie-breaking rules.</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FR-014</w:t>
            </w:r>
          </w:p>
        </w:tc>
        <w:tc>
          <w:tcPr>
            <w:tcW w:type="dxa" w:w="2088"/>
            <w:tcMar>
              <w:top w:w="70" w:type="dxa"/>
              <w:start w:w="70" w:type="dxa"/>
              <w:bottom w:w="70" w:type="dxa"/>
              <w:end w:w="70" w:type="dxa"/>
            </w:tcMar>
            <w:vAlign w:val="top"/>
          </w:tcPr>
          <w:p>
            <w:pPr>
              <w:spacing w:after="20" w:line="252" w:lineRule="auto"/>
            </w:pPr>
            <w:r>
              <w:rPr>
                <w:sz w:val="15"/>
              </w:rPr>
              <w:t>Personal breakdown</w:t>
            </w:r>
          </w:p>
        </w:tc>
        <w:tc>
          <w:tcPr>
            <w:tcW w:type="dxa" w:w="6624"/>
            <w:tcMar>
              <w:top w:w="70" w:type="dxa"/>
              <w:start w:w="70" w:type="dxa"/>
              <w:bottom w:w="70" w:type="dxa"/>
              <w:end w:w="70" w:type="dxa"/>
            </w:tcMar>
            <w:vAlign w:val="top"/>
          </w:tcPr>
          <w:p>
            <w:pPr>
              <w:spacing w:after="20" w:line="252" w:lineRule="auto"/>
            </w:pPr>
            <w:r>
              <w:rPr>
                <w:sz w:val="15"/>
              </w:rPr>
              <w:t>The application shall provide each participant with a breakdown of points by match and by final prediction item.</w:t>
            </w:r>
          </w:p>
        </w:tc>
        <w:tc>
          <w:tcPr>
            <w:tcW w:type="dxa" w:w="1224"/>
            <w:tcMar>
              <w:top w:w="70" w:type="dxa"/>
              <w:start w:w="70" w:type="dxa"/>
              <w:bottom w:w="70" w:type="dxa"/>
              <w:end w:w="70" w:type="dxa"/>
            </w:tcMar>
            <w:vAlign w:val="top"/>
          </w:tcPr>
          <w:p>
            <w:pPr>
              <w:spacing w:after="20" w:line="252" w:lineRule="auto"/>
            </w:pPr>
            <w:r>
              <w:rPr>
                <w:sz w:val="15"/>
              </w:rPr>
              <w:t>Should have</w:t>
            </w:r>
          </w:p>
        </w:tc>
      </w:tr>
      <w:tr>
        <w:tc>
          <w:tcPr>
            <w:tcW w:type="dxa" w:w="1008"/>
            <w:tcMar>
              <w:top w:w="70" w:type="dxa"/>
              <w:start w:w="70" w:type="dxa"/>
              <w:bottom w:w="70" w:type="dxa"/>
              <w:end w:w="70" w:type="dxa"/>
            </w:tcMar>
            <w:vAlign w:val="top"/>
          </w:tcPr>
          <w:p>
            <w:pPr>
              <w:spacing w:after="20" w:line="252" w:lineRule="auto"/>
            </w:pPr>
            <w:r>
              <w:rPr>
                <w:sz w:val="15"/>
              </w:rPr>
              <w:t>FR-015</w:t>
            </w:r>
          </w:p>
        </w:tc>
        <w:tc>
          <w:tcPr>
            <w:tcW w:type="dxa" w:w="2088"/>
            <w:tcMar>
              <w:top w:w="70" w:type="dxa"/>
              <w:start w:w="70" w:type="dxa"/>
              <w:bottom w:w="70" w:type="dxa"/>
              <w:end w:w="70" w:type="dxa"/>
            </w:tcMar>
            <w:vAlign w:val="top"/>
          </w:tcPr>
          <w:p>
            <w:pPr>
              <w:spacing w:after="20" w:line="252" w:lineRule="auto"/>
            </w:pPr>
            <w:r>
              <w:rPr>
                <w:sz w:val="15"/>
              </w:rPr>
              <w:t>Administrative override</w:t>
            </w:r>
          </w:p>
        </w:tc>
        <w:tc>
          <w:tcPr>
            <w:tcW w:type="dxa" w:w="6624"/>
            <w:tcMar>
              <w:top w:w="70" w:type="dxa"/>
              <w:start w:w="70" w:type="dxa"/>
              <w:bottom w:w="70" w:type="dxa"/>
              <w:end w:w="70" w:type="dxa"/>
            </w:tcMar>
            <w:vAlign w:val="top"/>
          </w:tcPr>
          <w:p>
            <w:pPr>
              <w:spacing w:after="20" w:line="252" w:lineRule="auto"/>
            </w:pPr>
            <w:r>
              <w:rPr>
                <w:sz w:val="15"/>
              </w:rPr>
              <w:t>The application shall allow authorized administrators to correct match data, final award data, or scoring inputs when official sources are delayed or incorrect.</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FR-016</w:t>
            </w:r>
          </w:p>
        </w:tc>
        <w:tc>
          <w:tcPr>
            <w:tcW w:type="dxa" w:w="2088"/>
            <w:tcMar>
              <w:top w:w="70" w:type="dxa"/>
              <w:start w:w="70" w:type="dxa"/>
              <w:bottom w:w="70" w:type="dxa"/>
              <w:end w:w="70" w:type="dxa"/>
            </w:tcMar>
            <w:vAlign w:val="top"/>
          </w:tcPr>
          <w:p>
            <w:pPr>
              <w:spacing w:after="20" w:line="252" w:lineRule="auto"/>
            </w:pPr>
            <w:r>
              <w:rPr>
                <w:sz w:val="15"/>
              </w:rPr>
              <w:t>Recalculation</w:t>
            </w:r>
          </w:p>
        </w:tc>
        <w:tc>
          <w:tcPr>
            <w:tcW w:type="dxa" w:w="6624"/>
            <w:tcMar>
              <w:top w:w="70" w:type="dxa"/>
              <w:start w:w="70" w:type="dxa"/>
              <w:bottom w:w="70" w:type="dxa"/>
              <w:end w:w="70" w:type="dxa"/>
            </w:tcMar>
            <w:vAlign w:val="top"/>
          </w:tcPr>
          <w:p>
            <w:pPr>
              <w:spacing w:after="20" w:line="252" w:lineRule="auto"/>
            </w:pPr>
            <w:r>
              <w:rPr>
                <w:sz w:val="15"/>
              </w:rPr>
              <w:t>The application shall allow authorized administrators or scheduled processes to recalculate points after match scores or official final tournament data changes.</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FR-017</w:t>
            </w:r>
          </w:p>
        </w:tc>
        <w:tc>
          <w:tcPr>
            <w:tcW w:type="dxa" w:w="2088"/>
            <w:tcMar>
              <w:top w:w="70" w:type="dxa"/>
              <w:start w:w="70" w:type="dxa"/>
              <w:bottom w:w="70" w:type="dxa"/>
              <w:end w:w="70" w:type="dxa"/>
            </w:tcMar>
            <w:vAlign w:val="top"/>
          </w:tcPr>
          <w:p>
            <w:pPr>
              <w:spacing w:after="20" w:line="252" w:lineRule="auto"/>
            </w:pPr>
            <w:r>
              <w:rPr>
                <w:sz w:val="15"/>
              </w:rPr>
              <w:t>Data synchronization</w:t>
            </w:r>
          </w:p>
        </w:tc>
        <w:tc>
          <w:tcPr>
            <w:tcW w:type="dxa" w:w="6624"/>
            <w:tcMar>
              <w:top w:w="70" w:type="dxa"/>
              <w:start w:w="70" w:type="dxa"/>
              <w:bottom w:w="70" w:type="dxa"/>
              <w:end w:w="70" w:type="dxa"/>
            </w:tcMar>
            <w:vAlign w:val="top"/>
          </w:tcPr>
          <w:p>
            <w:pPr>
              <w:spacing w:after="20" w:line="252" w:lineRule="auto"/>
            </w:pPr>
            <w:r>
              <w:rPr>
                <w:sz w:val="15"/>
              </w:rPr>
              <w:t>The application shall synchronize fixtures, statuses, and scores from one or more external football data providers through a provider-agnostic integration layer.</w:t>
            </w:r>
          </w:p>
        </w:tc>
        <w:tc>
          <w:tcPr>
            <w:tcW w:type="dxa" w:w="1224"/>
            <w:tcMar>
              <w:top w:w="70" w:type="dxa"/>
              <w:start w:w="70" w:type="dxa"/>
              <w:bottom w:w="70" w:type="dxa"/>
              <w:end w:w="70" w:type="dxa"/>
            </w:tcMar>
            <w:vAlign w:val="top"/>
          </w:tcPr>
          <w:p>
            <w:pPr>
              <w:spacing w:after="20" w:line="252" w:lineRule="auto"/>
            </w:pPr>
            <w:r>
              <w:rPr>
                <w:sz w:val="15"/>
              </w:rPr>
              <w:t>Should have</w:t>
            </w:r>
          </w:p>
        </w:tc>
      </w:tr>
      <w:tr>
        <w:tc>
          <w:tcPr>
            <w:tcW w:type="dxa" w:w="1008"/>
            <w:tcMar>
              <w:top w:w="70" w:type="dxa"/>
              <w:start w:w="70" w:type="dxa"/>
              <w:bottom w:w="70" w:type="dxa"/>
              <w:end w:w="70" w:type="dxa"/>
            </w:tcMar>
            <w:vAlign w:val="top"/>
          </w:tcPr>
          <w:p>
            <w:pPr>
              <w:spacing w:after="20" w:line="252" w:lineRule="auto"/>
            </w:pPr>
            <w:r>
              <w:rPr>
                <w:sz w:val="15"/>
              </w:rPr>
              <w:t>FR-018</w:t>
            </w:r>
          </w:p>
        </w:tc>
        <w:tc>
          <w:tcPr>
            <w:tcW w:type="dxa" w:w="2088"/>
            <w:tcMar>
              <w:top w:w="70" w:type="dxa"/>
              <w:start w:w="70" w:type="dxa"/>
              <w:bottom w:w="70" w:type="dxa"/>
              <w:end w:w="70" w:type="dxa"/>
            </w:tcMar>
            <w:vAlign w:val="top"/>
          </w:tcPr>
          <w:p>
            <w:pPr>
              <w:spacing w:after="20" w:line="252" w:lineRule="auto"/>
            </w:pPr>
            <w:r>
              <w:rPr>
                <w:sz w:val="15"/>
              </w:rPr>
              <w:t>Audit trail</w:t>
            </w:r>
          </w:p>
        </w:tc>
        <w:tc>
          <w:tcPr>
            <w:tcW w:type="dxa" w:w="6624"/>
            <w:tcMar>
              <w:top w:w="70" w:type="dxa"/>
              <w:start w:w="70" w:type="dxa"/>
              <w:bottom w:w="70" w:type="dxa"/>
              <w:end w:w="70" w:type="dxa"/>
            </w:tcMar>
            <w:vAlign w:val="top"/>
          </w:tcPr>
          <w:p>
            <w:pPr>
              <w:spacing w:after="20" w:line="252" w:lineRule="auto"/>
            </w:pPr>
            <w:r>
              <w:rPr>
                <w:sz w:val="15"/>
              </w:rPr>
              <w:t>The application shall record creation, update, lock, override, and scoring events with timestamp, actor, previous value, new value, and reason where applicable.</w:t>
            </w:r>
          </w:p>
        </w:tc>
        <w:tc>
          <w:tcPr>
            <w:tcW w:type="dxa" w:w="1224"/>
            <w:tcMar>
              <w:top w:w="70" w:type="dxa"/>
              <w:start w:w="70" w:type="dxa"/>
              <w:bottom w:w="70" w:type="dxa"/>
              <w:end w:w="70" w:type="dxa"/>
            </w:tcMar>
            <w:vAlign w:val="top"/>
          </w:tcPr>
          <w:p>
            <w:pPr>
              <w:spacing w:after="20" w:line="252" w:lineRule="auto"/>
            </w:pPr>
            <w:r>
              <w:rPr>
                <w:sz w:val="15"/>
              </w:rPr>
              <w:t>Must have</w:t>
            </w:r>
          </w:p>
        </w:tc>
      </w:tr>
      <w:tr>
        <w:tc>
          <w:tcPr>
            <w:tcW w:type="dxa" w:w="1008"/>
            <w:tcMar>
              <w:top w:w="70" w:type="dxa"/>
              <w:start w:w="70" w:type="dxa"/>
              <w:bottom w:w="70" w:type="dxa"/>
              <w:end w:w="70" w:type="dxa"/>
            </w:tcMar>
            <w:vAlign w:val="top"/>
          </w:tcPr>
          <w:p>
            <w:pPr>
              <w:spacing w:after="20" w:line="252" w:lineRule="auto"/>
            </w:pPr>
            <w:r>
              <w:rPr>
                <w:sz w:val="15"/>
              </w:rPr>
              <w:t>FR-019</w:t>
            </w:r>
          </w:p>
        </w:tc>
        <w:tc>
          <w:tcPr>
            <w:tcW w:type="dxa" w:w="2088"/>
            <w:tcMar>
              <w:top w:w="70" w:type="dxa"/>
              <w:start w:w="70" w:type="dxa"/>
              <w:bottom w:w="70" w:type="dxa"/>
              <w:end w:w="70" w:type="dxa"/>
            </w:tcMar>
            <w:vAlign w:val="top"/>
          </w:tcPr>
          <w:p>
            <w:pPr>
              <w:spacing w:after="20" w:line="252" w:lineRule="auto"/>
            </w:pPr>
            <w:r>
              <w:rPr>
                <w:sz w:val="15"/>
              </w:rPr>
              <w:t>Notifications</w:t>
            </w:r>
          </w:p>
        </w:tc>
        <w:tc>
          <w:tcPr>
            <w:tcW w:type="dxa" w:w="6624"/>
            <w:tcMar>
              <w:top w:w="70" w:type="dxa"/>
              <w:start w:w="70" w:type="dxa"/>
              <w:bottom w:w="70" w:type="dxa"/>
              <w:end w:w="70" w:type="dxa"/>
            </w:tcMar>
            <w:vAlign w:val="top"/>
          </w:tcPr>
          <w:p>
            <w:pPr>
              <w:spacing w:after="20" w:line="252" w:lineRule="auto"/>
            </w:pPr>
            <w:r>
              <w:rPr>
                <w:sz w:val="15"/>
              </w:rPr>
              <w:t>The application should notify participants about upcoming deadlines, missing predictions, score updates, and leaderboard milestones, subject to communication policy.</w:t>
            </w:r>
          </w:p>
        </w:tc>
        <w:tc>
          <w:tcPr>
            <w:tcW w:type="dxa" w:w="1224"/>
            <w:tcMar>
              <w:top w:w="70" w:type="dxa"/>
              <w:start w:w="70" w:type="dxa"/>
              <w:bottom w:w="70" w:type="dxa"/>
              <w:end w:w="70" w:type="dxa"/>
            </w:tcMar>
            <w:vAlign w:val="top"/>
          </w:tcPr>
          <w:p>
            <w:pPr>
              <w:spacing w:after="20" w:line="252" w:lineRule="auto"/>
            </w:pPr>
            <w:r>
              <w:rPr>
                <w:sz w:val="15"/>
              </w:rPr>
              <w:t>Should have</w:t>
            </w:r>
          </w:p>
        </w:tc>
      </w:tr>
      <w:tr>
        <w:tc>
          <w:tcPr>
            <w:tcW w:type="dxa" w:w="1008"/>
            <w:tcMar>
              <w:top w:w="70" w:type="dxa"/>
              <w:start w:w="70" w:type="dxa"/>
              <w:bottom w:w="70" w:type="dxa"/>
              <w:end w:w="70" w:type="dxa"/>
            </w:tcMar>
            <w:vAlign w:val="top"/>
          </w:tcPr>
          <w:p>
            <w:pPr>
              <w:spacing w:after="20" w:line="252" w:lineRule="auto"/>
            </w:pPr>
            <w:r>
              <w:rPr>
                <w:sz w:val="15"/>
              </w:rPr>
              <w:t>FR-020</w:t>
            </w:r>
          </w:p>
        </w:tc>
        <w:tc>
          <w:tcPr>
            <w:tcW w:type="dxa" w:w="2088"/>
            <w:tcMar>
              <w:top w:w="70" w:type="dxa"/>
              <w:start w:w="70" w:type="dxa"/>
              <w:bottom w:w="70" w:type="dxa"/>
              <w:end w:w="70" w:type="dxa"/>
            </w:tcMar>
            <w:vAlign w:val="top"/>
          </w:tcPr>
          <w:p>
            <w:pPr>
              <w:spacing w:after="20" w:line="252" w:lineRule="auto"/>
            </w:pPr>
            <w:r>
              <w:rPr>
                <w:sz w:val="15"/>
              </w:rPr>
              <w:t>Configuration</w:t>
            </w:r>
          </w:p>
        </w:tc>
        <w:tc>
          <w:tcPr>
            <w:tcW w:type="dxa" w:w="6624"/>
            <w:tcMar>
              <w:top w:w="70" w:type="dxa"/>
              <w:start w:w="70" w:type="dxa"/>
              <w:bottom w:w="70" w:type="dxa"/>
              <w:end w:w="70" w:type="dxa"/>
            </w:tcMar>
            <w:vAlign w:val="top"/>
          </w:tcPr>
          <w:p>
            <w:pPr>
              <w:spacing w:after="20" w:line="252" w:lineRule="auto"/>
            </w:pPr>
            <w:r>
              <w:rPr>
                <w:sz w:val="15"/>
              </w:rPr>
              <w:t>The application shall allow administrators to configure tournament settings, allowed domains, lock windows, scoring values, active/inactive phases, and provider settings.</w:t>
            </w:r>
          </w:p>
        </w:tc>
        <w:tc>
          <w:tcPr>
            <w:tcW w:type="dxa" w:w="1224"/>
            <w:tcMar>
              <w:top w:w="70" w:type="dxa"/>
              <w:start w:w="70" w:type="dxa"/>
              <w:bottom w:w="70" w:type="dxa"/>
              <w:end w:w="70" w:type="dxa"/>
            </w:tcMar>
            <w:vAlign w:val="top"/>
          </w:tcPr>
          <w:p>
            <w:pPr>
              <w:spacing w:after="20" w:line="252" w:lineRule="auto"/>
            </w:pPr>
            <w:r>
              <w:rPr>
                <w:sz w:val="15"/>
              </w:rPr>
              <w:t>Must have</w:t>
            </w:r>
          </w:p>
        </w:tc>
      </w:tr>
    </w:tbl>
    <w:p>
      <w:pPr>
        <w:pStyle w:val="Heading2"/>
        <w:spacing w:before="240" w:after="100"/>
      </w:pPr>
      <w:r>
        <w:t>6.1 Participant Journey Requirements</w:t>
      </w:r>
    </w:p>
    <w:p>
      <w:pPr>
        <w:pStyle w:val="ListNumber"/>
        <w:spacing w:after="40"/>
      </w:pPr>
      <w:r>
        <w:rPr>
          <w:sz w:val="18"/>
        </w:rPr>
        <w:t>The participant opens the application and is redirected to the corporate authentication flow.</w:t>
      </w:r>
    </w:p>
    <w:p>
      <w:pPr>
        <w:pStyle w:val="ListNumber"/>
        <w:spacing w:after="40"/>
      </w:pPr>
      <w:r>
        <w:rPr>
          <w:sz w:val="18"/>
        </w:rPr>
        <w:t>The system validates that the authenticated identity belongs to an approved Nortal domain or tenant.</w:t>
      </w:r>
    </w:p>
    <w:p>
      <w:pPr>
        <w:pStyle w:val="ListNumber"/>
        <w:spacing w:after="40"/>
      </w:pPr>
      <w:r>
        <w:rPr>
          <w:sz w:val="18"/>
        </w:rPr>
        <w:t>If the user is eligible, the system provisions or refreshes the participant profile.</w:t>
      </w:r>
    </w:p>
    <w:p>
      <w:pPr>
        <w:pStyle w:val="ListNumber"/>
        <w:spacing w:after="40"/>
      </w:pPr>
      <w:r>
        <w:rPr>
          <w:sz w:val="18"/>
        </w:rPr>
        <w:t>The participant lands on a dashboard showing upcoming unlocked matches, locked matches, submitted predictions, missing predictions, and current points.</w:t>
      </w:r>
    </w:p>
    <w:p>
      <w:pPr>
        <w:pStyle w:val="ListNumber"/>
        <w:spacing w:after="40"/>
      </w:pPr>
      <w:r>
        <w:rPr>
          <w:sz w:val="18"/>
        </w:rPr>
        <w:t>The participant enters one or more score predictions for matches that are still editable.</w:t>
      </w:r>
    </w:p>
    <w:p>
      <w:pPr>
        <w:pStyle w:val="ListNumber"/>
        <w:spacing w:after="40"/>
      </w:pPr>
      <w:r>
        <w:rPr>
          <w:sz w:val="18"/>
        </w:rPr>
        <w:t>The participant optionally enters final tournament predictions before the first match starts.</w:t>
      </w:r>
    </w:p>
    <w:p>
      <w:pPr>
        <w:pStyle w:val="ListNumber"/>
        <w:spacing w:after="40"/>
      </w:pPr>
      <w:r>
        <w:rPr>
          <w:sz w:val="18"/>
        </w:rPr>
        <w:t>The participant can update predictions until the applicable lock rules prevent modifications.</w:t>
      </w:r>
    </w:p>
    <w:p>
      <w:pPr>
        <w:pStyle w:val="ListNumber"/>
        <w:spacing w:after="40"/>
      </w:pPr>
      <w:r>
        <w:rPr>
          <w:sz w:val="18"/>
        </w:rPr>
        <w:t>After matches finish and official scores are synchronized or approved, the participant can see awarded points and leaderboard position.</w:t>
      </w:r>
    </w:p>
    <w:p>
      <w:pPr>
        <w:pStyle w:val="Heading2"/>
        <w:spacing w:before="240" w:after="100"/>
      </w:pPr>
      <w:r>
        <w:t>6.2 Administrator Journey Requirements</w:t>
      </w:r>
    </w:p>
    <w:p>
      <w:pPr>
        <w:pStyle w:val="ListNumber"/>
        <w:spacing w:after="40"/>
      </w:pPr>
      <w:r>
        <w:rPr>
          <w:sz w:val="18"/>
        </w:rPr>
        <w:t>The administrator signs in through the same corporate identity boundary and receives access only if assigned an administrative role.</w:t>
      </w:r>
    </w:p>
    <w:p>
      <w:pPr>
        <w:pStyle w:val="ListNumber"/>
        <w:spacing w:after="40"/>
      </w:pPr>
      <w:r>
        <w:rPr>
          <w:sz w:val="18"/>
        </w:rPr>
        <w:t>The administrator reviews tournament configuration, match schedule, provider synchronization status, and error logs.</w:t>
      </w:r>
    </w:p>
    <w:p>
      <w:pPr>
        <w:pStyle w:val="ListNumber"/>
        <w:spacing w:after="40"/>
      </w:pPr>
      <w:r>
        <w:rPr>
          <w:sz w:val="18"/>
        </w:rPr>
        <w:t>The administrator validates match score updates from external providers or manually corrects them when required.</w:t>
      </w:r>
    </w:p>
    <w:p>
      <w:pPr>
        <w:pStyle w:val="ListNumber"/>
        <w:spacing w:after="40"/>
      </w:pPr>
      <w:r>
        <w:rPr>
          <w:sz w:val="18"/>
        </w:rPr>
        <w:t>The administrator triggers or approves score recalculation when official data changes.</w:t>
      </w:r>
    </w:p>
    <w:p>
      <w:pPr>
        <w:pStyle w:val="ListNumber"/>
        <w:spacing w:after="40"/>
      </w:pPr>
      <w:r>
        <w:rPr>
          <w:sz w:val="18"/>
        </w:rPr>
        <w:t>The administrator reviews audit records for disputes, late edits, or scoring issues.</w:t>
      </w:r>
    </w:p>
    <w:p>
      <w:pPr>
        <w:pStyle w:val="ListNumber"/>
        <w:spacing w:after="40"/>
      </w:pPr>
      <w:r>
        <w:rPr>
          <w:sz w:val="18"/>
        </w:rPr>
        <w:t>The administrator publishes announcements or operational notices when relevant.</w:t>
      </w:r>
    </w:p>
    <w:p>
      <w:pPr>
        <w:pStyle w:val="Heading1"/>
        <w:spacing w:before="240" w:after="100"/>
      </w:pPr>
      <w:r>
        <w:t>7. Business Rules and Scoring Model</w:t>
      </w:r>
    </w:p>
    <w:p>
      <w:pPr>
        <w:pStyle w:val="Heading2"/>
        <w:spacing w:before="240" w:after="100"/>
      </w:pPr>
      <w:r>
        <w:t>7.1 Time and Locking Rules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1440"/>
            <w:shd w:fill="1F4E79"/>
            <w:tcMar>
              <w:top w:w="80" w:type="dxa"/>
              <w:start w:w="80" w:type="dxa"/>
              <w:bottom w:w="80" w:type="dxa"/>
              <w:end w:w="80" w:type="dxa"/>
            </w:tcMar>
            <w:vAlign w:val="center"/>
          </w:tcPr>
          <w:p>
            <w:pPr>
              <w:jc w:val="center"/>
            </w:pPr>
            <w:r>
              <w:rPr>
                <w:b/>
                <w:color w:val="FFFFFF"/>
                <w:sz w:val="16"/>
              </w:rPr>
              <w:t>Rule ID</w:t>
            </w:r>
          </w:p>
        </w:tc>
        <w:tc>
          <w:tcPr>
            <w:tcW w:type="dxa" w:w="3024"/>
            <w:shd w:fill="1F4E79"/>
            <w:tcMar>
              <w:top w:w="80" w:type="dxa"/>
              <w:start w:w="80" w:type="dxa"/>
              <w:bottom w:w="80" w:type="dxa"/>
              <w:end w:w="80" w:type="dxa"/>
            </w:tcMar>
            <w:vAlign w:val="center"/>
          </w:tcPr>
          <w:p>
            <w:pPr>
              <w:jc w:val="center"/>
            </w:pPr>
            <w:r>
              <w:rPr>
                <w:b/>
                <w:color w:val="FFFFFF"/>
                <w:sz w:val="16"/>
              </w:rPr>
              <w:t>Rule</w:t>
            </w:r>
          </w:p>
        </w:tc>
        <w:tc>
          <w:tcPr>
            <w:tcW w:type="dxa" w:w="6336"/>
            <w:shd w:fill="1F4E79"/>
            <w:tcMar>
              <w:top w:w="80" w:type="dxa"/>
              <w:start w:w="80" w:type="dxa"/>
              <w:bottom w:w="80" w:type="dxa"/>
              <w:end w:w="80" w:type="dxa"/>
            </w:tcMar>
            <w:vAlign w:val="center"/>
          </w:tcPr>
          <w:p>
            <w:pPr>
              <w:jc w:val="center"/>
            </w:pPr>
            <w:r>
              <w:rPr>
                <w:b/>
                <w:color w:val="FFFFFF"/>
                <w:sz w:val="16"/>
              </w:rPr>
              <w:t>Definition</w:t>
            </w:r>
          </w:p>
        </w:tc>
      </w:tr>
      <w:tr>
        <w:tc>
          <w:tcPr>
            <w:tcW w:type="dxa" w:w="1440"/>
            <w:tcMar>
              <w:top w:w="70" w:type="dxa"/>
              <w:start w:w="70" w:type="dxa"/>
              <w:bottom w:w="70" w:type="dxa"/>
              <w:end w:w="70" w:type="dxa"/>
            </w:tcMar>
            <w:vAlign w:val="top"/>
          </w:tcPr>
          <w:p>
            <w:pPr>
              <w:spacing w:after="20" w:line="252" w:lineRule="auto"/>
            </w:pPr>
            <w:r>
              <w:rPr>
                <w:sz w:val="16"/>
              </w:rPr>
              <w:t>BR-LOCK-001</w:t>
            </w:r>
          </w:p>
        </w:tc>
        <w:tc>
          <w:tcPr>
            <w:tcW w:type="dxa" w:w="3024"/>
            <w:tcMar>
              <w:top w:w="70" w:type="dxa"/>
              <w:start w:w="70" w:type="dxa"/>
              <w:bottom w:w="70" w:type="dxa"/>
              <w:end w:w="70" w:type="dxa"/>
            </w:tcMar>
            <w:vAlign w:val="top"/>
          </w:tcPr>
          <w:p>
            <w:pPr>
              <w:spacing w:after="20" w:line="252" w:lineRule="auto"/>
            </w:pPr>
            <w:r>
              <w:rPr>
                <w:sz w:val="16"/>
              </w:rPr>
              <w:t>Trusted time source</w:t>
            </w:r>
          </w:p>
        </w:tc>
        <w:tc>
          <w:tcPr>
            <w:tcW w:type="dxa" w:w="6336"/>
            <w:tcMar>
              <w:top w:w="70" w:type="dxa"/>
              <w:start w:w="70" w:type="dxa"/>
              <w:bottom w:w="70" w:type="dxa"/>
              <w:end w:w="70" w:type="dxa"/>
            </w:tcMar>
            <w:vAlign w:val="top"/>
          </w:tcPr>
          <w:p>
            <w:pPr>
              <w:spacing w:after="20" w:line="252" w:lineRule="auto"/>
            </w:pPr>
            <w:r>
              <w:rPr>
                <w:sz w:val="16"/>
              </w:rPr>
              <w:t>All lock decisions shall use trusted server-side time. Client device time shall never determine editability.</w:t>
            </w:r>
          </w:p>
        </w:tc>
      </w:tr>
      <w:tr>
        <w:tc>
          <w:tcPr>
            <w:tcW w:type="dxa" w:w="1440"/>
            <w:tcMar>
              <w:top w:w="70" w:type="dxa"/>
              <w:start w:w="70" w:type="dxa"/>
              <w:bottom w:w="70" w:type="dxa"/>
              <w:end w:w="70" w:type="dxa"/>
            </w:tcMar>
            <w:vAlign w:val="top"/>
          </w:tcPr>
          <w:p>
            <w:pPr>
              <w:spacing w:after="20" w:line="252" w:lineRule="auto"/>
            </w:pPr>
            <w:r>
              <w:rPr>
                <w:sz w:val="16"/>
              </w:rPr>
              <w:t>BR-LOCK-002</w:t>
            </w:r>
          </w:p>
        </w:tc>
        <w:tc>
          <w:tcPr>
            <w:tcW w:type="dxa" w:w="3024"/>
            <w:tcMar>
              <w:top w:w="70" w:type="dxa"/>
              <w:start w:w="70" w:type="dxa"/>
              <w:bottom w:w="70" w:type="dxa"/>
              <w:end w:w="70" w:type="dxa"/>
            </w:tcMar>
            <w:vAlign w:val="top"/>
          </w:tcPr>
          <w:p>
            <w:pPr>
              <w:spacing w:after="20" w:line="252" w:lineRule="auto"/>
            </w:pPr>
            <w:r>
              <w:rPr>
                <w:sz w:val="16"/>
              </w:rPr>
              <w:t>Match prediction lock window</w:t>
            </w:r>
          </w:p>
        </w:tc>
        <w:tc>
          <w:tcPr>
            <w:tcW w:type="dxa" w:w="6336"/>
            <w:tcMar>
              <w:top w:w="70" w:type="dxa"/>
              <w:start w:w="70" w:type="dxa"/>
              <w:bottom w:w="70" w:type="dxa"/>
              <w:end w:w="70" w:type="dxa"/>
            </w:tcMar>
            <w:vAlign w:val="top"/>
          </w:tcPr>
          <w:p>
            <w:pPr>
              <w:spacing w:after="20" w:line="252" w:lineRule="auto"/>
            </w:pPr>
            <w:r>
              <w:rPr>
                <w:sz w:val="16"/>
              </w:rPr>
              <w:t>A match prediction is editable only when more than 60 minutes remain before the official kickoff time.</w:t>
            </w:r>
          </w:p>
        </w:tc>
      </w:tr>
      <w:tr>
        <w:tc>
          <w:tcPr>
            <w:tcW w:type="dxa" w:w="1440"/>
            <w:tcMar>
              <w:top w:w="70" w:type="dxa"/>
              <w:start w:w="70" w:type="dxa"/>
              <w:bottom w:w="70" w:type="dxa"/>
              <w:end w:w="70" w:type="dxa"/>
            </w:tcMar>
            <w:vAlign w:val="top"/>
          </w:tcPr>
          <w:p>
            <w:pPr>
              <w:spacing w:after="20" w:line="252" w:lineRule="auto"/>
            </w:pPr>
            <w:r>
              <w:rPr>
                <w:sz w:val="16"/>
              </w:rPr>
              <w:t>BR-LOCK-003</w:t>
            </w:r>
          </w:p>
        </w:tc>
        <w:tc>
          <w:tcPr>
            <w:tcW w:type="dxa" w:w="3024"/>
            <w:tcMar>
              <w:top w:w="70" w:type="dxa"/>
              <w:start w:w="70" w:type="dxa"/>
              <w:bottom w:w="70" w:type="dxa"/>
              <w:end w:w="70" w:type="dxa"/>
            </w:tcMar>
            <w:vAlign w:val="top"/>
          </w:tcPr>
          <w:p>
            <w:pPr>
              <w:spacing w:after="20" w:line="252" w:lineRule="auto"/>
            </w:pPr>
            <w:r>
              <w:rPr>
                <w:sz w:val="16"/>
              </w:rPr>
              <w:t>Boundary condition</w:t>
            </w:r>
          </w:p>
        </w:tc>
        <w:tc>
          <w:tcPr>
            <w:tcW w:type="dxa" w:w="6336"/>
            <w:tcMar>
              <w:top w:w="70" w:type="dxa"/>
              <w:start w:w="70" w:type="dxa"/>
              <w:bottom w:w="70" w:type="dxa"/>
              <w:end w:w="70" w:type="dxa"/>
            </w:tcMar>
            <w:vAlign w:val="top"/>
          </w:tcPr>
          <w:p>
            <w:pPr>
              <w:spacing w:after="20" w:line="252" w:lineRule="auto"/>
            </w:pPr>
            <w:r>
              <w:rPr>
                <w:sz w:val="16"/>
              </w:rPr>
              <w:t>At exactly kickoff minus 60 minutes, the prediction becomes locked. The rule is strict: remaining time must be greater than 60 minutes to allow edits.</w:t>
            </w:r>
          </w:p>
        </w:tc>
      </w:tr>
      <w:tr>
        <w:tc>
          <w:tcPr>
            <w:tcW w:type="dxa" w:w="1440"/>
            <w:tcMar>
              <w:top w:w="70" w:type="dxa"/>
              <w:start w:w="70" w:type="dxa"/>
              <w:bottom w:w="70" w:type="dxa"/>
              <w:end w:w="70" w:type="dxa"/>
            </w:tcMar>
            <w:vAlign w:val="top"/>
          </w:tcPr>
          <w:p>
            <w:pPr>
              <w:spacing w:after="20" w:line="252" w:lineRule="auto"/>
            </w:pPr>
            <w:r>
              <w:rPr>
                <w:sz w:val="16"/>
              </w:rPr>
              <w:t>BR-LOCK-004</w:t>
            </w:r>
          </w:p>
        </w:tc>
        <w:tc>
          <w:tcPr>
            <w:tcW w:type="dxa" w:w="3024"/>
            <w:tcMar>
              <w:top w:w="70" w:type="dxa"/>
              <w:start w:w="70" w:type="dxa"/>
              <w:bottom w:w="70" w:type="dxa"/>
              <w:end w:w="70" w:type="dxa"/>
            </w:tcMar>
            <w:vAlign w:val="top"/>
          </w:tcPr>
          <w:p>
            <w:pPr>
              <w:spacing w:after="20" w:line="252" w:lineRule="auto"/>
            </w:pPr>
            <w:r>
              <w:rPr>
                <w:sz w:val="16"/>
              </w:rPr>
              <w:t>Started match</w:t>
            </w:r>
          </w:p>
        </w:tc>
        <w:tc>
          <w:tcPr>
            <w:tcW w:type="dxa" w:w="6336"/>
            <w:tcMar>
              <w:top w:w="70" w:type="dxa"/>
              <w:start w:w="70" w:type="dxa"/>
              <w:bottom w:w="70" w:type="dxa"/>
              <w:end w:w="70" w:type="dxa"/>
            </w:tcMar>
            <w:vAlign w:val="top"/>
          </w:tcPr>
          <w:p>
            <w:pPr>
              <w:spacing w:after="20" w:line="252" w:lineRule="auto"/>
            </w:pPr>
            <w:r>
              <w:rPr>
                <w:sz w:val="16"/>
              </w:rPr>
              <w:t>No prediction can be created or modified after the match has started, even if an incorrect kickoff time was displayed to the user. Administrative correction may be required if schedule data was wrong.</w:t>
            </w:r>
          </w:p>
        </w:tc>
      </w:tr>
      <w:tr>
        <w:tc>
          <w:tcPr>
            <w:tcW w:type="dxa" w:w="1440"/>
            <w:tcMar>
              <w:top w:w="70" w:type="dxa"/>
              <w:start w:w="70" w:type="dxa"/>
              <w:bottom w:w="70" w:type="dxa"/>
              <w:end w:w="70" w:type="dxa"/>
            </w:tcMar>
            <w:vAlign w:val="top"/>
          </w:tcPr>
          <w:p>
            <w:pPr>
              <w:spacing w:after="20" w:line="252" w:lineRule="auto"/>
            </w:pPr>
            <w:r>
              <w:rPr>
                <w:sz w:val="16"/>
              </w:rPr>
              <w:t>BR-LOCK-005</w:t>
            </w:r>
          </w:p>
        </w:tc>
        <w:tc>
          <w:tcPr>
            <w:tcW w:type="dxa" w:w="3024"/>
            <w:tcMar>
              <w:top w:w="70" w:type="dxa"/>
              <w:start w:w="70" w:type="dxa"/>
              <w:bottom w:w="70" w:type="dxa"/>
              <w:end w:w="70" w:type="dxa"/>
            </w:tcMar>
            <w:vAlign w:val="top"/>
          </w:tcPr>
          <w:p>
            <w:pPr>
              <w:spacing w:after="20" w:line="252" w:lineRule="auto"/>
            </w:pPr>
            <w:r>
              <w:rPr>
                <w:sz w:val="16"/>
              </w:rPr>
              <w:t>Final predictions</w:t>
            </w:r>
          </w:p>
        </w:tc>
        <w:tc>
          <w:tcPr>
            <w:tcW w:type="dxa" w:w="6336"/>
            <w:tcMar>
              <w:top w:w="70" w:type="dxa"/>
              <w:start w:w="70" w:type="dxa"/>
              <w:bottom w:w="70" w:type="dxa"/>
              <w:end w:w="70" w:type="dxa"/>
            </w:tcMar>
            <w:vAlign w:val="top"/>
          </w:tcPr>
          <w:p>
            <w:pPr>
              <w:spacing w:after="20" w:line="252" w:lineRule="auto"/>
            </w:pPr>
            <w:r>
              <w:rPr>
                <w:sz w:val="16"/>
              </w:rPr>
              <w:t>Final tournament predictions are editable only before the first official match kickoff. At first kickoff, champion, runner-up, top scorer, and best player predictions become immutable.</w:t>
            </w:r>
          </w:p>
        </w:tc>
      </w:tr>
      <w:tr>
        <w:tc>
          <w:tcPr>
            <w:tcW w:type="dxa" w:w="1440"/>
            <w:tcMar>
              <w:top w:w="70" w:type="dxa"/>
              <w:start w:w="70" w:type="dxa"/>
              <w:bottom w:w="70" w:type="dxa"/>
              <w:end w:w="70" w:type="dxa"/>
            </w:tcMar>
            <w:vAlign w:val="top"/>
          </w:tcPr>
          <w:p>
            <w:pPr>
              <w:spacing w:after="20" w:line="252" w:lineRule="auto"/>
            </w:pPr>
            <w:r>
              <w:rPr>
                <w:sz w:val="16"/>
              </w:rPr>
              <w:t>BR-LOCK-006</w:t>
            </w:r>
          </w:p>
        </w:tc>
        <w:tc>
          <w:tcPr>
            <w:tcW w:type="dxa" w:w="3024"/>
            <w:tcMar>
              <w:top w:w="70" w:type="dxa"/>
              <w:start w:w="70" w:type="dxa"/>
              <w:bottom w:w="70" w:type="dxa"/>
              <w:end w:w="70" w:type="dxa"/>
            </w:tcMar>
            <w:vAlign w:val="top"/>
          </w:tcPr>
          <w:p>
            <w:pPr>
              <w:spacing w:after="20" w:line="252" w:lineRule="auto"/>
            </w:pPr>
            <w:r>
              <w:rPr>
                <w:sz w:val="16"/>
              </w:rPr>
              <w:t>Time zone handling</w:t>
            </w:r>
          </w:p>
        </w:tc>
        <w:tc>
          <w:tcPr>
            <w:tcW w:type="dxa" w:w="6336"/>
            <w:tcMar>
              <w:top w:w="70" w:type="dxa"/>
              <w:start w:w="70" w:type="dxa"/>
              <w:bottom w:w="70" w:type="dxa"/>
              <w:end w:w="70" w:type="dxa"/>
            </w:tcMar>
            <w:vAlign w:val="top"/>
          </w:tcPr>
          <w:p>
            <w:pPr>
              <w:spacing w:after="20" w:line="252" w:lineRule="auto"/>
            </w:pPr>
            <w:r>
              <w:rPr>
                <w:sz w:val="16"/>
              </w:rPr>
              <w:t>Kickoff times must be stored in UTC or another normalized canonical time standard and displayed according to user locale or configured tournament view.</w:t>
            </w:r>
          </w:p>
        </w:tc>
      </w:tr>
    </w:tbl>
    <w:p>
      <w:pPr>
        <w:pStyle w:val="Heading2"/>
        <w:spacing w:before="240" w:after="100"/>
      </w:pPr>
      <w:r>
        <w:t>7.2 Match Prediction Scoring Rules</w:t>
      </w:r>
    </w:p>
    <w:p>
      <w:pPr>
        <w:keepLines w:val="0"/>
        <w:spacing w:after="120"/>
      </w:pPr>
      <w:r>
        <w:rPr>
          <w:b w:val="0"/>
          <w:i w:val="0"/>
        </w:rPr>
        <w:t>For every completed match with an official score, the application shall evaluate the user's predicted score against the official score. The baseline scoring model is defined below.</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tblHeader w:val="true"/>
        </w:trPr>
        <w:tc>
          <w:tcPr>
            <w:tcW w:type="dxa" w:w="2160"/>
            <w:shd w:fill="1F4E79"/>
            <w:tcMar>
              <w:top w:w="80" w:type="dxa"/>
              <w:start w:w="80" w:type="dxa"/>
              <w:bottom w:w="80" w:type="dxa"/>
              <w:end w:w="80" w:type="dxa"/>
            </w:tcMar>
            <w:vAlign w:val="center"/>
          </w:tcPr>
          <w:p>
            <w:pPr>
              <w:jc w:val="center"/>
            </w:pPr>
            <w:r>
              <w:rPr>
                <w:b/>
                <w:color w:val="FFFFFF"/>
                <w:sz w:val="16"/>
              </w:rPr>
              <w:t>Scenario</w:t>
            </w:r>
          </w:p>
        </w:tc>
        <w:tc>
          <w:tcPr>
            <w:tcW w:type="dxa" w:w="4464"/>
            <w:shd w:fill="1F4E79"/>
            <w:tcMar>
              <w:top w:w="80" w:type="dxa"/>
              <w:start w:w="80" w:type="dxa"/>
              <w:bottom w:w="80" w:type="dxa"/>
              <w:end w:w="80" w:type="dxa"/>
            </w:tcMar>
            <w:vAlign w:val="center"/>
          </w:tcPr>
          <w:p>
            <w:pPr>
              <w:jc w:val="center"/>
            </w:pPr>
            <w:r>
              <w:rPr>
                <w:b/>
                <w:color w:val="FFFFFF"/>
                <w:sz w:val="16"/>
              </w:rPr>
              <w:t>Condition</w:t>
            </w:r>
          </w:p>
        </w:tc>
        <w:tc>
          <w:tcPr>
            <w:tcW w:type="dxa" w:w="1440"/>
            <w:shd w:fill="1F4E79"/>
            <w:tcMar>
              <w:top w:w="80" w:type="dxa"/>
              <w:start w:w="80" w:type="dxa"/>
              <w:bottom w:w="80" w:type="dxa"/>
              <w:end w:w="80" w:type="dxa"/>
            </w:tcMar>
            <w:vAlign w:val="center"/>
          </w:tcPr>
          <w:p>
            <w:pPr>
              <w:jc w:val="center"/>
            </w:pPr>
            <w:r>
              <w:rPr>
                <w:b/>
                <w:color w:val="FFFFFF"/>
                <w:sz w:val="16"/>
              </w:rPr>
              <w:t>Points</w:t>
            </w:r>
          </w:p>
        </w:tc>
        <w:tc>
          <w:tcPr>
            <w:tcW w:type="dxa" w:w="2736"/>
            <w:shd w:fill="1F4E79"/>
            <w:tcMar>
              <w:top w:w="80" w:type="dxa"/>
              <w:start w:w="80" w:type="dxa"/>
              <w:bottom w:w="80" w:type="dxa"/>
              <w:end w:w="80" w:type="dxa"/>
            </w:tcMar>
            <w:vAlign w:val="center"/>
          </w:tcPr>
          <w:p>
            <w:pPr>
              <w:jc w:val="center"/>
            </w:pPr>
            <w:r>
              <w:rPr>
                <w:b/>
                <w:color w:val="FFFFFF"/>
                <w:sz w:val="16"/>
              </w:rPr>
              <w:t>Example</w:t>
            </w:r>
          </w:p>
        </w:tc>
      </w:tr>
      <w:tr>
        <w:tc>
          <w:tcPr>
            <w:tcW w:type="dxa" w:w="2160"/>
            <w:tcMar>
              <w:top w:w="70" w:type="dxa"/>
              <w:start w:w="70" w:type="dxa"/>
              <w:bottom w:w="70" w:type="dxa"/>
              <w:end w:w="70" w:type="dxa"/>
            </w:tcMar>
            <w:vAlign w:val="top"/>
          </w:tcPr>
          <w:p>
            <w:pPr>
              <w:spacing w:after="20" w:line="252" w:lineRule="auto"/>
            </w:pPr>
            <w:r>
              <w:rPr>
                <w:sz w:val="16"/>
              </w:rPr>
              <w:t>Exact score</w:t>
            </w:r>
          </w:p>
        </w:tc>
        <w:tc>
          <w:tcPr>
            <w:tcW w:type="dxa" w:w="4464"/>
            <w:tcMar>
              <w:top w:w="70" w:type="dxa"/>
              <w:start w:w="70" w:type="dxa"/>
              <w:bottom w:w="70" w:type="dxa"/>
              <w:end w:w="70" w:type="dxa"/>
            </w:tcMar>
            <w:vAlign w:val="top"/>
          </w:tcPr>
          <w:p>
            <w:pPr>
              <w:spacing w:after="20" w:line="252" w:lineRule="auto"/>
            </w:pPr>
            <w:r>
              <w:rPr>
                <w:sz w:val="16"/>
              </w:rPr>
              <w:t>Predicted home/team A score equals official home/team A score and predicted away/team B score equals official away/team B score.</w:t>
            </w:r>
          </w:p>
        </w:tc>
        <w:tc>
          <w:tcPr>
            <w:tcW w:type="dxa" w:w="1440"/>
            <w:tcMar>
              <w:top w:w="70" w:type="dxa"/>
              <w:start w:w="70" w:type="dxa"/>
              <w:bottom w:w="70" w:type="dxa"/>
              <w:end w:w="70" w:type="dxa"/>
            </w:tcMar>
            <w:vAlign w:val="top"/>
          </w:tcPr>
          <w:p>
            <w:pPr>
              <w:spacing w:after="20" w:line="252" w:lineRule="auto"/>
            </w:pPr>
            <w:r>
              <w:rPr>
                <w:sz w:val="16"/>
              </w:rPr>
              <w:t>10 points</w:t>
            </w:r>
          </w:p>
        </w:tc>
        <w:tc>
          <w:tcPr>
            <w:tcW w:type="dxa" w:w="2736"/>
            <w:tcMar>
              <w:top w:w="70" w:type="dxa"/>
              <w:start w:w="70" w:type="dxa"/>
              <w:bottom w:w="70" w:type="dxa"/>
              <w:end w:w="70" w:type="dxa"/>
            </w:tcMar>
            <w:vAlign w:val="top"/>
          </w:tcPr>
          <w:p>
            <w:pPr>
              <w:spacing w:after="20" w:line="252" w:lineRule="auto"/>
            </w:pPr>
            <w:r>
              <w:rPr>
                <w:sz w:val="16"/>
              </w:rPr>
              <w:t>Predicted 2-1 and official result is 2-1.</w:t>
            </w:r>
          </w:p>
        </w:tc>
      </w:tr>
      <w:tr>
        <w:tc>
          <w:tcPr>
            <w:tcW w:type="dxa" w:w="2160"/>
            <w:tcMar>
              <w:top w:w="70" w:type="dxa"/>
              <w:start w:w="70" w:type="dxa"/>
              <w:bottom w:w="70" w:type="dxa"/>
              <w:end w:w="70" w:type="dxa"/>
            </w:tcMar>
            <w:vAlign w:val="top"/>
          </w:tcPr>
          <w:p>
            <w:pPr>
              <w:spacing w:after="20" w:line="252" w:lineRule="auto"/>
            </w:pPr>
            <w:r>
              <w:rPr>
                <w:sz w:val="16"/>
              </w:rPr>
              <w:t>Correct outcome only</w:t>
            </w:r>
          </w:p>
        </w:tc>
        <w:tc>
          <w:tcPr>
            <w:tcW w:type="dxa" w:w="4464"/>
            <w:tcMar>
              <w:top w:w="70" w:type="dxa"/>
              <w:start w:w="70" w:type="dxa"/>
              <w:bottom w:w="70" w:type="dxa"/>
              <w:end w:w="70" w:type="dxa"/>
            </w:tcMar>
            <w:vAlign w:val="top"/>
          </w:tcPr>
          <w:p>
            <w:pPr>
              <w:spacing w:after="20" w:line="252" w:lineRule="auto"/>
            </w:pPr>
            <w:r>
              <w:rPr>
                <w:sz w:val="16"/>
              </w:rPr>
              <w:t>Predicted outcome matches official outcome but exact score does not match. Outcome means home/team A win, draw, or away/team B win.</w:t>
            </w:r>
          </w:p>
        </w:tc>
        <w:tc>
          <w:tcPr>
            <w:tcW w:type="dxa" w:w="1440"/>
            <w:tcMar>
              <w:top w:w="70" w:type="dxa"/>
              <w:start w:w="70" w:type="dxa"/>
              <w:bottom w:w="70" w:type="dxa"/>
              <w:end w:w="70" w:type="dxa"/>
            </w:tcMar>
            <w:vAlign w:val="top"/>
          </w:tcPr>
          <w:p>
            <w:pPr>
              <w:spacing w:after="20" w:line="252" w:lineRule="auto"/>
            </w:pPr>
            <w:r>
              <w:rPr>
                <w:sz w:val="16"/>
              </w:rPr>
              <w:t>5 points</w:t>
            </w:r>
          </w:p>
        </w:tc>
        <w:tc>
          <w:tcPr>
            <w:tcW w:type="dxa" w:w="2736"/>
            <w:tcMar>
              <w:top w:w="70" w:type="dxa"/>
              <w:start w:w="70" w:type="dxa"/>
              <w:bottom w:w="70" w:type="dxa"/>
              <w:end w:w="70" w:type="dxa"/>
            </w:tcMar>
            <w:vAlign w:val="top"/>
          </w:tcPr>
          <w:p>
            <w:pPr>
              <w:spacing w:after="20" w:line="252" w:lineRule="auto"/>
            </w:pPr>
            <w:r>
              <w:rPr>
                <w:sz w:val="16"/>
              </w:rPr>
              <w:t>Predicted 3-2 and official result is 2-1: user correctly predicted team A would win but not the exact score.</w:t>
            </w:r>
          </w:p>
        </w:tc>
      </w:tr>
      <w:tr>
        <w:tc>
          <w:tcPr>
            <w:tcW w:type="dxa" w:w="2160"/>
            <w:tcMar>
              <w:top w:w="70" w:type="dxa"/>
              <w:start w:w="70" w:type="dxa"/>
              <w:bottom w:w="70" w:type="dxa"/>
              <w:end w:w="70" w:type="dxa"/>
            </w:tcMar>
            <w:vAlign w:val="top"/>
          </w:tcPr>
          <w:p>
            <w:pPr>
              <w:spacing w:after="20" w:line="252" w:lineRule="auto"/>
            </w:pPr>
            <w:r>
              <w:rPr>
                <w:sz w:val="16"/>
              </w:rPr>
              <w:t>Incorrect outcome</w:t>
            </w:r>
          </w:p>
        </w:tc>
        <w:tc>
          <w:tcPr>
            <w:tcW w:type="dxa" w:w="4464"/>
            <w:tcMar>
              <w:top w:w="70" w:type="dxa"/>
              <w:start w:w="70" w:type="dxa"/>
              <w:bottom w:w="70" w:type="dxa"/>
              <w:end w:w="70" w:type="dxa"/>
            </w:tcMar>
            <w:vAlign w:val="top"/>
          </w:tcPr>
          <w:p>
            <w:pPr>
              <w:spacing w:after="20" w:line="252" w:lineRule="auto"/>
            </w:pPr>
            <w:r>
              <w:rPr>
                <w:sz w:val="16"/>
              </w:rPr>
              <w:t>Predicted outcome does not match the official outcome.</w:t>
            </w:r>
          </w:p>
        </w:tc>
        <w:tc>
          <w:tcPr>
            <w:tcW w:type="dxa" w:w="1440"/>
            <w:tcMar>
              <w:top w:w="70" w:type="dxa"/>
              <w:start w:w="70" w:type="dxa"/>
              <w:bottom w:w="70" w:type="dxa"/>
              <w:end w:w="70" w:type="dxa"/>
            </w:tcMar>
            <w:vAlign w:val="top"/>
          </w:tcPr>
          <w:p>
            <w:pPr>
              <w:spacing w:after="20" w:line="252" w:lineRule="auto"/>
            </w:pPr>
            <w:r>
              <w:rPr>
                <w:sz w:val="16"/>
              </w:rPr>
              <w:t>0 points</w:t>
            </w:r>
          </w:p>
        </w:tc>
        <w:tc>
          <w:tcPr>
            <w:tcW w:type="dxa" w:w="2736"/>
            <w:tcMar>
              <w:top w:w="70" w:type="dxa"/>
              <w:start w:w="70" w:type="dxa"/>
              <w:bottom w:w="70" w:type="dxa"/>
              <w:end w:w="70" w:type="dxa"/>
            </w:tcMar>
            <w:vAlign w:val="top"/>
          </w:tcPr>
          <w:p>
            <w:pPr>
              <w:spacing w:after="20" w:line="252" w:lineRule="auto"/>
            </w:pPr>
            <w:r>
              <w:rPr>
                <w:sz w:val="16"/>
              </w:rPr>
              <w:t>Predicted 1-0 but official result is 0-1.</w:t>
            </w:r>
          </w:p>
        </w:tc>
      </w:tr>
      <w:tr>
        <w:tc>
          <w:tcPr>
            <w:tcW w:type="dxa" w:w="2160"/>
            <w:tcMar>
              <w:top w:w="70" w:type="dxa"/>
              <w:start w:w="70" w:type="dxa"/>
              <w:bottom w:w="70" w:type="dxa"/>
              <w:end w:w="70" w:type="dxa"/>
            </w:tcMar>
            <w:vAlign w:val="top"/>
          </w:tcPr>
          <w:p>
            <w:pPr>
              <w:spacing w:after="20" w:line="252" w:lineRule="auto"/>
            </w:pPr>
            <w:r>
              <w:rPr>
                <w:sz w:val="16"/>
              </w:rPr>
              <w:t>No valid prediction</w:t>
            </w:r>
          </w:p>
        </w:tc>
        <w:tc>
          <w:tcPr>
            <w:tcW w:type="dxa" w:w="4464"/>
            <w:tcMar>
              <w:top w:w="70" w:type="dxa"/>
              <w:start w:w="70" w:type="dxa"/>
              <w:bottom w:w="70" w:type="dxa"/>
              <w:end w:w="70" w:type="dxa"/>
            </w:tcMar>
            <w:vAlign w:val="top"/>
          </w:tcPr>
          <w:p>
            <w:pPr>
              <w:spacing w:after="20" w:line="252" w:lineRule="auto"/>
            </w:pPr>
            <w:r>
              <w:rPr>
                <w:sz w:val="16"/>
              </w:rPr>
              <w:t>No prediction was submitted before lock, or prediction was invalidated by an administrative decision.</w:t>
            </w:r>
          </w:p>
        </w:tc>
        <w:tc>
          <w:tcPr>
            <w:tcW w:type="dxa" w:w="1440"/>
            <w:tcMar>
              <w:top w:w="70" w:type="dxa"/>
              <w:start w:w="70" w:type="dxa"/>
              <w:bottom w:w="70" w:type="dxa"/>
              <w:end w:w="70" w:type="dxa"/>
            </w:tcMar>
            <w:vAlign w:val="top"/>
          </w:tcPr>
          <w:p>
            <w:pPr>
              <w:spacing w:after="20" w:line="252" w:lineRule="auto"/>
            </w:pPr>
            <w:r>
              <w:rPr>
                <w:sz w:val="16"/>
              </w:rPr>
              <w:t>0 points</w:t>
            </w:r>
          </w:p>
        </w:tc>
        <w:tc>
          <w:tcPr>
            <w:tcW w:type="dxa" w:w="2736"/>
            <w:tcMar>
              <w:top w:w="70" w:type="dxa"/>
              <w:start w:w="70" w:type="dxa"/>
              <w:bottom w:w="70" w:type="dxa"/>
              <w:end w:w="70" w:type="dxa"/>
            </w:tcMar>
            <w:vAlign w:val="top"/>
          </w:tcPr>
          <w:p>
            <w:pPr>
              <w:spacing w:after="20" w:line="252" w:lineRule="auto"/>
            </w:pPr>
            <w:r>
              <w:rPr>
                <w:sz w:val="16"/>
              </w:rPr>
              <w:t>User did not submit before the lock deadline.</w:t>
            </w:r>
          </w:p>
        </w:tc>
      </w:tr>
    </w:tbl>
    <w:p>
      <w:pPr>
        <w:pStyle w:val="Heading2"/>
        <w:spacing w:before="240" w:after="100"/>
      </w:pPr>
      <w:r>
        <w:t>7.3 Final Tournament Prediction Scoring Rules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592"/>
            <w:shd w:fill="1F4E79"/>
            <w:tcMar>
              <w:top w:w="80" w:type="dxa"/>
              <w:start w:w="80" w:type="dxa"/>
              <w:bottom w:w="80" w:type="dxa"/>
              <w:end w:w="80" w:type="dxa"/>
            </w:tcMar>
            <w:vAlign w:val="center"/>
          </w:tcPr>
          <w:p>
            <w:pPr>
              <w:jc w:val="center"/>
            </w:pPr>
            <w:r>
              <w:rPr>
                <w:b/>
                <w:color w:val="FFFFFF"/>
                <w:sz w:val="16"/>
              </w:rPr>
              <w:t>Item</w:t>
            </w:r>
          </w:p>
        </w:tc>
        <w:tc>
          <w:tcPr>
            <w:tcW w:type="dxa" w:w="6624"/>
            <w:shd w:fill="1F4E79"/>
            <w:tcMar>
              <w:top w:w="80" w:type="dxa"/>
              <w:start w:w="80" w:type="dxa"/>
              <w:bottom w:w="80" w:type="dxa"/>
              <w:end w:w="80" w:type="dxa"/>
            </w:tcMar>
            <w:vAlign w:val="center"/>
          </w:tcPr>
          <w:p>
            <w:pPr>
              <w:jc w:val="center"/>
            </w:pPr>
            <w:r>
              <w:rPr>
                <w:b/>
                <w:color w:val="FFFFFF"/>
                <w:sz w:val="16"/>
              </w:rPr>
              <w:t>Condition</w:t>
            </w:r>
          </w:p>
        </w:tc>
        <w:tc>
          <w:tcPr>
            <w:tcW w:type="dxa" w:w="1440"/>
            <w:shd w:fill="1F4E79"/>
            <w:tcMar>
              <w:top w:w="80" w:type="dxa"/>
              <w:start w:w="80" w:type="dxa"/>
              <w:bottom w:w="80" w:type="dxa"/>
              <w:end w:w="80" w:type="dxa"/>
            </w:tcMar>
            <w:vAlign w:val="center"/>
          </w:tcPr>
          <w:p>
            <w:pPr>
              <w:jc w:val="center"/>
            </w:pPr>
            <w:r>
              <w:rPr>
                <w:b/>
                <w:color w:val="FFFFFF"/>
                <w:sz w:val="16"/>
              </w:rPr>
              <w:t>Points</w:t>
            </w:r>
          </w:p>
        </w:tc>
      </w:tr>
      <w:tr>
        <w:tc>
          <w:tcPr>
            <w:tcW w:type="dxa" w:w="2592"/>
            <w:tcMar>
              <w:top w:w="70" w:type="dxa"/>
              <w:start w:w="70" w:type="dxa"/>
              <w:bottom w:w="70" w:type="dxa"/>
              <w:end w:w="70" w:type="dxa"/>
            </w:tcMar>
            <w:vAlign w:val="top"/>
          </w:tcPr>
          <w:p>
            <w:pPr>
              <w:spacing w:after="20" w:line="252" w:lineRule="auto"/>
            </w:pPr>
            <w:r>
              <w:rPr>
                <w:sz w:val="16"/>
              </w:rPr>
              <w:t>Champion team</w:t>
            </w:r>
          </w:p>
        </w:tc>
        <w:tc>
          <w:tcPr>
            <w:tcW w:type="dxa" w:w="6624"/>
            <w:tcMar>
              <w:top w:w="70" w:type="dxa"/>
              <w:start w:w="70" w:type="dxa"/>
              <w:bottom w:w="70" w:type="dxa"/>
              <w:end w:w="70" w:type="dxa"/>
            </w:tcMar>
            <w:vAlign w:val="top"/>
          </w:tcPr>
          <w:p>
            <w:pPr>
              <w:spacing w:after="20" w:line="252" w:lineRule="auto"/>
            </w:pPr>
            <w:r>
              <w:rPr>
                <w:sz w:val="16"/>
              </w:rPr>
              <w:t>User predicted the tournament champion correctly.</w:t>
            </w:r>
          </w:p>
        </w:tc>
        <w:tc>
          <w:tcPr>
            <w:tcW w:type="dxa" w:w="1440"/>
            <w:tcMar>
              <w:top w:w="70" w:type="dxa"/>
              <w:start w:w="70" w:type="dxa"/>
              <w:bottom w:w="70" w:type="dxa"/>
              <w:end w:w="70" w:type="dxa"/>
            </w:tcMar>
            <w:vAlign w:val="top"/>
          </w:tcPr>
          <w:p>
            <w:pPr>
              <w:spacing w:after="20" w:line="252" w:lineRule="auto"/>
            </w:pPr>
            <w:r>
              <w:rPr>
                <w:sz w:val="16"/>
              </w:rPr>
              <w:t>20 points</w:t>
            </w:r>
          </w:p>
        </w:tc>
      </w:tr>
      <w:tr>
        <w:tc>
          <w:tcPr>
            <w:tcW w:type="dxa" w:w="2592"/>
            <w:tcMar>
              <w:top w:w="70" w:type="dxa"/>
              <w:start w:w="70" w:type="dxa"/>
              <w:bottom w:w="70" w:type="dxa"/>
              <w:end w:w="70" w:type="dxa"/>
            </w:tcMar>
            <w:vAlign w:val="top"/>
          </w:tcPr>
          <w:p>
            <w:pPr>
              <w:spacing w:after="20" w:line="252" w:lineRule="auto"/>
            </w:pPr>
            <w:r>
              <w:rPr>
                <w:sz w:val="16"/>
              </w:rPr>
              <w:t>Runner-up team</w:t>
            </w:r>
          </w:p>
        </w:tc>
        <w:tc>
          <w:tcPr>
            <w:tcW w:type="dxa" w:w="6624"/>
            <w:tcMar>
              <w:top w:w="70" w:type="dxa"/>
              <w:start w:w="70" w:type="dxa"/>
              <w:bottom w:w="70" w:type="dxa"/>
              <w:end w:w="70" w:type="dxa"/>
            </w:tcMar>
            <w:vAlign w:val="top"/>
          </w:tcPr>
          <w:p>
            <w:pPr>
              <w:spacing w:after="20" w:line="252" w:lineRule="auto"/>
            </w:pPr>
            <w:r>
              <w:rPr>
                <w:sz w:val="16"/>
              </w:rPr>
              <w:t>User predicted the team that finishes second correctly.</w:t>
            </w:r>
          </w:p>
        </w:tc>
        <w:tc>
          <w:tcPr>
            <w:tcW w:type="dxa" w:w="1440"/>
            <w:tcMar>
              <w:top w:w="70" w:type="dxa"/>
              <w:start w:w="70" w:type="dxa"/>
              <w:bottom w:w="70" w:type="dxa"/>
              <w:end w:w="70" w:type="dxa"/>
            </w:tcMar>
            <w:vAlign w:val="top"/>
          </w:tcPr>
          <w:p>
            <w:pPr>
              <w:spacing w:after="20" w:line="252" w:lineRule="auto"/>
            </w:pPr>
            <w:r>
              <w:rPr>
                <w:sz w:val="16"/>
              </w:rPr>
              <w:t>20 points</w:t>
            </w:r>
          </w:p>
        </w:tc>
      </w:tr>
      <w:tr>
        <w:tc>
          <w:tcPr>
            <w:tcW w:type="dxa" w:w="2592"/>
            <w:tcMar>
              <w:top w:w="70" w:type="dxa"/>
              <w:start w:w="70" w:type="dxa"/>
              <w:bottom w:w="70" w:type="dxa"/>
              <w:end w:w="70" w:type="dxa"/>
            </w:tcMar>
            <w:vAlign w:val="top"/>
          </w:tcPr>
          <w:p>
            <w:pPr>
              <w:spacing w:after="20" w:line="252" w:lineRule="auto"/>
            </w:pPr>
            <w:r>
              <w:rPr>
                <w:sz w:val="16"/>
              </w:rPr>
              <w:t>Top scorer</w:t>
            </w:r>
          </w:p>
        </w:tc>
        <w:tc>
          <w:tcPr>
            <w:tcW w:type="dxa" w:w="6624"/>
            <w:tcMar>
              <w:top w:w="70" w:type="dxa"/>
              <w:start w:w="70" w:type="dxa"/>
              <w:bottom w:w="70" w:type="dxa"/>
              <w:end w:w="70" w:type="dxa"/>
            </w:tcMar>
            <w:vAlign w:val="top"/>
          </w:tcPr>
          <w:p>
            <w:pPr>
              <w:spacing w:after="20" w:line="252" w:lineRule="auto"/>
            </w:pPr>
            <w:r>
              <w:rPr>
                <w:sz w:val="16"/>
              </w:rPr>
              <w:t>User predicted the official tournament top scorer correctly according to the approved source or business-defined tie rule.</w:t>
            </w:r>
          </w:p>
        </w:tc>
        <w:tc>
          <w:tcPr>
            <w:tcW w:type="dxa" w:w="1440"/>
            <w:tcMar>
              <w:top w:w="70" w:type="dxa"/>
              <w:start w:w="70" w:type="dxa"/>
              <w:bottom w:w="70" w:type="dxa"/>
              <w:end w:w="70" w:type="dxa"/>
            </w:tcMar>
            <w:vAlign w:val="top"/>
          </w:tcPr>
          <w:p>
            <w:pPr>
              <w:spacing w:after="20" w:line="252" w:lineRule="auto"/>
            </w:pPr>
            <w:r>
              <w:rPr>
                <w:sz w:val="16"/>
              </w:rPr>
              <w:t>20 points</w:t>
            </w:r>
          </w:p>
        </w:tc>
      </w:tr>
      <w:tr>
        <w:tc>
          <w:tcPr>
            <w:tcW w:type="dxa" w:w="2592"/>
            <w:tcMar>
              <w:top w:w="70" w:type="dxa"/>
              <w:start w:w="70" w:type="dxa"/>
              <w:bottom w:w="70" w:type="dxa"/>
              <w:end w:w="70" w:type="dxa"/>
            </w:tcMar>
            <w:vAlign w:val="top"/>
          </w:tcPr>
          <w:p>
            <w:pPr>
              <w:spacing w:after="20" w:line="252" w:lineRule="auto"/>
            </w:pPr>
            <w:r>
              <w:rPr>
                <w:sz w:val="16"/>
              </w:rPr>
              <w:t>Best player</w:t>
            </w:r>
          </w:p>
        </w:tc>
        <w:tc>
          <w:tcPr>
            <w:tcW w:type="dxa" w:w="6624"/>
            <w:tcMar>
              <w:top w:w="70" w:type="dxa"/>
              <w:start w:w="70" w:type="dxa"/>
              <w:bottom w:w="70" w:type="dxa"/>
              <w:end w:w="70" w:type="dxa"/>
            </w:tcMar>
            <w:vAlign w:val="top"/>
          </w:tcPr>
          <w:p>
            <w:pPr>
              <w:spacing w:after="20" w:line="252" w:lineRule="auto"/>
            </w:pPr>
            <w:r>
              <w:rPr>
                <w:sz w:val="16"/>
              </w:rPr>
              <w:t>User predicted the official tournament best player correctly according to the approved source.</w:t>
            </w:r>
          </w:p>
        </w:tc>
        <w:tc>
          <w:tcPr>
            <w:tcW w:type="dxa" w:w="1440"/>
            <w:tcMar>
              <w:top w:w="70" w:type="dxa"/>
              <w:start w:w="70" w:type="dxa"/>
              <w:bottom w:w="70" w:type="dxa"/>
              <w:end w:w="70" w:type="dxa"/>
            </w:tcMar>
            <w:vAlign w:val="top"/>
          </w:tcPr>
          <w:p>
            <w:pPr>
              <w:spacing w:after="20" w:line="252" w:lineRule="auto"/>
            </w:pPr>
            <w:r>
              <w:rPr>
                <w:sz w:val="16"/>
              </w:rPr>
              <w:t>20 points</w:t>
            </w:r>
          </w:p>
        </w:tc>
      </w:tr>
    </w:tbl>
    <w:p>
      <w:pPr>
        <w:pStyle w:val="Heading2"/>
        <w:spacing w:before="240" w:after="100"/>
      </w:pPr>
      <w:r>
        <w:t>7.4 Tie-Breaking Rules for Leaderboards</w:t>
      </w:r>
    </w:p>
    <w:p>
      <w:pPr>
        <w:keepLines w:val="0"/>
        <w:spacing w:after="120"/>
      </w:pPr>
      <w:r>
        <w:rPr>
          <w:b w:val="0"/>
          <w:i w:val="0"/>
        </w:rPr>
        <w:t>The business should approve deterministic tie-breakers before launch. The following default order is recommended because it rewards prediction quality while remaining explainable:</w:t>
      </w:r>
    </w:p>
    <w:p>
      <w:pPr>
        <w:pStyle w:val="ListNumber"/>
        <w:spacing w:after="40"/>
      </w:pPr>
      <w:r>
        <w:rPr>
          <w:sz w:val="18"/>
        </w:rPr>
        <w:t>Highest total points.</w:t>
      </w:r>
    </w:p>
    <w:p>
      <w:pPr>
        <w:pStyle w:val="ListNumber"/>
        <w:spacing w:after="40"/>
      </w:pPr>
      <w:r>
        <w:rPr>
          <w:sz w:val="18"/>
        </w:rPr>
        <w:t>Highest number of exact-score hits.</w:t>
      </w:r>
    </w:p>
    <w:p>
      <w:pPr>
        <w:pStyle w:val="ListNumber"/>
        <w:spacing w:after="40"/>
      </w:pPr>
      <w:r>
        <w:rPr>
          <w:sz w:val="18"/>
        </w:rPr>
        <w:t>Highest number of correct-outcome hits.</w:t>
      </w:r>
    </w:p>
    <w:p>
      <w:pPr>
        <w:pStyle w:val="ListNumber"/>
        <w:spacing w:after="40"/>
      </w:pPr>
      <w:r>
        <w:rPr>
          <w:sz w:val="18"/>
        </w:rPr>
        <w:t>Highest final tournament prediction points.</w:t>
      </w:r>
    </w:p>
    <w:p>
      <w:pPr>
        <w:pStyle w:val="ListNumber"/>
        <w:spacing w:after="40"/>
      </w:pPr>
      <w:r>
        <w:rPr>
          <w:sz w:val="18"/>
        </w:rPr>
        <w:t>Earliest timestamp of last valid prediction submission, only if a final tie-breaker is required and approved.</w:t>
      </w:r>
    </w:p>
    <w:p>
      <w:pPr>
        <w:pStyle w:val="ListNumber"/>
        <w:spacing w:after="40"/>
      </w:pPr>
      <w:r>
        <w:rPr>
          <w:sz w:val="18"/>
        </w:rPr>
        <w:t>Shared rank if all configured tie-breakers remain equal.</w:t>
      </w:r>
    </w:p>
    <w:p>
      <w:pPr>
        <w:pStyle w:val="Heading2"/>
        <w:spacing w:before="240" w:after="100"/>
      </w:pPr>
      <w:r>
        <w:t>7.5 Important Rule Clarifications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tblHeader w:val="true"/>
        </w:trPr>
        <w:tc>
          <w:tcPr>
            <w:tcW w:type="dxa" w:w="2880"/>
            <w:shd w:fill="1F4E79"/>
            <w:tcMar>
              <w:top w:w="80" w:type="dxa"/>
              <w:start w:w="80" w:type="dxa"/>
              <w:bottom w:w="80" w:type="dxa"/>
              <w:end w:w="80" w:type="dxa"/>
            </w:tcMar>
            <w:vAlign w:val="center"/>
          </w:tcPr>
          <w:p>
            <w:pPr>
              <w:jc w:val="center"/>
            </w:pPr>
            <w:r>
              <w:rPr>
                <w:b/>
                <w:color w:val="FFFFFF"/>
                <w:sz w:val="16"/>
              </w:rPr>
              <w:t>Topic</w:t>
            </w:r>
          </w:p>
        </w:tc>
        <w:tc>
          <w:tcPr>
            <w:tcW w:type="dxa" w:w="7776"/>
            <w:shd w:fill="1F4E79"/>
            <w:tcMar>
              <w:top w:w="80" w:type="dxa"/>
              <w:start w:w="80" w:type="dxa"/>
              <w:bottom w:w="80" w:type="dxa"/>
              <w:end w:w="80" w:type="dxa"/>
            </w:tcMar>
            <w:vAlign w:val="center"/>
          </w:tcPr>
          <w:p>
            <w:pPr>
              <w:jc w:val="center"/>
            </w:pPr>
            <w:r>
              <w:rPr>
                <w:b/>
                <w:color w:val="FFFFFF"/>
                <w:sz w:val="16"/>
              </w:rPr>
              <w:t>Clarification</w:t>
            </w:r>
          </w:p>
        </w:tc>
      </w:tr>
      <w:tr>
        <w:tc>
          <w:tcPr>
            <w:tcW w:type="dxa" w:w="2880"/>
            <w:tcMar>
              <w:top w:w="70" w:type="dxa"/>
              <w:start w:w="70" w:type="dxa"/>
              <w:bottom w:w="70" w:type="dxa"/>
              <w:end w:w="70" w:type="dxa"/>
            </w:tcMar>
            <w:vAlign w:val="top"/>
          </w:tcPr>
          <w:p>
            <w:pPr>
              <w:spacing w:after="20" w:line="252" w:lineRule="auto"/>
            </w:pPr>
            <w:r>
              <w:rPr>
                <w:sz w:val="16"/>
              </w:rPr>
              <w:t>Official score basis</w:t>
            </w:r>
          </w:p>
        </w:tc>
        <w:tc>
          <w:tcPr>
            <w:tcW w:type="dxa" w:w="7776"/>
            <w:tcMar>
              <w:top w:w="70" w:type="dxa"/>
              <w:start w:w="70" w:type="dxa"/>
              <w:bottom w:w="70" w:type="dxa"/>
              <w:end w:w="70" w:type="dxa"/>
            </w:tcMar>
            <w:vAlign w:val="top"/>
          </w:tcPr>
          <w:p>
            <w:pPr>
              <w:spacing w:after="20" w:line="252" w:lineRule="auto"/>
            </w:pPr>
            <w:r>
              <w:rPr>
                <w:sz w:val="16"/>
              </w:rPr>
              <w:t>The project must define whether knockout predictions use regular time, extra time, or the official final score excluding penalty shootouts. This is a critical pre-launch decision.</w:t>
            </w:r>
          </w:p>
        </w:tc>
      </w:tr>
      <w:tr>
        <w:tc>
          <w:tcPr>
            <w:tcW w:type="dxa" w:w="2880"/>
            <w:tcMar>
              <w:top w:w="70" w:type="dxa"/>
              <w:start w:w="70" w:type="dxa"/>
              <w:bottom w:w="70" w:type="dxa"/>
              <w:end w:w="70" w:type="dxa"/>
            </w:tcMar>
            <w:vAlign w:val="top"/>
          </w:tcPr>
          <w:p>
            <w:pPr>
              <w:spacing w:after="20" w:line="252" w:lineRule="auto"/>
            </w:pPr>
            <w:r>
              <w:rPr>
                <w:sz w:val="16"/>
              </w:rPr>
              <w:t>Penalty shootouts</w:t>
            </w:r>
          </w:p>
        </w:tc>
        <w:tc>
          <w:tcPr>
            <w:tcW w:type="dxa" w:w="7776"/>
            <w:tcMar>
              <w:top w:w="70" w:type="dxa"/>
              <w:start w:w="70" w:type="dxa"/>
              <w:bottom w:w="70" w:type="dxa"/>
              <w:end w:w="70" w:type="dxa"/>
            </w:tcMar>
            <w:vAlign w:val="top"/>
          </w:tcPr>
          <w:p>
            <w:pPr>
              <w:spacing w:after="20" w:line="252" w:lineRule="auto"/>
            </w:pPr>
            <w:r>
              <w:rPr>
                <w:sz w:val="16"/>
              </w:rPr>
              <w:t>Penalty shootouts should not be assumed to be part of the predicted score unless explicitly stated to users. If included, UI and data model must support it.</w:t>
            </w:r>
          </w:p>
        </w:tc>
      </w:tr>
      <w:tr>
        <w:tc>
          <w:tcPr>
            <w:tcW w:type="dxa" w:w="2880"/>
            <w:tcMar>
              <w:top w:w="70" w:type="dxa"/>
              <w:start w:w="70" w:type="dxa"/>
              <w:bottom w:w="70" w:type="dxa"/>
              <w:end w:w="70" w:type="dxa"/>
            </w:tcMar>
            <w:vAlign w:val="top"/>
          </w:tcPr>
          <w:p>
            <w:pPr>
              <w:spacing w:after="20" w:line="252" w:lineRule="auto"/>
            </w:pPr>
            <w:r>
              <w:rPr>
                <w:sz w:val="16"/>
              </w:rPr>
              <w:t>Abandoned or postponed matches</w:t>
            </w:r>
          </w:p>
        </w:tc>
        <w:tc>
          <w:tcPr>
            <w:tcW w:type="dxa" w:w="7776"/>
            <w:tcMar>
              <w:top w:w="70" w:type="dxa"/>
              <w:start w:w="70" w:type="dxa"/>
              <w:bottom w:w="70" w:type="dxa"/>
              <w:end w:w="70" w:type="dxa"/>
            </w:tcMar>
            <w:vAlign w:val="top"/>
          </w:tcPr>
          <w:p>
            <w:pPr>
              <w:spacing w:after="20" w:line="252" w:lineRule="auto"/>
            </w:pPr>
            <w:r>
              <w:rPr>
                <w:sz w:val="16"/>
              </w:rPr>
              <w:t>If a match is postponed, the lock time should follow the corrected kickoff time unless the original match had already locked and business decides otherwise.</w:t>
            </w:r>
          </w:p>
        </w:tc>
      </w:tr>
      <w:tr>
        <w:tc>
          <w:tcPr>
            <w:tcW w:type="dxa" w:w="2880"/>
            <w:tcMar>
              <w:top w:w="70" w:type="dxa"/>
              <w:start w:w="70" w:type="dxa"/>
              <w:bottom w:w="70" w:type="dxa"/>
              <w:end w:w="70" w:type="dxa"/>
            </w:tcMar>
            <w:vAlign w:val="top"/>
          </w:tcPr>
          <w:p>
            <w:pPr>
              <w:spacing w:after="20" w:line="252" w:lineRule="auto"/>
            </w:pPr>
            <w:r>
              <w:rPr>
                <w:sz w:val="16"/>
              </w:rPr>
              <w:t>Provider data changes</w:t>
            </w:r>
          </w:p>
        </w:tc>
        <w:tc>
          <w:tcPr>
            <w:tcW w:type="dxa" w:w="7776"/>
            <w:tcMar>
              <w:top w:w="70" w:type="dxa"/>
              <w:start w:w="70" w:type="dxa"/>
              <w:bottom w:w="70" w:type="dxa"/>
              <w:end w:w="70" w:type="dxa"/>
            </w:tcMar>
            <w:vAlign w:val="top"/>
          </w:tcPr>
          <w:p>
            <w:pPr>
              <w:spacing w:after="20" w:line="252" w:lineRule="auto"/>
            </w:pPr>
            <w:r>
              <w:rPr>
                <w:sz w:val="16"/>
              </w:rPr>
              <w:t>If a provider changes a score after recalculation, the application must preserve the prior calculation and record a new recalculation event.</w:t>
            </w:r>
          </w:p>
        </w:tc>
      </w:tr>
      <w:tr>
        <w:tc>
          <w:tcPr>
            <w:tcW w:type="dxa" w:w="2880"/>
            <w:tcMar>
              <w:top w:w="70" w:type="dxa"/>
              <w:start w:w="70" w:type="dxa"/>
              <w:bottom w:w="70" w:type="dxa"/>
              <w:end w:w="70" w:type="dxa"/>
            </w:tcMar>
            <w:vAlign w:val="top"/>
          </w:tcPr>
          <w:p>
            <w:pPr>
              <w:spacing w:after="20" w:line="252" w:lineRule="auto"/>
            </w:pPr>
            <w:r>
              <w:rPr>
                <w:sz w:val="16"/>
              </w:rPr>
              <w:t>Top scorer ties</w:t>
            </w:r>
          </w:p>
        </w:tc>
        <w:tc>
          <w:tcPr>
            <w:tcW w:type="dxa" w:w="7776"/>
            <w:tcMar>
              <w:top w:w="70" w:type="dxa"/>
              <w:start w:w="70" w:type="dxa"/>
              <w:bottom w:w="70" w:type="dxa"/>
              <w:end w:w="70" w:type="dxa"/>
            </w:tcMar>
            <w:vAlign w:val="top"/>
          </w:tcPr>
          <w:p>
            <w:pPr>
              <w:spacing w:after="20" w:line="252" w:lineRule="auto"/>
            </w:pPr>
            <w:r>
              <w:rPr>
                <w:sz w:val="16"/>
              </w:rPr>
              <w:t>If multiple players share top scorer status, business must decide whether all are accepted as correct or whether official award rules determine one winner.</w:t>
            </w:r>
          </w:p>
        </w:tc>
      </w:tr>
      <w:tr>
        <w:tc>
          <w:tcPr>
            <w:tcW w:type="dxa" w:w="2880"/>
            <w:tcMar>
              <w:top w:w="70" w:type="dxa"/>
              <w:start w:w="70" w:type="dxa"/>
              <w:bottom w:w="70" w:type="dxa"/>
              <w:end w:w="70" w:type="dxa"/>
            </w:tcMar>
            <w:vAlign w:val="top"/>
          </w:tcPr>
          <w:p>
            <w:pPr>
              <w:spacing w:after="20" w:line="252" w:lineRule="auto"/>
            </w:pPr>
            <w:r>
              <w:rPr>
                <w:sz w:val="16"/>
              </w:rPr>
              <w:t>Best player source</w:t>
            </w:r>
          </w:p>
        </w:tc>
        <w:tc>
          <w:tcPr>
            <w:tcW w:type="dxa" w:w="7776"/>
            <w:tcMar>
              <w:top w:w="70" w:type="dxa"/>
              <w:start w:w="70" w:type="dxa"/>
              <w:bottom w:w="70" w:type="dxa"/>
              <w:end w:w="70" w:type="dxa"/>
            </w:tcMar>
            <w:vAlign w:val="top"/>
          </w:tcPr>
          <w:p>
            <w:pPr>
              <w:spacing w:after="20" w:line="252" w:lineRule="auto"/>
            </w:pPr>
            <w:r>
              <w:rPr>
                <w:sz w:val="16"/>
              </w:rPr>
              <w:t>The source of the official best player award must be determined before final scoring.</w:t>
            </w:r>
          </w:p>
        </w:tc>
      </w:tr>
    </w:tbl>
    <w:p>
      <w:pPr>
        <w:pStyle w:val="Heading1"/>
        <w:spacing w:before="240" w:after="100"/>
      </w:pPr>
      <w:r>
        <w:t>8. High-Level Architecture</w:t>
      </w:r>
    </w:p>
    <w:p>
      <w:pPr>
        <w:keepLines w:val="0"/>
        <w:spacing w:after="120"/>
      </w:pPr>
      <w:r>
        <w:rPr>
          <w:b w:val="0"/>
          <w:i w:val="0"/>
        </w:rPr>
        <w:t>The application should be designed around logical capabilities. These capabilities may be deployed as one application, a modular monolith, separate services, serverless functions, workflow automations, or a hybrid architecture. The architecture does not require a specific implementation style, but it does require clear ownership of rules, data, security, and operations.</w:t>
      </w:r>
    </w:p>
    <w:p>
      <w:pPr>
        <w:pStyle w:val="Heading2"/>
        <w:spacing w:before="240" w:after="100"/>
      </w:pPr>
      <w:r>
        <w:t>8.1 Logical Architecture Diagram</w:t>
      </w:r>
    </w:p>
    <w:tbl>
      <w:tblPr>
        <w:tblStyle w:val="TableGrid"/>
        <w:tblW w:type="auto" w:w="0"/>
        <w:jc w:val="center"/>
        <w:tblLook w:firstColumn="1" w:firstRow="1" w:lastColumn="0" w:lastRow="0" w:noHBand="0" w:noVBand="1" w:val="04A0"/>
        <w:tblBorders>
          <w:top w:val="single" w:sz="8" w:space="0" w:color="B7C9D6"/>
          <w:left w:val="single" w:sz="8" w:space="0" w:color="B7C9D6"/>
          <w:bottom w:val="single" w:sz="8" w:space="0" w:color="B7C9D6"/>
          <w:right w:val="single" w:sz="8" w:space="0" w:color="B7C9D6"/>
          <w:insideH w:val="single" w:sz="8" w:space="0" w:color="B7C9D6"/>
          <w:insideV w:val="single" w:sz="8" w:space="0" w:color="B7C9D6"/>
        </w:tblBorders>
      </w:tblPr>
      <w:tblGrid>
        <w:gridCol w:w="3456"/>
        <w:gridCol w:w="3456"/>
        <w:gridCol w:w="3456"/>
      </w:tblGrid>
      <w:tr>
        <w:tc>
          <w:tcPr>
            <w:tcW w:type="dxa" w:w="3456"/>
            <w:tcMar>
              <w:top w:w="130" w:type="dxa"/>
              <w:start w:w="110" w:type="dxa"/>
              <w:bottom w:w="130" w:type="dxa"/>
              <w:end w:w="110" w:type="dxa"/>
            </w:tcMar>
            <w:shd w:fill="EAF2F8"/>
            <w:vAlign w:val="center"/>
          </w:tcPr>
          <w:p>
            <w:pPr>
              <w:jc w:val="center"/>
            </w:pPr>
            <w:r>
              <w:rPr>
                <w:b/>
                <w:color w:val="1F4E79"/>
                <w:sz w:val="16"/>
              </w:rPr>
              <w:t>Participant Experience</w:t>
              <w:br/>
              <w:t>Web / mobile-friendly UI</w:t>
            </w:r>
          </w:p>
        </w:tc>
        <w:tc>
          <w:tcPr>
            <w:tcW w:type="dxa" w:w="3456"/>
            <w:tcMar>
              <w:top w:w="130" w:type="dxa"/>
              <w:start w:w="110" w:type="dxa"/>
              <w:bottom w:w="130" w:type="dxa"/>
              <w:end w:w="110" w:type="dxa"/>
            </w:tcMar>
            <w:shd w:fill="EAF2F8"/>
            <w:vAlign w:val="center"/>
          </w:tcPr>
          <w:p>
            <w:pPr>
              <w:jc w:val="center"/>
            </w:pPr>
            <w:r>
              <w:rPr>
                <w:b/>
                <w:color w:val="1F4E79"/>
                <w:sz w:val="16"/>
              </w:rPr>
              <w:t>Corporate Identity Boundary</w:t>
              <w:br/>
              <w:t>SSO + domain / tenant eligibility</w:t>
            </w:r>
          </w:p>
        </w:tc>
        <w:tc>
          <w:tcPr>
            <w:tcW w:type="dxa" w:w="3456"/>
            <w:tcMar>
              <w:top w:w="130" w:type="dxa"/>
              <w:start w:w="110" w:type="dxa"/>
              <w:bottom w:w="130" w:type="dxa"/>
              <w:end w:w="110" w:type="dxa"/>
            </w:tcMar>
            <w:shd w:fill="EAF2F8"/>
            <w:vAlign w:val="center"/>
          </w:tcPr>
          <w:p>
            <w:pPr>
              <w:jc w:val="center"/>
            </w:pPr>
            <w:r>
              <w:rPr>
                <w:b/>
                <w:color w:val="1F4E79"/>
                <w:sz w:val="16"/>
              </w:rPr>
              <w:t>Administrator Experience</w:t>
              <w:br/>
              <w:t>Configuration, overrides, monitoring</w:t>
            </w:r>
          </w:p>
        </w:tc>
      </w:tr>
      <w:tr>
        <w:tc>
          <w:tcPr>
            <w:tcW w:type="dxa" w:w="3456"/>
            <w:tcMar>
              <w:top w:w="130" w:type="dxa"/>
              <w:start w:w="110" w:type="dxa"/>
              <w:bottom w:w="130" w:type="dxa"/>
              <w:end w:w="110" w:type="dxa"/>
            </w:tcMar>
            <w:shd w:fill="F8FBFD"/>
            <w:vAlign w:val="center"/>
          </w:tcPr>
          <w:p>
            <w:pPr>
              <w:jc w:val="center"/>
            </w:pPr>
            <w:r>
              <w:rPr>
                <w:b/>
                <w:color w:val="1F4E79"/>
                <w:sz w:val="16"/>
              </w:rPr>
              <w:t>Application/API Boundary</w:t>
              <w:br/>
              <w:t>Validation, authorization, session enforcement</w:t>
            </w:r>
          </w:p>
        </w:tc>
        <w:tc>
          <w:tcPr>
            <w:tcW w:type="dxa" w:w="3456"/>
            <w:tcMar>
              <w:top w:w="130" w:type="dxa"/>
              <w:start w:w="110" w:type="dxa"/>
              <w:bottom w:w="130" w:type="dxa"/>
              <w:end w:w="110" w:type="dxa"/>
            </w:tcMar>
            <w:shd w:fill="F8FBFD"/>
            <w:vAlign w:val="center"/>
          </w:tcPr>
          <w:p>
            <w:pPr>
              <w:jc w:val="center"/>
            </w:pPr>
            <w:r>
              <w:rPr>
                <w:b/>
                <w:color w:val="1F4E79"/>
                <w:sz w:val="16"/>
              </w:rPr>
              <w:t>Business Rules Layer</w:t>
              <w:br/>
              <w:t>Locking, scoring, ranking, recalculation</w:t>
            </w:r>
          </w:p>
        </w:tc>
        <w:tc>
          <w:tcPr>
            <w:tcW w:type="dxa" w:w="3456"/>
            <w:tcMar>
              <w:top w:w="130" w:type="dxa"/>
              <w:start w:w="110" w:type="dxa"/>
              <w:bottom w:w="130" w:type="dxa"/>
              <w:end w:w="110" w:type="dxa"/>
            </w:tcMar>
            <w:shd w:fill="F8FBFD"/>
            <w:vAlign w:val="center"/>
          </w:tcPr>
          <w:p>
            <w:pPr>
              <w:jc w:val="center"/>
            </w:pPr>
            <w:r>
              <w:rPr>
                <w:b/>
                <w:color w:val="1F4E79"/>
                <w:sz w:val="16"/>
              </w:rPr>
              <w:t>Notification &amp; Engagement Layer</w:t>
              <w:br/>
              <w:t>Reminders, announcements, updates</w:t>
            </w:r>
          </w:p>
        </w:tc>
      </w:tr>
      <w:tr>
        <w:tc>
          <w:tcPr>
            <w:tcW w:type="dxa" w:w="3456"/>
            <w:tcMar>
              <w:top w:w="130" w:type="dxa"/>
              <w:start w:w="110" w:type="dxa"/>
              <w:bottom w:w="130" w:type="dxa"/>
              <w:end w:w="110" w:type="dxa"/>
            </w:tcMar>
            <w:shd w:fill="EAF2F8"/>
            <w:vAlign w:val="center"/>
          </w:tcPr>
          <w:p>
            <w:pPr>
              <w:jc w:val="center"/>
            </w:pPr>
            <w:r>
              <w:rPr>
                <w:b/>
                <w:color w:val="1F4E79"/>
                <w:sz w:val="16"/>
              </w:rPr>
              <w:t>Prediction Management</w:t>
              <w:br/>
              <w:t>Match predictions and final predictions</w:t>
            </w:r>
          </w:p>
        </w:tc>
        <w:tc>
          <w:tcPr>
            <w:tcW w:type="dxa" w:w="3456"/>
            <w:tcMar>
              <w:top w:w="130" w:type="dxa"/>
              <w:start w:w="110" w:type="dxa"/>
              <w:bottom w:w="130" w:type="dxa"/>
              <w:end w:w="110" w:type="dxa"/>
            </w:tcMar>
            <w:shd w:fill="EAF2F8"/>
            <w:vAlign w:val="center"/>
          </w:tcPr>
          <w:p>
            <w:pPr>
              <w:jc w:val="center"/>
            </w:pPr>
            <w:r>
              <w:rPr>
                <w:b/>
                <w:color w:val="1F4E79"/>
                <w:sz w:val="16"/>
              </w:rPr>
              <w:t>Tournament Data Management</w:t>
              <w:br/>
              <w:t>Fixtures, teams, match statuses, official results</w:t>
            </w:r>
          </w:p>
        </w:tc>
        <w:tc>
          <w:tcPr>
            <w:tcW w:type="dxa" w:w="3456"/>
            <w:tcMar>
              <w:top w:w="130" w:type="dxa"/>
              <w:start w:w="110" w:type="dxa"/>
              <w:bottom w:w="130" w:type="dxa"/>
              <w:end w:w="110" w:type="dxa"/>
            </w:tcMar>
            <w:shd w:fill="EAF2F8"/>
            <w:vAlign w:val="center"/>
          </w:tcPr>
          <w:p>
            <w:pPr>
              <w:jc w:val="center"/>
            </w:pPr>
            <w:r>
              <w:rPr>
                <w:b/>
                <w:color w:val="1F4E79"/>
                <w:sz w:val="16"/>
              </w:rPr>
              <w:t>Leaderboard &amp; Analytics</w:t>
              <w:br/>
              <w:t>Rankings, personal breakdowns, reports</w:t>
            </w:r>
          </w:p>
        </w:tc>
      </w:tr>
      <w:tr>
        <w:tc>
          <w:tcPr>
            <w:tcW w:type="dxa" w:w="3456"/>
            <w:tcMar>
              <w:top w:w="130" w:type="dxa"/>
              <w:start w:w="110" w:type="dxa"/>
              <w:bottom w:w="130" w:type="dxa"/>
              <w:end w:w="110" w:type="dxa"/>
            </w:tcMar>
            <w:shd w:fill="F8FBFD"/>
            <w:vAlign w:val="center"/>
          </w:tcPr>
          <w:p>
            <w:pPr>
              <w:jc w:val="center"/>
            </w:pPr>
            <w:r>
              <w:rPr>
                <w:b/>
                <w:color w:val="1F4E79"/>
                <w:sz w:val="16"/>
              </w:rPr>
              <w:t>Transactional Data Store</w:t>
              <w:br/>
              <w:t>Participants, predictions, scores, audit</w:t>
            </w:r>
          </w:p>
        </w:tc>
        <w:tc>
          <w:tcPr>
            <w:tcW w:type="dxa" w:w="3456"/>
            <w:tcMar>
              <w:top w:w="130" w:type="dxa"/>
              <w:start w:w="110" w:type="dxa"/>
              <w:bottom w:w="130" w:type="dxa"/>
              <w:end w:w="110" w:type="dxa"/>
            </w:tcMar>
            <w:shd w:fill="F8FBFD"/>
            <w:vAlign w:val="center"/>
          </w:tcPr>
          <w:p>
            <w:pPr>
              <w:jc w:val="center"/>
            </w:pPr>
            <w:r>
              <w:rPr>
                <w:b/>
                <w:color w:val="1F4E79"/>
                <w:sz w:val="16"/>
              </w:rPr>
              <w:t>Integration Layer</w:t>
              <w:br/>
              <w:t>Provider abstraction, sync, retries, manual fallback</w:t>
            </w:r>
          </w:p>
        </w:tc>
        <w:tc>
          <w:tcPr>
            <w:tcW w:type="dxa" w:w="3456"/>
            <w:tcMar>
              <w:top w:w="130" w:type="dxa"/>
              <w:start w:w="110" w:type="dxa"/>
              <w:bottom w:w="130" w:type="dxa"/>
              <w:end w:w="110" w:type="dxa"/>
            </w:tcMar>
            <w:shd w:fill="F8FBFD"/>
            <w:vAlign w:val="center"/>
          </w:tcPr>
          <w:p>
            <w:pPr>
              <w:jc w:val="center"/>
            </w:pPr>
            <w:r>
              <w:rPr>
                <w:b/>
                <w:color w:val="1F4E79"/>
                <w:sz w:val="16"/>
              </w:rPr>
              <w:t>Observability &amp; Operations</w:t>
              <w:br/>
              <w:t>Logs, metrics, alerts, runbooks</w:t>
            </w:r>
          </w:p>
        </w:tc>
      </w:tr>
      <w:tr>
        <w:tc>
          <w:tcPr>
            <w:tcW w:type="dxa" w:w="3456"/>
            <w:tcMar>
              <w:top w:w="130" w:type="dxa"/>
              <w:start w:w="110" w:type="dxa"/>
              <w:bottom w:w="130" w:type="dxa"/>
              <w:end w:w="110" w:type="dxa"/>
            </w:tcMar>
            <w:shd w:fill="EAF2F8"/>
            <w:vAlign w:val="center"/>
          </w:tcPr>
          <w:p>
            <w:pPr>
              <w:jc w:val="center"/>
            </w:pPr>
            <w:r>
              <w:rPr>
                <w:b/>
                <w:color w:val="1F4E79"/>
                <w:sz w:val="16"/>
              </w:rPr>
              <w:t>External Football Data Provider(s)</w:t>
              <w:br/>
              <w:t>Schedules, fixtures, scores, awards</w:t>
            </w:r>
          </w:p>
        </w:tc>
        <w:tc>
          <w:tcPr>
            <w:tcW w:type="dxa" w:w="3456"/>
            <w:tcMar>
              <w:top w:w="130" w:type="dxa"/>
              <w:start w:w="110" w:type="dxa"/>
              <w:bottom w:w="130" w:type="dxa"/>
              <w:end w:w="110" w:type="dxa"/>
            </w:tcMar>
            <w:shd w:fill="EAF2F8"/>
            <w:vAlign w:val="center"/>
          </w:tcPr>
          <w:p>
            <w:pPr>
              <w:jc w:val="center"/>
            </w:pPr>
            <w:r>
              <w:rPr>
                <w:b/>
                <w:color w:val="1F4E79"/>
                <w:sz w:val="16"/>
              </w:rPr>
              <w:t>Governance Controls</w:t>
              <w:br/>
              <w:t>Security, privacy, retention, compliance</w:t>
            </w:r>
          </w:p>
        </w:tc>
        <w:tc>
          <w:tcPr>
            <w:tcW w:type="dxa" w:w="3456"/>
            <w:tcMar>
              <w:top w:w="130" w:type="dxa"/>
              <w:start w:w="110" w:type="dxa"/>
              <w:bottom w:w="130" w:type="dxa"/>
              <w:end w:w="110" w:type="dxa"/>
            </w:tcMar>
            <w:shd w:fill="EAF2F8"/>
            <w:vAlign w:val="center"/>
          </w:tcPr>
          <w:p>
            <w:pPr>
              <w:jc w:val="center"/>
            </w:pPr>
            <w:r>
              <w:rPr>
                <w:b/>
                <w:color w:val="1F4E79"/>
                <w:sz w:val="16"/>
              </w:rPr>
              <w:t>Future Extensions</w:t>
              <w:br/>
              <w:t>New tournaments, teams, regions, gamification</w:t>
            </w:r>
          </w:p>
        </w:tc>
      </w:tr>
    </w:tbl>
    <w:p>
      <w:pPr>
        <w:pStyle w:val="SmallNote"/>
      </w:pPr>
      <w:r>
        <w:t>Figure 1. Logical high-level architecture. The diagram shows responsibilities, not implementation products.</w:t>
      </w:r>
    </w:p>
    <w:p>
      <w:pPr>
        <w:pStyle w:val="Heading2"/>
        <w:spacing w:before="240" w:after="100"/>
      </w:pPr>
      <w:r>
        <w:t>8.2 Component Responsibilities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592"/>
            <w:shd w:fill="1F4E79"/>
            <w:tcMar>
              <w:top w:w="80" w:type="dxa"/>
              <w:start w:w="80" w:type="dxa"/>
              <w:bottom w:w="80" w:type="dxa"/>
              <w:end w:w="80" w:type="dxa"/>
            </w:tcMar>
            <w:vAlign w:val="center"/>
          </w:tcPr>
          <w:p>
            <w:pPr>
              <w:jc w:val="center"/>
            </w:pPr>
            <w:r>
              <w:rPr>
                <w:b/>
                <w:color w:val="FFFFFF"/>
                <w:sz w:val="15"/>
              </w:rPr>
              <w:t>Component</w:t>
            </w:r>
          </w:p>
        </w:tc>
        <w:tc>
          <w:tcPr>
            <w:tcW w:type="dxa" w:w="4320"/>
            <w:shd w:fill="1F4E79"/>
            <w:tcMar>
              <w:top w:w="80" w:type="dxa"/>
              <w:start w:w="80" w:type="dxa"/>
              <w:bottom w:w="80" w:type="dxa"/>
              <w:end w:w="80" w:type="dxa"/>
            </w:tcMar>
            <w:vAlign w:val="center"/>
          </w:tcPr>
          <w:p>
            <w:pPr>
              <w:jc w:val="center"/>
            </w:pPr>
            <w:r>
              <w:rPr>
                <w:b/>
                <w:color w:val="FFFFFF"/>
                <w:sz w:val="15"/>
              </w:rPr>
              <w:t>Responsibility</w:t>
            </w:r>
          </w:p>
        </w:tc>
        <w:tc>
          <w:tcPr>
            <w:tcW w:type="dxa" w:w="3888"/>
            <w:shd w:fill="1F4E79"/>
            <w:tcMar>
              <w:top w:w="80" w:type="dxa"/>
              <w:start w:w="80" w:type="dxa"/>
              <w:bottom w:w="80" w:type="dxa"/>
              <w:end w:w="80" w:type="dxa"/>
            </w:tcMar>
            <w:vAlign w:val="center"/>
          </w:tcPr>
          <w:p>
            <w:pPr>
              <w:jc w:val="center"/>
            </w:pPr>
            <w:r>
              <w:rPr>
                <w:b/>
                <w:color w:val="FFFFFF"/>
                <w:sz w:val="15"/>
              </w:rPr>
              <w:t>Architectural requirement</w:t>
            </w:r>
          </w:p>
        </w:tc>
      </w:tr>
      <w:tr>
        <w:tc>
          <w:tcPr>
            <w:tcW w:type="dxa" w:w="2592"/>
            <w:tcMar>
              <w:top w:w="70" w:type="dxa"/>
              <w:start w:w="70" w:type="dxa"/>
              <w:bottom w:w="70" w:type="dxa"/>
              <w:end w:w="70" w:type="dxa"/>
            </w:tcMar>
            <w:vAlign w:val="top"/>
          </w:tcPr>
          <w:p>
            <w:pPr>
              <w:spacing w:after="20" w:line="252" w:lineRule="auto"/>
            </w:pPr>
            <w:r>
              <w:rPr>
                <w:sz w:val="15"/>
              </w:rPr>
              <w:t>Participant experience</w:t>
            </w:r>
          </w:p>
        </w:tc>
        <w:tc>
          <w:tcPr>
            <w:tcW w:type="dxa" w:w="4320"/>
            <w:tcMar>
              <w:top w:w="70" w:type="dxa"/>
              <w:start w:w="70" w:type="dxa"/>
              <w:bottom w:w="70" w:type="dxa"/>
              <w:end w:w="70" w:type="dxa"/>
            </w:tcMar>
            <w:vAlign w:val="top"/>
          </w:tcPr>
          <w:p>
            <w:pPr>
              <w:spacing w:after="20" w:line="252" w:lineRule="auto"/>
            </w:pPr>
            <w:r>
              <w:rPr>
                <w:sz w:val="15"/>
              </w:rPr>
              <w:t>Provides the user interface for viewing matches, submitting predictions, seeing locks, checking scores, and viewing leaderboards.</w:t>
            </w:r>
          </w:p>
        </w:tc>
        <w:tc>
          <w:tcPr>
            <w:tcW w:type="dxa" w:w="3888"/>
            <w:tcMar>
              <w:top w:w="70" w:type="dxa"/>
              <w:start w:w="70" w:type="dxa"/>
              <w:bottom w:w="70" w:type="dxa"/>
              <w:end w:w="70" w:type="dxa"/>
            </w:tcMar>
            <w:vAlign w:val="top"/>
          </w:tcPr>
          <w:p>
            <w:pPr>
              <w:spacing w:after="20" w:line="252" w:lineRule="auto"/>
            </w:pPr>
            <w:r>
              <w:rPr>
                <w:sz w:val="15"/>
              </w:rPr>
              <w:t>Must not contain authoritative lock or scoring logic; it should call server-side capabilities.</w:t>
            </w:r>
          </w:p>
        </w:tc>
      </w:tr>
      <w:tr>
        <w:tc>
          <w:tcPr>
            <w:tcW w:type="dxa" w:w="2592"/>
            <w:tcMar>
              <w:top w:w="70" w:type="dxa"/>
              <w:start w:w="70" w:type="dxa"/>
              <w:bottom w:w="70" w:type="dxa"/>
              <w:end w:w="70" w:type="dxa"/>
            </w:tcMar>
            <w:vAlign w:val="top"/>
          </w:tcPr>
          <w:p>
            <w:pPr>
              <w:spacing w:after="20" w:line="252" w:lineRule="auto"/>
            </w:pPr>
            <w:r>
              <w:rPr>
                <w:sz w:val="15"/>
              </w:rPr>
              <w:t>Corporate identity boundary</w:t>
            </w:r>
          </w:p>
        </w:tc>
        <w:tc>
          <w:tcPr>
            <w:tcW w:type="dxa" w:w="4320"/>
            <w:tcMar>
              <w:top w:w="70" w:type="dxa"/>
              <w:start w:w="70" w:type="dxa"/>
              <w:bottom w:w="70" w:type="dxa"/>
              <w:end w:w="70" w:type="dxa"/>
            </w:tcMar>
            <w:vAlign w:val="top"/>
          </w:tcPr>
          <w:p>
            <w:pPr>
              <w:spacing w:after="20" w:line="252" w:lineRule="auto"/>
            </w:pPr>
            <w:r>
              <w:rPr>
                <w:sz w:val="15"/>
              </w:rPr>
              <w:t>Authenticates users and confirms corporate eligibility.</w:t>
            </w:r>
          </w:p>
        </w:tc>
        <w:tc>
          <w:tcPr>
            <w:tcW w:type="dxa" w:w="3888"/>
            <w:tcMar>
              <w:top w:w="70" w:type="dxa"/>
              <w:start w:w="70" w:type="dxa"/>
              <w:bottom w:w="70" w:type="dxa"/>
              <w:end w:w="70" w:type="dxa"/>
            </w:tcMar>
            <w:vAlign w:val="top"/>
          </w:tcPr>
          <w:p>
            <w:pPr>
              <w:spacing w:after="20" w:line="252" w:lineRule="auto"/>
            </w:pPr>
            <w:r>
              <w:rPr>
                <w:sz w:val="15"/>
              </w:rPr>
              <w:t>Must reject external domains and avoid local password storage.</w:t>
            </w:r>
          </w:p>
        </w:tc>
      </w:tr>
      <w:tr>
        <w:tc>
          <w:tcPr>
            <w:tcW w:type="dxa" w:w="2592"/>
            <w:tcMar>
              <w:top w:w="70" w:type="dxa"/>
              <w:start w:w="70" w:type="dxa"/>
              <w:bottom w:w="70" w:type="dxa"/>
              <w:end w:w="70" w:type="dxa"/>
            </w:tcMar>
            <w:vAlign w:val="top"/>
          </w:tcPr>
          <w:p>
            <w:pPr>
              <w:spacing w:after="20" w:line="252" w:lineRule="auto"/>
            </w:pPr>
            <w:r>
              <w:rPr>
                <w:sz w:val="15"/>
              </w:rPr>
              <w:t>Application/API boundary</w:t>
            </w:r>
          </w:p>
        </w:tc>
        <w:tc>
          <w:tcPr>
            <w:tcW w:type="dxa" w:w="4320"/>
            <w:tcMar>
              <w:top w:w="70" w:type="dxa"/>
              <w:start w:w="70" w:type="dxa"/>
              <w:bottom w:w="70" w:type="dxa"/>
              <w:end w:w="70" w:type="dxa"/>
            </w:tcMar>
            <w:vAlign w:val="top"/>
          </w:tcPr>
          <w:p>
            <w:pPr>
              <w:spacing w:after="20" w:line="252" w:lineRule="auto"/>
            </w:pPr>
            <w:r>
              <w:rPr>
                <w:sz w:val="15"/>
              </w:rPr>
              <w:t>Exposes secure operations for predictions, leaderboards, profile data, and administrative workflows.</w:t>
            </w:r>
          </w:p>
        </w:tc>
        <w:tc>
          <w:tcPr>
            <w:tcW w:type="dxa" w:w="3888"/>
            <w:tcMar>
              <w:top w:w="70" w:type="dxa"/>
              <w:start w:w="70" w:type="dxa"/>
              <w:bottom w:w="70" w:type="dxa"/>
              <w:end w:w="70" w:type="dxa"/>
            </w:tcMar>
            <w:vAlign w:val="top"/>
          </w:tcPr>
          <w:p>
            <w:pPr>
              <w:spacing w:after="20" w:line="252" w:lineRule="auto"/>
            </w:pPr>
            <w:r>
              <w:rPr>
                <w:sz w:val="15"/>
              </w:rPr>
              <w:t>Must validate authorization and business rules on every write operation.</w:t>
            </w:r>
          </w:p>
        </w:tc>
      </w:tr>
      <w:tr>
        <w:tc>
          <w:tcPr>
            <w:tcW w:type="dxa" w:w="2592"/>
            <w:tcMar>
              <w:top w:w="70" w:type="dxa"/>
              <w:start w:w="70" w:type="dxa"/>
              <w:bottom w:w="70" w:type="dxa"/>
              <w:end w:w="70" w:type="dxa"/>
            </w:tcMar>
            <w:vAlign w:val="top"/>
          </w:tcPr>
          <w:p>
            <w:pPr>
              <w:spacing w:after="20" w:line="252" w:lineRule="auto"/>
            </w:pPr>
            <w:r>
              <w:rPr>
                <w:sz w:val="15"/>
              </w:rPr>
              <w:t>Business rules layer</w:t>
            </w:r>
          </w:p>
        </w:tc>
        <w:tc>
          <w:tcPr>
            <w:tcW w:type="dxa" w:w="4320"/>
            <w:tcMar>
              <w:top w:w="70" w:type="dxa"/>
              <w:start w:w="70" w:type="dxa"/>
              <w:bottom w:w="70" w:type="dxa"/>
              <w:end w:w="70" w:type="dxa"/>
            </w:tcMar>
            <w:vAlign w:val="top"/>
          </w:tcPr>
          <w:p>
            <w:pPr>
              <w:spacing w:after="20" w:line="252" w:lineRule="auto"/>
            </w:pPr>
            <w:r>
              <w:rPr>
                <w:sz w:val="15"/>
              </w:rPr>
              <w:t>Owns prediction editability, final prediction locks, scoring, ranking, and recalculation logic.</w:t>
            </w:r>
          </w:p>
        </w:tc>
        <w:tc>
          <w:tcPr>
            <w:tcW w:type="dxa" w:w="3888"/>
            <w:tcMar>
              <w:top w:w="70" w:type="dxa"/>
              <w:start w:w="70" w:type="dxa"/>
              <w:bottom w:w="70" w:type="dxa"/>
              <w:end w:w="70" w:type="dxa"/>
            </w:tcMar>
            <w:vAlign w:val="top"/>
          </w:tcPr>
          <w:p>
            <w:pPr>
              <w:spacing w:after="20" w:line="252" w:lineRule="auto"/>
            </w:pPr>
            <w:r>
              <w:rPr>
                <w:sz w:val="15"/>
              </w:rPr>
              <w:t>Should be testable independently from the UI.</w:t>
            </w:r>
          </w:p>
        </w:tc>
      </w:tr>
      <w:tr>
        <w:tc>
          <w:tcPr>
            <w:tcW w:type="dxa" w:w="2592"/>
            <w:tcMar>
              <w:top w:w="70" w:type="dxa"/>
              <w:start w:w="70" w:type="dxa"/>
              <w:bottom w:w="70" w:type="dxa"/>
              <w:end w:w="70" w:type="dxa"/>
            </w:tcMar>
            <w:vAlign w:val="top"/>
          </w:tcPr>
          <w:p>
            <w:pPr>
              <w:spacing w:after="20" w:line="252" w:lineRule="auto"/>
            </w:pPr>
            <w:r>
              <w:rPr>
                <w:sz w:val="15"/>
              </w:rPr>
              <w:t>Prediction management</w:t>
            </w:r>
          </w:p>
        </w:tc>
        <w:tc>
          <w:tcPr>
            <w:tcW w:type="dxa" w:w="4320"/>
            <w:tcMar>
              <w:top w:w="70" w:type="dxa"/>
              <w:start w:w="70" w:type="dxa"/>
              <w:bottom w:w="70" w:type="dxa"/>
              <w:end w:w="70" w:type="dxa"/>
            </w:tcMar>
            <w:vAlign w:val="top"/>
          </w:tcPr>
          <w:p>
            <w:pPr>
              <w:spacing w:after="20" w:line="252" w:lineRule="auto"/>
            </w:pPr>
            <w:r>
              <w:rPr>
                <w:sz w:val="15"/>
              </w:rPr>
              <w:t>Stores and retrieves match predictions and final predictions.</w:t>
            </w:r>
          </w:p>
        </w:tc>
        <w:tc>
          <w:tcPr>
            <w:tcW w:type="dxa" w:w="3888"/>
            <w:tcMar>
              <w:top w:w="70" w:type="dxa"/>
              <w:start w:w="70" w:type="dxa"/>
              <w:bottom w:w="70" w:type="dxa"/>
              <w:end w:w="70" w:type="dxa"/>
            </w:tcMar>
            <w:vAlign w:val="top"/>
          </w:tcPr>
          <w:p>
            <w:pPr>
              <w:spacing w:after="20" w:line="252" w:lineRule="auto"/>
            </w:pPr>
            <w:r>
              <w:rPr>
                <w:sz w:val="15"/>
              </w:rPr>
              <w:t>Should support version history or audit logging for edits.</w:t>
            </w:r>
          </w:p>
        </w:tc>
      </w:tr>
      <w:tr>
        <w:tc>
          <w:tcPr>
            <w:tcW w:type="dxa" w:w="2592"/>
            <w:tcMar>
              <w:top w:w="70" w:type="dxa"/>
              <w:start w:w="70" w:type="dxa"/>
              <w:bottom w:w="70" w:type="dxa"/>
              <w:end w:w="70" w:type="dxa"/>
            </w:tcMar>
            <w:vAlign w:val="top"/>
          </w:tcPr>
          <w:p>
            <w:pPr>
              <w:spacing w:after="20" w:line="252" w:lineRule="auto"/>
            </w:pPr>
            <w:r>
              <w:rPr>
                <w:sz w:val="15"/>
              </w:rPr>
              <w:t>Tournament data management</w:t>
            </w:r>
          </w:p>
        </w:tc>
        <w:tc>
          <w:tcPr>
            <w:tcW w:type="dxa" w:w="4320"/>
            <w:tcMar>
              <w:top w:w="70" w:type="dxa"/>
              <w:start w:w="70" w:type="dxa"/>
              <w:bottom w:w="70" w:type="dxa"/>
              <w:end w:w="70" w:type="dxa"/>
            </w:tcMar>
            <w:vAlign w:val="top"/>
          </w:tcPr>
          <w:p>
            <w:pPr>
              <w:spacing w:after="20" w:line="252" w:lineRule="auto"/>
            </w:pPr>
            <w:r>
              <w:rPr>
                <w:sz w:val="15"/>
              </w:rPr>
              <w:t>Stores teams, matches, schedule, statuses, results, and final award values.</w:t>
            </w:r>
          </w:p>
        </w:tc>
        <w:tc>
          <w:tcPr>
            <w:tcW w:type="dxa" w:w="3888"/>
            <w:tcMar>
              <w:top w:w="70" w:type="dxa"/>
              <w:start w:w="70" w:type="dxa"/>
              <w:bottom w:w="70" w:type="dxa"/>
              <w:end w:w="70" w:type="dxa"/>
            </w:tcMar>
            <w:vAlign w:val="top"/>
          </w:tcPr>
          <w:p>
            <w:pPr>
              <w:spacing w:after="20" w:line="252" w:lineRule="auto"/>
            </w:pPr>
            <w:r>
              <w:rPr>
                <w:sz w:val="15"/>
              </w:rPr>
              <w:t>Must support provider updates and administrative corrections.</w:t>
            </w:r>
          </w:p>
        </w:tc>
      </w:tr>
      <w:tr>
        <w:tc>
          <w:tcPr>
            <w:tcW w:type="dxa" w:w="2592"/>
            <w:tcMar>
              <w:top w:w="70" w:type="dxa"/>
              <w:start w:w="70" w:type="dxa"/>
              <w:bottom w:w="70" w:type="dxa"/>
              <w:end w:w="70" w:type="dxa"/>
            </w:tcMar>
            <w:vAlign w:val="top"/>
          </w:tcPr>
          <w:p>
            <w:pPr>
              <w:spacing w:after="20" w:line="252" w:lineRule="auto"/>
            </w:pPr>
            <w:r>
              <w:rPr>
                <w:sz w:val="15"/>
              </w:rPr>
              <w:t>Integration layer</w:t>
            </w:r>
          </w:p>
        </w:tc>
        <w:tc>
          <w:tcPr>
            <w:tcW w:type="dxa" w:w="4320"/>
            <w:tcMar>
              <w:top w:w="70" w:type="dxa"/>
              <w:start w:w="70" w:type="dxa"/>
              <w:bottom w:w="70" w:type="dxa"/>
              <w:end w:w="70" w:type="dxa"/>
            </w:tcMar>
            <w:vAlign w:val="top"/>
          </w:tcPr>
          <w:p>
            <w:pPr>
              <w:spacing w:after="20" w:line="252" w:lineRule="auto"/>
            </w:pPr>
            <w:r>
              <w:rPr>
                <w:sz w:val="15"/>
              </w:rPr>
              <w:t>Synchronizes data from external providers and normalizes it into the internal data model.</w:t>
            </w:r>
          </w:p>
        </w:tc>
        <w:tc>
          <w:tcPr>
            <w:tcW w:type="dxa" w:w="3888"/>
            <w:tcMar>
              <w:top w:w="70" w:type="dxa"/>
              <w:start w:w="70" w:type="dxa"/>
              <w:bottom w:w="70" w:type="dxa"/>
              <w:end w:w="70" w:type="dxa"/>
            </w:tcMar>
            <w:vAlign w:val="top"/>
          </w:tcPr>
          <w:p>
            <w:pPr>
              <w:spacing w:after="20" w:line="252" w:lineRule="auto"/>
            </w:pPr>
            <w:r>
              <w:rPr>
                <w:sz w:val="15"/>
              </w:rPr>
              <w:t>Must handle rate limits, retries, provider outages, and data drift.</w:t>
            </w:r>
          </w:p>
        </w:tc>
      </w:tr>
      <w:tr>
        <w:tc>
          <w:tcPr>
            <w:tcW w:type="dxa" w:w="2592"/>
            <w:tcMar>
              <w:top w:w="70" w:type="dxa"/>
              <w:start w:w="70" w:type="dxa"/>
              <w:bottom w:w="70" w:type="dxa"/>
              <w:end w:w="70" w:type="dxa"/>
            </w:tcMar>
            <w:vAlign w:val="top"/>
          </w:tcPr>
          <w:p>
            <w:pPr>
              <w:spacing w:after="20" w:line="252" w:lineRule="auto"/>
            </w:pPr>
            <w:r>
              <w:rPr>
                <w:sz w:val="15"/>
              </w:rPr>
              <w:t>Leaderboard and analytics</w:t>
            </w:r>
          </w:p>
        </w:tc>
        <w:tc>
          <w:tcPr>
            <w:tcW w:type="dxa" w:w="4320"/>
            <w:tcMar>
              <w:top w:w="70" w:type="dxa"/>
              <w:start w:w="70" w:type="dxa"/>
              <w:bottom w:w="70" w:type="dxa"/>
              <w:end w:w="70" w:type="dxa"/>
            </w:tcMar>
            <w:vAlign w:val="top"/>
          </w:tcPr>
          <w:p>
            <w:pPr>
              <w:spacing w:after="20" w:line="252" w:lineRule="auto"/>
            </w:pPr>
            <w:r>
              <w:rPr>
                <w:sz w:val="15"/>
              </w:rPr>
              <w:t>Aggregates user points, ranking positions, trends, and reports.</w:t>
            </w:r>
          </w:p>
        </w:tc>
        <w:tc>
          <w:tcPr>
            <w:tcW w:type="dxa" w:w="3888"/>
            <w:tcMar>
              <w:top w:w="70" w:type="dxa"/>
              <w:start w:w="70" w:type="dxa"/>
              <w:bottom w:w="70" w:type="dxa"/>
              <w:end w:w="70" w:type="dxa"/>
            </w:tcMar>
            <w:vAlign w:val="top"/>
          </w:tcPr>
          <w:p>
            <w:pPr>
              <w:spacing w:after="20" w:line="252" w:lineRule="auto"/>
            </w:pPr>
            <w:r>
              <w:rPr>
                <w:sz w:val="15"/>
              </w:rPr>
              <w:t>Should support efficient reads during traffic spikes.</w:t>
            </w:r>
          </w:p>
        </w:tc>
      </w:tr>
      <w:tr>
        <w:tc>
          <w:tcPr>
            <w:tcW w:type="dxa" w:w="2592"/>
            <w:tcMar>
              <w:top w:w="70" w:type="dxa"/>
              <w:start w:w="70" w:type="dxa"/>
              <w:bottom w:w="70" w:type="dxa"/>
              <w:end w:w="70" w:type="dxa"/>
            </w:tcMar>
            <w:vAlign w:val="top"/>
          </w:tcPr>
          <w:p>
            <w:pPr>
              <w:spacing w:after="20" w:line="252" w:lineRule="auto"/>
            </w:pPr>
            <w:r>
              <w:rPr>
                <w:sz w:val="15"/>
              </w:rPr>
              <w:t>Administration</w:t>
            </w:r>
          </w:p>
        </w:tc>
        <w:tc>
          <w:tcPr>
            <w:tcW w:type="dxa" w:w="4320"/>
            <w:tcMar>
              <w:top w:w="70" w:type="dxa"/>
              <w:start w:w="70" w:type="dxa"/>
              <w:bottom w:w="70" w:type="dxa"/>
              <w:end w:w="70" w:type="dxa"/>
            </w:tcMar>
            <w:vAlign w:val="top"/>
          </w:tcPr>
          <w:p>
            <w:pPr>
              <w:spacing w:after="20" w:line="252" w:lineRule="auto"/>
            </w:pPr>
            <w:r>
              <w:rPr>
                <w:sz w:val="15"/>
              </w:rPr>
              <w:t>Enables configuration, manual correction, recalculation, and dispute support.</w:t>
            </w:r>
          </w:p>
        </w:tc>
        <w:tc>
          <w:tcPr>
            <w:tcW w:type="dxa" w:w="3888"/>
            <w:tcMar>
              <w:top w:w="70" w:type="dxa"/>
              <w:start w:w="70" w:type="dxa"/>
              <w:bottom w:w="70" w:type="dxa"/>
              <w:end w:w="70" w:type="dxa"/>
            </w:tcMar>
            <w:vAlign w:val="top"/>
          </w:tcPr>
          <w:p>
            <w:pPr>
              <w:spacing w:after="20" w:line="252" w:lineRule="auto"/>
            </w:pPr>
            <w:r>
              <w:rPr>
                <w:sz w:val="15"/>
              </w:rPr>
              <w:t>Must be role-protected and fully audited.</w:t>
            </w:r>
          </w:p>
        </w:tc>
      </w:tr>
      <w:tr>
        <w:tc>
          <w:tcPr>
            <w:tcW w:type="dxa" w:w="2592"/>
            <w:tcMar>
              <w:top w:w="70" w:type="dxa"/>
              <w:start w:w="70" w:type="dxa"/>
              <w:bottom w:w="70" w:type="dxa"/>
              <w:end w:w="70" w:type="dxa"/>
            </w:tcMar>
            <w:vAlign w:val="top"/>
          </w:tcPr>
          <w:p>
            <w:pPr>
              <w:spacing w:after="20" w:line="252" w:lineRule="auto"/>
            </w:pPr>
            <w:r>
              <w:rPr>
                <w:sz w:val="15"/>
              </w:rPr>
              <w:t>Observability</w:t>
            </w:r>
          </w:p>
        </w:tc>
        <w:tc>
          <w:tcPr>
            <w:tcW w:type="dxa" w:w="4320"/>
            <w:tcMar>
              <w:top w:w="70" w:type="dxa"/>
              <w:start w:w="70" w:type="dxa"/>
              <w:bottom w:w="70" w:type="dxa"/>
              <w:end w:w="70" w:type="dxa"/>
            </w:tcMar>
            <w:vAlign w:val="top"/>
          </w:tcPr>
          <w:p>
            <w:pPr>
              <w:spacing w:after="20" w:line="252" w:lineRule="auto"/>
            </w:pPr>
            <w:r>
              <w:rPr>
                <w:sz w:val="15"/>
              </w:rPr>
              <w:t>Collects logs, metrics, alerts, and operational traces.</w:t>
            </w:r>
          </w:p>
        </w:tc>
        <w:tc>
          <w:tcPr>
            <w:tcW w:type="dxa" w:w="3888"/>
            <w:tcMar>
              <w:top w:w="70" w:type="dxa"/>
              <w:start w:w="70" w:type="dxa"/>
              <w:bottom w:w="70" w:type="dxa"/>
              <w:end w:w="70" w:type="dxa"/>
            </w:tcMar>
            <w:vAlign w:val="top"/>
          </w:tcPr>
          <w:p>
            <w:pPr>
              <w:spacing w:after="20" w:line="252" w:lineRule="auto"/>
            </w:pPr>
            <w:r>
              <w:rPr>
                <w:sz w:val="15"/>
              </w:rPr>
              <w:t>Must allow rapid incident diagnosis during match windows.</w:t>
            </w:r>
          </w:p>
        </w:tc>
      </w:tr>
    </w:tbl>
    <w:p>
      <w:pPr>
        <w:pStyle w:val="Heading2"/>
        <w:spacing w:before="240" w:after="100"/>
      </w:pPr>
      <w:r>
        <w:t>8.3 Candidate Implementation Patterns Without Technology Commitment</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tblHeader w:val="true"/>
        </w:trPr>
        <w:tc>
          <w:tcPr>
            <w:tcW w:type="dxa" w:w="2160"/>
            <w:shd w:fill="1F4E79"/>
            <w:tcMar>
              <w:top w:w="80" w:type="dxa"/>
              <w:start w:w="80" w:type="dxa"/>
              <w:bottom w:w="80" w:type="dxa"/>
              <w:end w:w="80" w:type="dxa"/>
            </w:tcMar>
            <w:vAlign w:val="center"/>
          </w:tcPr>
          <w:p>
            <w:pPr>
              <w:jc w:val="center"/>
            </w:pPr>
            <w:r>
              <w:rPr>
                <w:b/>
                <w:color w:val="FFFFFF"/>
                <w:sz w:val="15"/>
              </w:rPr>
              <w:t>Pattern</w:t>
            </w:r>
          </w:p>
        </w:tc>
        <w:tc>
          <w:tcPr>
            <w:tcW w:type="dxa" w:w="3168"/>
            <w:shd w:fill="1F4E79"/>
            <w:tcMar>
              <w:top w:w="80" w:type="dxa"/>
              <w:start w:w="80" w:type="dxa"/>
              <w:bottom w:w="80" w:type="dxa"/>
              <w:end w:w="80" w:type="dxa"/>
            </w:tcMar>
            <w:vAlign w:val="center"/>
          </w:tcPr>
          <w:p>
            <w:pPr>
              <w:jc w:val="center"/>
            </w:pPr>
            <w:r>
              <w:rPr>
                <w:b/>
                <w:color w:val="FFFFFF"/>
                <w:sz w:val="15"/>
              </w:rPr>
              <w:t>Strengths</w:t>
            </w:r>
          </w:p>
        </w:tc>
        <w:tc>
          <w:tcPr>
            <w:tcW w:type="dxa" w:w="3168"/>
            <w:shd w:fill="1F4E79"/>
            <w:tcMar>
              <w:top w:w="80" w:type="dxa"/>
              <w:start w:w="80" w:type="dxa"/>
              <w:bottom w:w="80" w:type="dxa"/>
              <w:end w:w="80" w:type="dxa"/>
            </w:tcMar>
            <w:vAlign w:val="center"/>
          </w:tcPr>
          <w:p>
            <w:pPr>
              <w:jc w:val="center"/>
            </w:pPr>
            <w:r>
              <w:rPr>
                <w:b/>
                <w:color w:val="FFFFFF"/>
                <w:sz w:val="15"/>
              </w:rPr>
              <w:t>Limitations</w:t>
            </w:r>
          </w:p>
        </w:tc>
        <w:tc>
          <w:tcPr>
            <w:tcW w:type="dxa" w:w="2304"/>
            <w:shd w:fill="1F4E79"/>
            <w:tcMar>
              <w:top w:w="80" w:type="dxa"/>
              <w:start w:w="80" w:type="dxa"/>
              <w:bottom w:w="80" w:type="dxa"/>
              <w:end w:w="80" w:type="dxa"/>
            </w:tcMar>
            <w:vAlign w:val="center"/>
          </w:tcPr>
          <w:p>
            <w:pPr>
              <w:jc w:val="center"/>
            </w:pPr>
            <w:r>
              <w:rPr>
                <w:b/>
                <w:color w:val="FFFFFF"/>
                <w:sz w:val="15"/>
              </w:rPr>
              <w:t>When to consider</w:t>
            </w:r>
          </w:p>
        </w:tc>
      </w:tr>
      <w:tr>
        <w:tc>
          <w:tcPr>
            <w:tcW w:type="dxa" w:w="2160"/>
            <w:tcMar>
              <w:top w:w="70" w:type="dxa"/>
              <w:start w:w="70" w:type="dxa"/>
              <w:bottom w:w="70" w:type="dxa"/>
              <w:end w:w="70" w:type="dxa"/>
            </w:tcMar>
            <w:vAlign w:val="top"/>
          </w:tcPr>
          <w:p>
            <w:pPr>
              <w:spacing w:after="20" w:line="252" w:lineRule="auto"/>
            </w:pPr>
            <w:r>
              <w:rPr>
                <w:sz w:val="15"/>
              </w:rPr>
              <w:t>Enterprise low-code internal app</w:t>
            </w:r>
          </w:p>
        </w:tc>
        <w:tc>
          <w:tcPr>
            <w:tcW w:type="dxa" w:w="3168"/>
            <w:tcMar>
              <w:top w:w="70" w:type="dxa"/>
              <w:start w:w="70" w:type="dxa"/>
              <w:bottom w:w="70" w:type="dxa"/>
              <w:end w:w="70" w:type="dxa"/>
            </w:tcMar>
            <w:vAlign w:val="top"/>
          </w:tcPr>
          <w:p>
            <w:pPr>
              <w:spacing w:after="20" w:line="252" w:lineRule="auto"/>
            </w:pPr>
            <w:r>
              <w:rPr>
                <w:sz w:val="15"/>
              </w:rPr>
              <w:t>Fast delivery, easier internal administration, strong fit if corporate identity and data governance are already available.</w:t>
            </w:r>
          </w:p>
        </w:tc>
        <w:tc>
          <w:tcPr>
            <w:tcW w:type="dxa" w:w="3168"/>
            <w:tcMar>
              <w:top w:w="70" w:type="dxa"/>
              <w:start w:w="70" w:type="dxa"/>
              <w:bottom w:w="70" w:type="dxa"/>
              <w:end w:w="70" w:type="dxa"/>
            </w:tcMar>
            <w:vAlign w:val="top"/>
          </w:tcPr>
          <w:p>
            <w:pPr>
              <w:spacing w:after="20" w:line="252" w:lineRule="auto"/>
            </w:pPr>
            <w:r>
              <w:rPr>
                <w:sz w:val="15"/>
              </w:rPr>
              <w:t>Can become constrained by complex rules, performance needs, advanced UI, or licensing limits.</w:t>
            </w:r>
          </w:p>
        </w:tc>
        <w:tc>
          <w:tcPr>
            <w:tcW w:type="dxa" w:w="2304"/>
            <w:tcMar>
              <w:top w:w="70" w:type="dxa"/>
              <w:start w:w="70" w:type="dxa"/>
              <w:bottom w:w="70" w:type="dxa"/>
              <w:end w:w="70" w:type="dxa"/>
            </w:tcMar>
            <w:vAlign w:val="top"/>
          </w:tcPr>
          <w:p>
            <w:pPr>
              <w:spacing w:after="20" w:line="252" w:lineRule="auto"/>
            </w:pPr>
            <w:r>
              <w:rPr>
                <w:sz w:val="15"/>
              </w:rPr>
              <w:t>Good for MVP if user volume and customization needs are moderate.</w:t>
            </w:r>
          </w:p>
        </w:tc>
      </w:tr>
      <w:tr>
        <w:tc>
          <w:tcPr>
            <w:tcW w:type="dxa" w:w="2160"/>
            <w:tcMar>
              <w:top w:w="70" w:type="dxa"/>
              <w:start w:w="70" w:type="dxa"/>
              <w:bottom w:w="70" w:type="dxa"/>
              <w:end w:w="70" w:type="dxa"/>
            </w:tcMar>
            <w:vAlign w:val="top"/>
          </w:tcPr>
          <w:p>
            <w:pPr>
              <w:spacing w:after="20" w:line="252" w:lineRule="auto"/>
            </w:pPr>
            <w:r>
              <w:rPr>
                <w:sz w:val="15"/>
              </w:rPr>
              <w:t>Custom web application</w:t>
            </w:r>
          </w:p>
        </w:tc>
        <w:tc>
          <w:tcPr>
            <w:tcW w:type="dxa" w:w="3168"/>
            <w:tcMar>
              <w:top w:w="70" w:type="dxa"/>
              <w:start w:w="70" w:type="dxa"/>
              <w:bottom w:w="70" w:type="dxa"/>
              <w:end w:w="70" w:type="dxa"/>
            </w:tcMar>
            <w:vAlign w:val="top"/>
          </w:tcPr>
          <w:p>
            <w:pPr>
              <w:spacing w:after="20" w:line="252" w:lineRule="auto"/>
            </w:pPr>
            <w:r>
              <w:rPr>
                <w:sz w:val="15"/>
              </w:rPr>
              <w:t>Maximum flexibility, strong control over UX, performance, testing, integration abstraction, and future extensibility.</w:t>
            </w:r>
          </w:p>
        </w:tc>
        <w:tc>
          <w:tcPr>
            <w:tcW w:type="dxa" w:w="3168"/>
            <w:tcMar>
              <w:top w:w="70" w:type="dxa"/>
              <w:start w:w="70" w:type="dxa"/>
              <w:bottom w:w="70" w:type="dxa"/>
              <w:end w:w="70" w:type="dxa"/>
            </w:tcMar>
            <w:vAlign w:val="top"/>
          </w:tcPr>
          <w:p>
            <w:pPr>
              <w:spacing w:after="20" w:line="252" w:lineRule="auto"/>
            </w:pPr>
            <w:r>
              <w:rPr>
                <w:sz w:val="15"/>
              </w:rPr>
              <w:t>Requires more engineering capacity, hosting decisions, CI/CD, and production support maturity.</w:t>
            </w:r>
          </w:p>
        </w:tc>
        <w:tc>
          <w:tcPr>
            <w:tcW w:type="dxa" w:w="2304"/>
            <w:tcMar>
              <w:top w:w="70" w:type="dxa"/>
              <w:start w:w="70" w:type="dxa"/>
              <w:bottom w:w="70" w:type="dxa"/>
              <w:end w:w="70" w:type="dxa"/>
            </w:tcMar>
            <w:vAlign w:val="top"/>
          </w:tcPr>
          <w:p>
            <w:pPr>
              <w:spacing w:after="20" w:line="252" w:lineRule="auto"/>
            </w:pPr>
            <w:r>
              <w:rPr>
                <w:sz w:val="15"/>
              </w:rPr>
              <w:t>Good for long-term product quality or high engagement expectations.</w:t>
            </w:r>
          </w:p>
        </w:tc>
      </w:tr>
      <w:tr>
        <w:tc>
          <w:tcPr>
            <w:tcW w:type="dxa" w:w="2160"/>
            <w:tcMar>
              <w:top w:w="70" w:type="dxa"/>
              <w:start w:w="70" w:type="dxa"/>
              <w:bottom w:w="70" w:type="dxa"/>
              <w:end w:w="70" w:type="dxa"/>
            </w:tcMar>
            <w:vAlign w:val="top"/>
          </w:tcPr>
          <w:p>
            <w:pPr>
              <w:spacing w:after="20" w:line="252" w:lineRule="auto"/>
            </w:pPr>
            <w:r>
              <w:rPr>
                <w:sz w:val="15"/>
              </w:rPr>
              <w:t>Hybrid model</w:t>
            </w:r>
          </w:p>
        </w:tc>
        <w:tc>
          <w:tcPr>
            <w:tcW w:type="dxa" w:w="3168"/>
            <w:tcMar>
              <w:top w:w="70" w:type="dxa"/>
              <w:start w:w="70" w:type="dxa"/>
              <w:bottom w:w="70" w:type="dxa"/>
              <w:end w:w="70" w:type="dxa"/>
            </w:tcMar>
            <w:vAlign w:val="top"/>
          </w:tcPr>
          <w:p>
            <w:pPr>
              <w:spacing w:after="20" w:line="252" w:lineRule="auto"/>
            </w:pPr>
            <w:r>
              <w:rPr>
                <w:sz w:val="15"/>
              </w:rPr>
              <w:t>Combines rapid administrative/configuration surfaces with custom user-facing or scoring components.</w:t>
            </w:r>
          </w:p>
        </w:tc>
        <w:tc>
          <w:tcPr>
            <w:tcW w:type="dxa" w:w="3168"/>
            <w:tcMar>
              <w:top w:w="70" w:type="dxa"/>
              <w:start w:w="70" w:type="dxa"/>
              <w:bottom w:w="70" w:type="dxa"/>
              <w:end w:w="70" w:type="dxa"/>
            </w:tcMar>
            <w:vAlign w:val="top"/>
          </w:tcPr>
          <w:p>
            <w:pPr>
              <w:spacing w:after="20" w:line="252" w:lineRule="auto"/>
            </w:pPr>
            <w:r>
              <w:rPr>
                <w:sz w:val="15"/>
              </w:rPr>
              <w:t>Requires careful integration boundaries and ownership clarity.</w:t>
            </w:r>
          </w:p>
        </w:tc>
        <w:tc>
          <w:tcPr>
            <w:tcW w:type="dxa" w:w="2304"/>
            <w:tcMar>
              <w:top w:w="70" w:type="dxa"/>
              <w:start w:w="70" w:type="dxa"/>
              <w:bottom w:w="70" w:type="dxa"/>
              <w:end w:w="70" w:type="dxa"/>
            </w:tcMar>
            <w:vAlign w:val="top"/>
          </w:tcPr>
          <w:p>
            <w:pPr>
              <w:spacing w:after="20" w:line="252" w:lineRule="auto"/>
            </w:pPr>
            <w:r>
              <w:rPr>
                <w:sz w:val="15"/>
              </w:rPr>
              <w:t>Good when speed and robust custom logic are both important.</w:t>
            </w:r>
          </w:p>
        </w:tc>
      </w:tr>
      <w:tr>
        <w:tc>
          <w:tcPr>
            <w:tcW w:type="dxa" w:w="2160"/>
            <w:tcMar>
              <w:top w:w="70" w:type="dxa"/>
              <w:start w:w="70" w:type="dxa"/>
              <w:bottom w:w="70" w:type="dxa"/>
              <w:end w:w="70" w:type="dxa"/>
            </w:tcMar>
            <w:vAlign w:val="top"/>
          </w:tcPr>
          <w:p>
            <w:pPr>
              <w:spacing w:after="20" w:line="252" w:lineRule="auto"/>
            </w:pPr>
            <w:r>
              <w:rPr>
                <w:sz w:val="15"/>
              </w:rPr>
              <w:t>Managed third-party pool platform</w:t>
            </w:r>
          </w:p>
        </w:tc>
        <w:tc>
          <w:tcPr>
            <w:tcW w:type="dxa" w:w="3168"/>
            <w:tcMar>
              <w:top w:w="70" w:type="dxa"/>
              <w:start w:w="70" w:type="dxa"/>
              <w:bottom w:w="70" w:type="dxa"/>
              <w:end w:w="70" w:type="dxa"/>
            </w:tcMar>
            <w:vAlign w:val="top"/>
          </w:tcPr>
          <w:p>
            <w:pPr>
              <w:spacing w:after="20" w:line="252" w:lineRule="auto"/>
            </w:pPr>
            <w:r>
              <w:rPr>
                <w:sz w:val="15"/>
              </w:rPr>
              <w:t>Potentially fastest launch if it supports corporate SSO, custom scoring, and private access.</w:t>
            </w:r>
          </w:p>
        </w:tc>
        <w:tc>
          <w:tcPr>
            <w:tcW w:type="dxa" w:w="3168"/>
            <w:tcMar>
              <w:top w:w="70" w:type="dxa"/>
              <w:start w:w="70" w:type="dxa"/>
              <w:bottom w:w="70" w:type="dxa"/>
              <w:end w:w="70" w:type="dxa"/>
            </w:tcMar>
            <w:vAlign w:val="top"/>
          </w:tcPr>
          <w:p>
            <w:pPr>
              <w:spacing w:after="20" w:line="252" w:lineRule="auto"/>
            </w:pPr>
            <w:r>
              <w:rPr>
                <w:sz w:val="15"/>
              </w:rPr>
              <w:t>May not satisfy domain restrictions, custom rules, audit, data privacy, or branding needs.</w:t>
            </w:r>
          </w:p>
        </w:tc>
        <w:tc>
          <w:tcPr>
            <w:tcW w:type="dxa" w:w="2304"/>
            <w:tcMar>
              <w:top w:w="70" w:type="dxa"/>
              <w:start w:w="70" w:type="dxa"/>
              <w:bottom w:w="70" w:type="dxa"/>
              <w:end w:w="70" w:type="dxa"/>
            </w:tcMar>
            <w:vAlign w:val="top"/>
          </w:tcPr>
          <w:p>
            <w:pPr>
              <w:spacing w:after="20" w:line="252" w:lineRule="auto"/>
            </w:pPr>
            <w:r>
              <w:rPr>
                <w:sz w:val="15"/>
              </w:rPr>
              <w:t>Useful only if governance accepts the data/privacy model.</w:t>
            </w:r>
          </w:p>
        </w:tc>
      </w:tr>
    </w:tbl>
    <w:tbl>
      <w:tblPr>
        <w:tblW w:type="auto" w:w="0"/>
        <w:jc w:val="center"/>
        <w:tblLook w:firstColumn="1" w:firstRow="1" w:lastColumn="0" w:lastRow="0" w:noHBand="0" w:noVBand="1" w:val="04A0"/>
        <w:tblBorders>
          <w:top w:val="single" w:sz="10" w:space="0" w:color="5B9BD5"/>
          <w:left w:val="single" w:sz="10" w:space="0" w:color="5B9BD5"/>
          <w:bottom w:val="single" w:sz="10" w:space="0" w:color="5B9BD5"/>
          <w:right w:val="single" w:sz="10" w:space="0" w:color="5B9BD5"/>
          <w:insideH w:val="single" w:sz="10" w:space="0" w:color="5B9BD5"/>
          <w:insideV w:val="single" w:sz="10" w:space="0" w:color="5B9BD5"/>
        </w:tblBorders>
      </w:tblPr>
      <w:tblGrid>
        <w:gridCol w:w="10368"/>
      </w:tblGrid>
      <w:tr>
        <w:tc>
          <w:tcPr>
            <w:tcW w:type="dxa" w:w="10368"/>
            <w:shd w:fill="EAF2F8"/>
            <w:tcMar>
              <w:top w:w="120" w:type="dxa"/>
              <w:start w:w="120" w:type="dxa"/>
              <w:bottom w:w="120" w:type="dxa"/>
              <w:end w:w="120" w:type="dxa"/>
            </w:tcMar>
          </w:tcPr>
          <w:p>
            <w:pPr>
              <w:spacing w:after="60"/>
            </w:pPr>
            <w:r>
              <w:rPr>
                <w:b/>
                <w:color w:val="1F4E79"/>
                <w:sz w:val="19"/>
              </w:rPr>
              <w:t>Decision guidance</w:t>
            </w:r>
          </w:p>
          <w:p>
            <w:pPr>
              <w:spacing w:after="0"/>
            </w:pPr>
            <w:r>
              <w:rPr>
                <w:sz w:val="17"/>
              </w:rPr>
              <w:t>The implementation approach should be selected through an architecture decision record that compares delivery speed, security, licensing, maintainability, user experience, integration flexibility, operational ownership, and tournament risk. The business rules in this document should remain stable regardless of the selected technology.</w:t>
            </w:r>
          </w:p>
        </w:tc>
      </w:tr>
    </w:tbl>
    <w:p/>
    <w:p>
      <w:pPr>
        <w:pStyle w:val="Heading1"/>
        <w:spacing w:before="240" w:after="100"/>
      </w:pPr>
      <w:r>
        <w:t>9. Data Architecture</w:t>
      </w:r>
    </w:p>
    <w:p>
      <w:pPr>
        <w:keepLines w:val="0"/>
        <w:spacing w:after="120"/>
      </w:pPr>
      <w:r>
        <w:rPr>
          <w:b w:val="0"/>
          <w:i w:val="0"/>
        </w:rPr>
        <w:t>The data architecture should separate participant data, tournament reference data, predictions, scoring outputs, audit records, and integration telemetry. This separation improves security, maintainability, reporting, and recalculation.</w:t>
      </w:r>
    </w:p>
    <w:p>
      <w:pPr>
        <w:pStyle w:val="Heading2"/>
        <w:spacing w:before="240" w:after="100"/>
      </w:pPr>
      <w:r>
        <w:t>9.1 Logical Data Entities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tblHeader w:val="true"/>
        </w:trPr>
        <w:tc>
          <w:tcPr>
            <w:tcW w:type="dxa" w:w="1728"/>
            <w:shd w:fill="1F4E79"/>
            <w:tcMar>
              <w:top w:w="80" w:type="dxa"/>
              <w:start w:w="80" w:type="dxa"/>
              <w:bottom w:w="80" w:type="dxa"/>
              <w:end w:w="80" w:type="dxa"/>
            </w:tcMar>
            <w:vAlign w:val="center"/>
          </w:tcPr>
          <w:p>
            <w:pPr>
              <w:jc w:val="center"/>
            </w:pPr>
            <w:r>
              <w:rPr>
                <w:b/>
                <w:color w:val="FFFFFF"/>
                <w:sz w:val="14"/>
              </w:rPr>
              <w:t>Entity</w:t>
            </w:r>
          </w:p>
        </w:tc>
        <w:tc>
          <w:tcPr>
            <w:tcW w:type="dxa" w:w="3168"/>
            <w:shd w:fill="1F4E79"/>
            <w:tcMar>
              <w:top w:w="80" w:type="dxa"/>
              <w:start w:w="80" w:type="dxa"/>
              <w:bottom w:w="80" w:type="dxa"/>
              <w:end w:w="80" w:type="dxa"/>
            </w:tcMar>
            <w:vAlign w:val="center"/>
          </w:tcPr>
          <w:p>
            <w:pPr>
              <w:jc w:val="center"/>
            </w:pPr>
            <w:r>
              <w:rPr>
                <w:b/>
                <w:color w:val="FFFFFF"/>
                <w:sz w:val="14"/>
              </w:rPr>
              <w:t>Purpose</w:t>
            </w:r>
          </w:p>
        </w:tc>
        <w:tc>
          <w:tcPr>
            <w:tcW w:type="dxa" w:w="3744"/>
            <w:shd w:fill="1F4E79"/>
            <w:tcMar>
              <w:top w:w="80" w:type="dxa"/>
              <w:start w:w="80" w:type="dxa"/>
              <w:bottom w:w="80" w:type="dxa"/>
              <w:end w:w="80" w:type="dxa"/>
            </w:tcMar>
            <w:vAlign w:val="center"/>
          </w:tcPr>
          <w:p>
            <w:pPr>
              <w:jc w:val="center"/>
            </w:pPr>
            <w:r>
              <w:rPr>
                <w:b/>
                <w:color w:val="FFFFFF"/>
                <w:sz w:val="14"/>
              </w:rPr>
              <w:t>Representative attributes</w:t>
            </w:r>
          </w:p>
        </w:tc>
        <w:tc>
          <w:tcPr>
            <w:tcW w:type="dxa" w:w="2448"/>
            <w:shd w:fill="1F4E79"/>
            <w:tcMar>
              <w:top w:w="80" w:type="dxa"/>
              <w:start w:w="80" w:type="dxa"/>
              <w:bottom w:w="80" w:type="dxa"/>
              <w:end w:w="80" w:type="dxa"/>
            </w:tcMar>
            <w:vAlign w:val="center"/>
          </w:tcPr>
          <w:p>
            <w:pPr>
              <w:jc w:val="center"/>
            </w:pPr>
            <w:r>
              <w:rPr>
                <w:b/>
                <w:color w:val="FFFFFF"/>
                <w:sz w:val="14"/>
              </w:rPr>
              <w:t>Notes</w:t>
            </w:r>
          </w:p>
        </w:tc>
      </w:tr>
      <w:tr>
        <w:tc>
          <w:tcPr>
            <w:tcW w:type="dxa" w:w="1728"/>
            <w:tcMar>
              <w:top w:w="70" w:type="dxa"/>
              <w:start w:w="70" w:type="dxa"/>
              <w:bottom w:w="70" w:type="dxa"/>
              <w:end w:w="70" w:type="dxa"/>
            </w:tcMar>
            <w:vAlign w:val="top"/>
          </w:tcPr>
          <w:p>
            <w:pPr>
              <w:spacing w:after="20" w:line="252" w:lineRule="auto"/>
            </w:pPr>
            <w:r>
              <w:rPr>
                <w:sz w:val="14"/>
              </w:rPr>
              <w:t>Participant</w:t>
            </w:r>
          </w:p>
        </w:tc>
        <w:tc>
          <w:tcPr>
            <w:tcW w:type="dxa" w:w="3168"/>
            <w:tcMar>
              <w:top w:w="70" w:type="dxa"/>
              <w:start w:w="70" w:type="dxa"/>
              <w:bottom w:w="70" w:type="dxa"/>
              <w:end w:w="70" w:type="dxa"/>
            </w:tcMar>
            <w:vAlign w:val="top"/>
          </w:tcPr>
          <w:p>
            <w:pPr>
              <w:spacing w:after="20" w:line="252" w:lineRule="auto"/>
            </w:pPr>
            <w:r>
              <w:rPr>
                <w:sz w:val="14"/>
              </w:rPr>
              <w:t>Represents an eligible Nortal collaborator participating in the pool.</w:t>
            </w:r>
          </w:p>
        </w:tc>
        <w:tc>
          <w:tcPr>
            <w:tcW w:type="dxa" w:w="3744"/>
            <w:tcMar>
              <w:top w:w="70" w:type="dxa"/>
              <w:start w:w="70" w:type="dxa"/>
              <w:bottom w:w="70" w:type="dxa"/>
              <w:end w:w="70" w:type="dxa"/>
            </w:tcMar>
            <w:vAlign w:val="top"/>
          </w:tcPr>
          <w:p>
            <w:pPr>
              <w:spacing w:after="20" w:line="252" w:lineRule="auto"/>
            </w:pPr>
            <w:r>
              <w:rPr>
                <w:sz w:val="14"/>
              </w:rPr>
              <w:t>ParticipantId, corporateEmail, displayName, domain, status, createdAt, lastLoginAt</w:t>
            </w:r>
          </w:p>
        </w:tc>
        <w:tc>
          <w:tcPr>
            <w:tcW w:type="dxa" w:w="2448"/>
            <w:tcMar>
              <w:top w:w="70" w:type="dxa"/>
              <w:start w:w="70" w:type="dxa"/>
              <w:bottom w:w="70" w:type="dxa"/>
              <w:end w:w="70" w:type="dxa"/>
            </w:tcMar>
            <w:vAlign w:val="top"/>
          </w:tcPr>
          <w:p>
            <w:pPr>
              <w:spacing w:after="20" w:line="252" w:lineRule="auto"/>
            </w:pPr>
            <w:r>
              <w:rPr>
                <w:sz w:val="14"/>
              </w:rPr>
              <w:t>Corporate email should be unique after normalization.</w:t>
            </w:r>
          </w:p>
        </w:tc>
      </w:tr>
      <w:tr>
        <w:tc>
          <w:tcPr>
            <w:tcW w:type="dxa" w:w="1728"/>
            <w:tcMar>
              <w:top w:w="70" w:type="dxa"/>
              <w:start w:w="70" w:type="dxa"/>
              <w:bottom w:w="70" w:type="dxa"/>
              <w:end w:w="70" w:type="dxa"/>
            </w:tcMar>
            <w:vAlign w:val="top"/>
          </w:tcPr>
          <w:p>
            <w:pPr>
              <w:spacing w:after="20" w:line="252" w:lineRule="auto"/>
            </w:pPr>
            <w:r>
              <w:rPr>
                <w:sz w:val="14"/>
              </w:rPr>
              <w:t>Tournament</w:t>
            </w:r>
          </w:p>
        </w:tc>
        <w:tc>
          <w:tcPr>
            <w:tcW w:type="dxa" w:w="3168"/>
            <w:tcMar>
              <w:top w:w="70" w:type="dxa"/>
              <w:start w:w="70" w:type="dxa"/>
              <w:bottom w:w="70" w:type="dxa"/>
              <w:end w:w="70" w:type="dxa"/>
            </w:tcMar>
            <w:vAlign w:val="top"/>
          </w:tcPr>
          <w:p>
            <w:pPr>
              <w:spacing w:after="20" w:line="252" w:lineRule="auto"/>
            </w:pPr>
            <w:r>
              <w:rPr>
                <w:sz w:val="14"/>
              </w:rPr>
              <w:t>Represents the World Cup 2026 event and configuration.</w:t>
            </w:r>
          </w:p>
        </w:tc>
        <w:tc>
          <w:tcPr>
            <w:tcW w:type="dxa" w:w="3744"/>
            <w:tcMar>
              <w:top w:w="70" w:type="dxa"/>
              <w:start w:w="70" w:type="dxa"/>
              <w:bottom w:w="70" w:type="dxa"/>
              <w:end w:w="70" w:type="dxa"/>
            </w:tcMar>
            <w:vAlign w:val="top"/>
          </w:tcPr>
          <w:p>
            <w:pPr>
              <w:spacing w:after="20" w:line="252" w:lineRule="auto"/>
            </w:pPr>
            <w:r>
              <w:rPr>
                <w:sz w:val="14"/>
              </w:rPr>
              <w:t>TournamentId, name, startDateUtc, finalDateUtc, activePhase, lockWindowMinutes</w:t>
            </w:r>
          </w:p>
        </w:tc>
        <w:tc>
          <w:tcPr>
            <w:tcW w:type="dxa" w:w="2448"/>
            <w:tcMar>
              <w:top w:w="70" w:type="dxa"/>
              <w:start w:w="70" w:type="dxa"/>
              <w:bottom w:w="70" w:type="dxa"/>
              <w:end w:w="70" w:type="dxa"/>
            </w:tcMar>
            <w:vAlign w:val="top"/>
          </w:tcPr>
          <w:p>
            <w:pPr>
              <w:spacing w:after="20" w:line="252" w:lineRule="auto"/>
            </w:pPr>
            <w:r>
              <w:rPr>
                <w:sz w:val="14"/>
              </w:rPr>
              <w:t>Allows future reuse for other tournaments.</w:t>
            </w:r>
          </w:p>
        </w:tc>
      </w:tr>
      <w:tr>
        <w:tc>
          <w:tcPr>
            <w:tcW w:type="dxa" w:w="1728"/>
            <w:tcMar>
              <w:top w:w="70" w:type="dxa"/>
              <w:start w:w="70" w:type="dxa"/>
              <w:bottom w:w="70" w:type="dxa"/>
              <w:end w:w="70" w:type="dxa"/>
            </w:tcMar>
            <w:vAlign w:val="top"/>
          </w:tcPr>
          <w:p>
            <w:pPr>
              <w:spacing w:after="20" w:line="252" w:lineRule="auto"/>
            </w:pPr>
            <w:r>
              <w:rPr>
                <w:sz w:val="14"/>
              </w:rPr>
              <w:t>Team</w:t>
            </w:r>
          </w:p>
        </w:tc>
        <w:tc>
          <w:tcPr>
            <w:tcW w:type="dxa" w:w="3168"/>
            <w:tcMar>
              <w:top w:w="70" w:type="dxa"/>
              <w:start w:w="70" w:type="dxa"/>
              <w:bottom w:w="70" w:type="dxa"/>
              <w:end w:w="70" w:type="dxa"/>
            </w:tcMar>
            <w:vAlign w:val="top"/>
          </w:tcPr>
          <w:p>
            <w:pPr>
              <w:spacing w:after="20" w:line="252" w:lineRule="auto"/>
            </w:pPr>
            <w:r>
              <w:rPr>
                <w:sz w:val="14"/>
              </w:rPr>
              <w:t>Represents a national team.</w:t>
            </w:r>
          </w:p>
        </w:tc>
        <w:tc>
          <w:tcPr>
            <w:tcW w:type="dxa" w:w="3744"/>
            <w:tcMar>
              <w:top w:w="70" w:type="dxa"/>
              <w:start w:w="70" w:type="dxa"/>
              <w:bottom w:w="70" w:type="dxa"/>
              <w:end w:w="70" w:type="dxa"/>
            </w:tcMar>
            <w:vAlign w:val="top"/>
          </w:tcPr>
          <w:p>
            <w:pPr>
              <w:spacing w:after="20" w:line="252" w:lineRule="auto"/>
            </w:pPr>
            <w:r>
              <w:rPr>
                <w:sz w:val="14"/>
              </w:rPr>
              <w:t>TeamId, providerTeamId, name, shortName, countryCode, group</w:t>
            </w:r>
          </w:p>
        </w:tc>
        <w:tc>
          <w:tcPr>
            <w:tcW w:type="dxa" w:w="2448"/>
            <w:tcMar>
              <w:top w:w="70" w:type="dxa"/>
              <w:start w:w="70" w:type="dxa"/>
              <w:bottom w:w="70" w:type="dxa"/>
              <w:end w:w="70" w:type="dxa"/>
            </w:tcMar>
            <w:vAlign w:val="top"/>
          </w:tcPr>
          <w:p>
            <w:pPr>
              <w:spacing w:after="20" w:line="252" w:lineRule="auto"/>
            </w:pPr>
            <w:r>
              <w:rPr>
                <w:sz w:val="14"/>
              </w:rPr>
              <w:t>Provider IDs should not be the only internal keys.</w:t>
            </w:r>
          </w:p>
        </w:tc>
      </w:tr>
      <w:tr>
        <w:tc>
          <w:tcPr>
            <w:tcW w:type="dxa" w:w="1728"/>
            <w:tcMar>
              <w:top w:w="70" w:type="dxa"/>
              <w:start w:w="70" w:type="dxa"/>
              <w:bottom w:w="70" w:type="dxa"/>
              <w:end w:w="70" w:type="dxa"/>
            </w:tcMar>
            <w:vAlign w:val="top"/>
          </w:tcPr>
          <w:p>
            <w:pPr>
              <w:spacing w:after="20" w:line="252" w:lineRule="auto"/>
            </w:pPr>
            <w:r>
              <w:rPr>
                <w:sz w:val="14"/>
              </w:rPr>
              <w:t>Player</w:t>
            </w:r>
          </w:p>
        </w:tc>
        <w:tc>
          <w:tcPr>
            <w:tcW w:type="dxa" w:w="3168"/>
            <w:tcMar>
              <w:top w:w="70" w:type="dxa"/>
              <w:start w:w="70" w:type="dxa"/>
              <w:bottom w:w="70" w:type="dxa"/>
              <w:end w:w="70" w:type="dxa"/>
            </w:tcMar>
            <w:vAlign w:val="top"/>
          </w:tcPr>
          <w:p>
            <w:pPr>
              <w:spacing w:after="20" w:line="252" w:lineRule="auto"/>
            </w:pPr>
            <w:r>
              <w:rPr>
                <w:sz w:val="14"/>
              </w:rPr>
              <w:t>Represents a player eligible for top scorer or best player predictions.</w:t>
            </w:r>
          </w:p>
        </w:tc>
        <w:tc>
          <w:tcPr>
            <w:tcW w:type="dxa" w:w="3744"/>
            <w:tcMar>
              <w:top w:w="70" w:type="dxa"/>
              <w:start w:w="70" w:type="dxa"/>
              <w:bottom w:w="70" w:type="dxa"/>
              <w:end w:w="70" w:type="dxa"/>
            </w:tcMar>
            <w:vAlign w:val="top"/>
          </w:tcPr>
          <w:p>
            <w:pPr>
              <w:spacing w:after="20" w:line="252" w:lineRule="auto"/>
            </w:pPr>
            <w:r>
              <w:rPr>
                <w:sz w:val="14"/>
              </w:rPr>
              <w:t>PlayerId, providerPlayerId, fullName, teamId, aliases</w:t>
            </w:r>
          </w:p>
        </w:tc>
        <w:tc>
          <w:tcPr>
            <w:tcW w:type="dxa" w:w="2448"/>
            <w:tcMar>
              <w:top w:w="70" w:type="dxa"/>
              <w:start w:w="70" w:type="dxa"/>
              <w:bottom w:w="70" w:type="dxa"/>
              <w:end w:w="70" w:type="dxa"/>
            </w:tcMar>
            <w:vAlign w:val="top"/>
          </w:tcPr>
          <w:p>
            <w:pPr>
              <w:spacing w:after="20" w:line="252" w:lineRule="auto"/>
            </w:pPr>
            <w:r>
              <w:rPr>
                <w:sz w:val="14"/>
              </w:rPr>
              <w:t>Alias handling is important for manual entries.</w:t>
            </w:r>
          </w:p>
        </w:tc>
      </w:tr>
      <w:tr>
        <w:tc>
          <w:tcPr>
            <w:tcW w:type="dxa" w:w="1728"/>
            <w:tcMar>
              <w:top w:w="70" w:type="dxa"/>
              <w:start w:w="70" w:type="dxa"/>
              <w:bottom w:w="70" w:type="dxa"/>
              <w:end w:w="70" w:type="dxa"/>
            </w:tcMar>
            <w:vAlign w:val="top"/>
          </w:tcPr>
          <w:p>
            <w:pPr>
              <w:spacing w:after="20" w:line="252" w:lineRule="auto"/>
            </w:pPr>
            <w:r>
              <w:rPr>
                <w:sz w:val="14"/>
              </w:rPr>
              <w:t>Match</w:t>
            </w:r>
          </w:p>
        </w:tc>
        <w:tc>
          <w:tcPr>
            <w:tcW w:type="dxa" w:w="3168"/>
            <w:tcMar>
              <w:top w:w="70" w:type="dxa"/>
              <w:start w:w="70" w:type="dxa"/>
              <w:bottom w:w="70" w:type="dxa"/>
              <w:end w:w="70" w:type="dxa"/>
            </w:tcMar>
            <w:vAlign w:val="top"/>
          </w:tcPr>
          <w:p>
            <w:pPr>
              <w:spacing w:after="20" w:line="252" w:lineRule="auto"/>
            </w:pPr>
            <w:r>
              <w:rPr>
                <w:sz w:val="14"/>
              </w:rPr>
              <w:t>Represents a scheduled football match.</w:t>
            </w:r>
          </w:p>
        </w:tc>
        <w:tc>
          <w:tcPr>
            <w:tcW w:type="dxa" w:w="3744"/>
            <w:tcMar>
              <w:top w:w="70" w:type="dxa"/>
              <w:start w:w="70" w:type="dxa"/>
              <w:bottom w:w="70" w:type="dxa"/>
              <w:end w:w="70" w:type="dxa"/>
            </w:tcMar>
            <w:vAlign w:val="top"/>
          </w:tcPr>
          <w:p>
            <w:pPr>
              <w:spacing w:after="20" w:line="252" w:lineRule="auto"/>
            </w:pPr>
            <w:r>
              <w:rPr>
                <w:sz w:val="14"/>
              </w:rPr>
              <w:t>MatchId, providerMatchId, teams, stage, group, kickoffUtc, status, venue</w:t>
            </w:r>
          </w:p>
        </w:tc>
        <w:tc>
          <w:tcPr>
            <w:tcW w:type="dxa" w:w="2448"/>
            <w:tcMar>
              <w:top w:w="70" w:type="dxa"/>
              <w:start w:w="70" w:type="dxa"/>
              <w:bottom w:w="70" w:type="dxa"/>
              <w:end w:w="70" w:type="dxa"/>
            </w:tcMar>
            <w:vAlign w:val="top"/>
          </w:tcPr>
          <w:p>
            <w:pPr>
              <w:spacing w:after="20" w:line="252" w:lineRule="auto"/>
            </w:pPr>
            <w:r>
              <w:rPr>
                <w:sz w:val="14"/>
              </w:rPr>
              <w:t>Kickoff time changes must be versioned or audited.</w:t>
            </w:r>
          </w:p>
        </w:tc>
      </w:tr>
      <w:tr>
        <w:tc>
          <w:tcPr>
            <w:tcW w:type="dxa" w:w="1728"/>
            <w:tcMar>
              <w:top w:w="70" w:type="dxa"/>
              <w:start w:w="70" w:type="dxa"/>
              <w:bottom w:w="70" w:type="dxa"/>
              <w:end w:w="70" w:type="dxa"/>
            </w:tcMar>
            <w:vAlign w:val="top"/>
          </w:tcPr>
          <w:p>
            <w:pPr>
              <w:spacing w:after="20" w:line="252" w:lineRule="auto"/>
            </w:pPr>
            <w:r>
              <w:rPr>
                <w:sz w:val="14"/>
              </w:rPr>
              <w:t>MatchResult</w:t>
            </w:r>
          </w:p>
        </w:tc>
        <w:tc>
          <w:tcPr>
            <w:tcW w:type="dxa" w:w="3168"/>
            <w:tcMar>
              <w:top w:w="70" w:type="dxa"/>
              <w:start w:w="70" w:type="dxa"/>
              <w:bottom w:w="70" w:type="dxa"/>
              <w:end w:w="70" w:type="dxa"/>
            </w:tcMar>
            <w:vAlign w:val="top"/>
          </w:tcPr>
          <w:p>
            <w:pPr>
              <w:spacing w:after="20" w:line="252" w:lineRule="auto"/>
            </w:pPr>
            <w:r>
              <w:rPr>
                <w:sz w:val="14"/>
              </w:rPr>
              <w:t>Represents official match result values used for scoring.</w:t>
            </w:r>
          </w:p>
        </w:tc>
        <w:tc>
          <w:tcPr>
            <w:tcW w:type="dxa" w:w="3744"/>
            <w:tcMar>
              <w:top w:w="70" w:type="dxa"/>
              <w:start w:w="70" w:type="dxa"/>
              <w:bottom w:w="70" w:type="dxa"/>
              <w:end w:w="70" w:type="dxa"/>
            </w:tcMar>
            <w:vAlign w:val="top"/>
          </w:tcPr>
          <w:p>
            <w:pPr>
              <w:spacing w:after="20" w:line="252" w:lineRule="auto"/>
            </w:pPr>
            <w:r>
              <w:rPr>
                <w:sz w:val="14"/>
              </w:rPr>
              <w:t>MatchResultId, matchId, homeScore, awayScore, resultStatus, source, approvedAt</w:t>
            </w:r>
          </w:p>
        </w:tc>
        <w:tc>
          <w:tcPr>
            <w:tcW w:type="dxa" w:w="2448"/>
            <w:tcMar>
              <w:top w:w="70" w:type="dxa"/>
              <w:start w:w="70" w:type="dxa"/>
              <w:bottom w:w="70" w:type="dxa"/>
              <w:end w:w="70" w:type="dxa"/>
            </w:tcMar>
            <w:vAlign w:val="top"/>
          </w:tcPr>
          <w:p>
            <w:pPr>
              <w:spacing w:after="20" w:line="252" w:lineRule="auto"/>
            </w:pPr>
            <w:r>
              <w:rPr>
                <w:sz w:val="14"/>
              </w:rPr>
              <w:t>Should distinguish provider data from approved scoring data.</w:t>
            </w:r>
          </w:p>
        </w:tc>
      </w:tr>
      <w:tr>
        <w:tc>
          <w:tcPr>
            <w:tcW w:type="dxa" w:w="1728"/>
            <w:tcMar>
              <w:top w:w="70" w:type="dxa"/>
              <w:start w:w="70" w:type="dxa"/>
              <w:bottom w:w="70" w:type="dxa"/>
              <w:end w:w="70" w:type="dxa"/>
            </w:tcMar>
            <w:vAlign w:val="top"/>
          </w:tcPr>
          <w:p>
            <w:pPr>
              <w:spacing w:after="20" w:line="252" w:lineRule="auto"/>
            </w:pPr>
            <w:r>
              <w:rPr>
                <w:sz w:val="14"/>
              </w:rPr>
              <w:t>MatchPrediction</w:t>
            </w:r>
          </w:p>
        </w:tc>
        <w:tc>
          <w:tcPr>
            <w:tcW w:type="dxa" w:w="3168"/>
            <w:tcMar>
              <w:top w:w="70" w:type="dxa"/>
              <w:start w:w="70" w:type="dxa"/>
              <w:bottom w:w="70" w:type="dxa"/>
              <w:end w:w="70" w:type="dxa"/>
            </w:tcMar>
            <w:vAlign w:val="top"/>
          </w:tcPr>
          <w:p>
            <w:pPr>
              <w:spacing w:after="20" w:line="252" w:lineRule="auto"/>
            </w:pPr>
            <w:r>
              <w:rPr>
                <w:sz w:val="14"/>
              </w:rPr>
              <w:t>Represents a participant's predicted score for a match.</w:t>
            </w:r>
          </w:p>
        </w:tc>
        <w:tc>
          <w:tcPr>
            <w:tcW w:type="dxa" w:w="3744"/>
            <w:tcMar>
              <w:top w:w="70" w:type="dxa"/>
              <w:start w:w="70" w:type="dxa"/>
              <w:bottom w:w="70" w:type="dxa"/>
              <w:end w:w="70" w:type="dxa"/>
            </w:tcMar>
            <w:vAlign w:val="top"/>
          </w:tcPr>
          <w:p>
            <w:pPr>
              <w:spacing w:after="20" w:line="252" w:lineRule="auto"/>
            </w:pPr>
            <w:r>
              <w:rPr>
                <w:sz w:val="14"/>
              </w:rPr>
              <w:t>PredictionId, participantId, matchId, predictedHomeScore, predictedAwayScore, submittedAt, version</w:t>
            </w:r>
          </w:p>
        </w:tc>
        <w:tc>
          <w:tcPr>
            <w:tcW w:type="dxa" w:w="2448"/>
            <w:tcMar>
              <w:top w:w="70" w:type="dxa"/>
              <w:start w:w="70" w:type="dxa"/>
              <w:bottom w:w="70" w:type="dxa"/>
              <w:end w:w="70" w:type="dxa"/>
            </w:tcMar>
            <w:vAlign w:val="top"/>
          </w:tcPr>
          <w:p>
            <w:pPr>
              <w:spacing w:after="20" w:line="252" w:lineRule="auto"/>
            </w:pPr>
            <w:r>
              <w:rPr>
                <w:sz w:val="14"/>
              </w:rPr>
              <w:t>One active prediction per participant per match; history required.</w:t>
            </w:r>
          </w:p>
        </w:tc>
      </w:tr>
      <w:tr>
        <w:tc>
          <w:tcPr>
            <w:tcW w:type="dxa" w:w="1728"/>
            <w:tcMar>
              <w:top w:w="70" w:type="dxa"/>
              <w:start w:w="70" w:type="dxa"/>
              <w:bottom w:w="70" w:type="dxa"/>
              <w:end w:w="70" w:type="dxa"/>
            </w:tcMar>
            <w:vAlign w:val="top"/>
          </w:tcPr>
          <w:p>
            <w:pPr>
              <w:spacing w:after="20" w:line="252" w:lineRule="auto"/>
            </w:pPr>
            <w:r>
              <w:rPr>
                <w:sz w:val="14"/>
              </w:rPr>
              <w:t>FinalPrediction</w:t>
            </w:r>
          </w:p>
        </w:tc>
        <w:tc>
          <w:tcPr>
            <w:tcW w:type="dxa" w:w="3168"/>
            <w:tcMar>
              <w:top w:w="70" w:type="dxa"/>
              <w:start w:w="70" w:type="dxa"/>
              <w:bottom w:w="70" w:type="dxa"/>
              <w:end w:w="70" w:type="dxa"/>
            </w:tcMar>
            <w:vAlign w:val="top"/>
          </w:tcPr>
          <w:p>
            <w:pPr>
              <w:spacing w:after="20" w:line="252" w:lineRule="auto"/>
            </w:pPr>
            <w:r>
              <w:rPr>
                <w:sz w:val="14"/>
              </w:rPr>
              <w:t>Represents champion, runner-up, top scorer, and best player prediction set.</w:t>
            </w:r>
          </w:p>
        </w:tc>
        <w:tc>
          <w:tcPr>
            <w:tcW w:type="dxa" w:w="3744"/>
            <w:tcMar>
              <w:top w:w="70" w:type="dxa"/>
              <w:start w:w="70" w:type="dxa"/>
              <w:bottom w:w="70" w:type="dxa"/>
              <w:end w:w="70" w:type="dxa"/>
            </w:tcMar>
            <w:vAlign w:val="top"/>
          </w:tcPr>
          <w:p>
            <w:pPr>
              <w:spacing w:after="20" w:line="252" w:lineRule="auto"/>
            </w:pPr>
            <w:r>
              <w:rPr>
                <w:sz w:val="14"/>
              </w:rPr>
              <w:t>FinalPredictionId, participantId, championTeamId, runnerUpTeamId, topScorerPlayerId, bestPlayerId</w:t>
            </w:r>
          </w:p>
        </w:tc>
        <w:tc>
          <w:tcPr>
            <w:tcW w:type="dxa" w:w="2448"/>
            <w:tcMar>
              <w:top w:w="70" w:type="dxa"/>
              <w:start w:w="70" w:type="dxa"/>
              <w:bottom w:w="70" w:type="dxa"/>
              <w:end w:w="70" w:type="dxa"/>
            </w:tcMar>
            <w:vAlign w:val="top"/>
          </w:tcPr>
          <w:p>
            <w:pPr>
              <w:spacing w:after="20" w:line="252" w:lineRule="auto"/>
            </w:pPr>
            <w:r>
              <w:rPr>
                <w:sz w:val="14"/>
              </w:rPr>
              <w:t>Editable only before tournament start.</w:t>
            </w:r>
          </w:p>
        </w:tc>
      </w:tr>
      <w:tr>
        <w:tc>
          <w:tcPr>
            <w:tcW w:type="dxa" w:w="1728"/>
            <w:tcMar>
              <w:top w:w="70" w:type="dxa"/>
              <w:start w:w="70" w:type="dxa"/>
              <w:bottom w:w="70" w:type="dxa"/>
              <w:end w:w="70" w:type="dxa"/>
            </w:tcMar>
            <w:vAlign w:val="top"/>
          </w:tcPr>
          <w:p>
            <w:pPr>
              <w:spacing w:after="20" w:line="252" w:lineRule="auto"/>
            </w:pPr>
            <w:r>
              <w:rPr>
                <w:sz w:val="14"/>
              </w:rPr>
              <w:t>ScoreEvent</w:t>
            </w:r>
          </w:p>
        </w:tc>
        <w:tc>
          <w:tcPr>
            <w:tcW w:type="dxa" w:w="3168"/>
            <w:tcMar>
              <w:top w:w="70" w:type="dxa"/>
              <w:start w:w="70" w:type="dxa"/>
              <w:bottom w:w="70" w:type="dxa"/>
              <w:end w:w="70" w:type="dxa"/>
            </w:tcMar>
            <w:vAlign w:val="top"/>
          </w:tcPr>
          <w:p>
            <w:pPr>
              <w:spacing w:after="20" w:line="252" w:lineRule="auto"/>
            </w:pPr>
            <w:r>
              <w:rPr>
                <w:sz w:val="14"/>
              </w:rPr>
              <w:t>Represents awarded points for a prediction or recalculation event.</w:t>
            </w:r>
          </w:p>
        </w:tc>
        <w:tc>
          <w:tcPr>
            <w:tcW w:type="dxa" w:w="3744"/>
            <w:tcMar>
              <w:top w:w="70" w:type="dxa"/>
              <w:start w:w="70" w:type="dxa"/>
              <w:bottom w:w="70" w:type="dxa"/>
              <w:end w:w="70" w:type="dxa"/>
            </w:tcMar>
            <w:vAlign w:val="top"/>
          </w:tcPr>
          <w:p>
            <w:pPr>
              <w:spacing w:after="20" w:line="252" w:lineRule="auto"/>
            </w:pPr>
            <w:r>
              <w:rPr>
                <w:sz w:val="14"/>
              </w:rPr>
              <w:t>ScoreEventId, participantId, matchId/itemId, points, reason, calculatedAt, calculationRunId</w:t>
            </w:r>
          </w:p>
        </w:tc>
        <w:tc>
          <w:tcPr>
            <w:tcW w:type="dxa" w:w="2448"/>
            <w:tcMar>
              <w:top w:w="70" w:type="dxa"/>
              <w:start w:w="70" w:type="dxa"/>
              <w:bottom w:w="70" w:type="dxa"/>
              <w:end w:w="70" w:type="dxa"/>
            </w:tcMar>
            <w:vAlign w:val="top"/>
          </w:tcPr>
          <w:p>
            <w:pPr>
              <w:spacing w:after="20" w:line="252" w:lineRule="auto"/>
            </w:pPr>
            <w:r>
              <w:rPr>
                <w:sz w:val="14"/>
              </w:rPr>
              <w:t>Supports audit and recalculation history.</w:t>
            </w:r>
          </w:p>
        </w:tc>
      </w:tr>
      <w:tr>
        <w:tc>
          <w:tcPr>
            <w:tcW w:type="dxa" w:w="1728"/>
            <w:tcMar>
              <w:top w:w="70" w:type="dxa"/>
              <w:start w:w="70" w:type="dxa"/>
              <w:bottom w:w="70" w:type="dxa"/>
              <w:end w:w="70" w:type="dxa"/>
            </w:tcMar>
            <w:vAlign w:val="top"/>
          </w:tcPr>
          <w:p>
            <w:pPr>
              <w:spacing w:after="20" w:line="252" w:lineRule="auto"/>
            </w:pPr>
            <w:r>
              <w:rPr>
                <w:sz w:val="14"/>
              </w:rPr>
              <w:t>LeaderboardSnapshot</w:t>
            </w:r>
          </w:p>
        </w:tc>
        <w:tc>
          <w:tcPr>
            <w:tcW w:type="dxa" w:w="3168"/>
            <w:tcMar>
              <w:top w:w="70" w:type="dxa"/>
              <w:start w:w="70" w:type="dxa"/>
              <w:bottom w:w="70" w:type="dxa"/>
              <w:end w:w="70" w:type="dxa"/>
            </w:tcMar>
            <w:vAlign w:val="top"/>
          </w:tcPr>
          <w:p>
            <w:pPr>
              <w:spacing w:after="20" w:line="252" w:lineRule="auto"/>
            </w:pPr>
            <w:r>
              <w:rPr>
                <w:sz w:val="14"/>
              </w:rPr>
              <w:t>Represents ranking values generated at a point in time.</w:t>
            </w:r>
          </w:p>
        </w:tc>
        <w:tc>
          <w:tcPr>
            <w:tcW w:type="dxa" w:w="3744"/>
            <w:tcMar>
              <w:top w:w="70" w:type="dxa"/>
              <w:start w:w="70" w:type="dxa"/>
              <w:bottom w:w="70" w:type="dxa"/>
              <w:end w:w="70" w:type="dxa"/>
            </w:tcMar>
            <w:vAlign w:val="top"/>
          </w:tcPr>
          <w:p>
            <w:pPr>
              <w:spacing w:after="20" w:line="252" w:lineRule="auto"/>
            </w:pPr>
            <w:r>
              <w:rPr>
                <w:sz w:val="14"/>
              </w:rPr>
              <w:t>SnapshotId, participantId, rank, totalPoints, exactHits, outcomeHits, generatedAt</w:t>
            </w:r>
          </w:p>
        </w:tc>
        <w:tc>
          <w:tcPr>
            <w:tcW w:type="dxa" w:w="2448"/>
            <w:tcMar>
              <w:top w:w="70" w:type="dxa"/>
              <w:start w:w="70" w:type="dxa"/>
              <w:bottom w:w="70" w:type="dxa"/>
              <w:end w:w="70" w:type="dxa"/>
            </w:tcMar>
            <w:vAlign w:val="top"/>
          </w:tcPr>
          <w:p>
            <w:pPr>
              <w:spacing w:after="20" w:line="252" w:lineRule="auto"/>
            </w:pPr>
            <w:r>
              <w:rPr>
                <w:sz w:val="14"/>
              </w:rPr>
              <w:t>Can improve performance and historical reporting.</w:t>
            </w:r>
          </w:p>
        </w:tc>
      </w:tr>
      <w:tr>
        <w:tc>
          <w:tcPr>
            <w:tcW w:type="dxa" w:w="1728"/>
            <w:tcMar>
              <w:top w:w="70" w:type="dxa"/>
              <w:start w:w="70" w:type="dxa"/>
              <w:bottom w:w="70" w:type="dxa"/>
              <w:end w:w="70" w:type="dxa"/>
            </w:tcMar>
            <w:vAlign w:val="top"/>
          </w:tcPr>
          <w:p>
            <w:pPr>
              <w:spacing w:after="20" w:line="252" w:lineRule="auto"/>
            </w:pPr>
            <w:r>
              <w:rPr>
                <w:sz w:val="14"/>
              </w:rPr>
              <w:t>AuditLog</w:t>
            </w:r>
          </w:p>
        </w:tc>
        <w:tc>
          <w:tcPr>
            <w:tcW w:type="dxa" w:w="3168"/>
            <w:tcMar>
              <w:top w:w="70" w:type="dxa"/>
              <w:start w:w="70" w:type="dxa"/>
              <w:bottom w:w="70" w:type="dxa"/>
              <w:end w:w="70" w:type="dxa"/>
            </w:tcMar>
            <w:vAlign w:val="top"/>
          </w:tcPr>
          <w:p>
            <w:pPr>
              <w:spacing w:after="20" w:line="252" w:lineRule="auto"/>
            </w:pPr>
            <w:r>
              <w:rPr>
                <w:sz w:val="14"/>
              </w:rPr>
              <w:t>Represents security, data, administrative, and scoring events.</w:t>
            </w:r>
          </w:p>
        </w:tc>
        <w:tc>
          <w:tcPr>
            <w:tcW w:type="dxa" w:w="3744"/>
            <w:tcMar>
              <w:top w:w="70" w:type="dxa"/>
              <w:start w:w="70" w:type="dxa"/>
              <w:bottom w:w="70" w:type="dxa"/>
              <w:end w:w="70" w:type="dxa"/>
            </w:tcMar>
            <w:vAlign w:val="top"/>
          </w:tcPr>
          <w:p>
            <w:pPr>
              <w:spacing w:after="20" w:line="252" w:lineRule="auto"/>
            </w:pPr>
            <w:r>
              <w:rPr>
                <w:sz w:val="14"/>
              </w:rPr>
              <w:t>AuditId, actorId, action, entityType, entityId, oldValue, newValue, timestamp, reason</w:t>
            </w:r>
          </w:p>
        </w:tc>
        <w:tc>
          <w:tcPr>
            <w:tcW w:type="dxa" w:w="2448"/>
            <w:tcMar>
              <w:top w:w="70" w:type="dxa"/>
              <w:start w:w="70" w:type="dxa"/>
              <w:bottom w:w="70" w:type="dxa"/>
              <w:end w:w="70" w:type="dxa"/>
            </w:tcMar>
            <w:vAlign w:val="top"/>
          </w:tcPr>
          <w:p>
            <w:pPr>
              <w:spacing w:after="20" w:line="252" w:lineRule="auto"/>
            </w:pPr>
            <w:r>
              <w:rPr>
                <w:sz w:val="14"/>
              </w:rPr>
              <w:t>Must be tamper-resistant and searchable.</w:t>
            </w:r>
          </w:p>
        </w:tc>
      </w:tr>
      <w:tr>
        <w:tc>
          <w:tcPr>
            <w:tcW w:type="dxa" w:w="1728"/>
            <w:tcMar>
              <w:top w:w="70" w:type="dxa"/>
              <w:start w:w="70" w:type="dxa"/>
              <w:bottom w:w="70" w:type="dxa"/>
              <w:end w:w="70" w:type="dxa"/>
            </w:tcMar>
            <w:vAlign w:val="top"/>
          </w:tcPr>
          <w:p>
            <w:pPr>
              <w:spacing w:after="20" w:line="252" w:lineRule="auto"/>
            </w:pPr>
            <w:r>
              <w:rPr>
                <w:sz w:val="14"/>
              </w:rPr>
              <w:t>IntegrationRun</w:t>
            </w:r>
          </w:p>
        </w:tc>
        <w:tc>
          <w:tcPr>
            <w:tcW w:type="dxa" w:w="3168"/>
            <w:tcMar>
              <w:top w:w="70" w:type="dxa"/>
              <w:start w:w="70" w:type="dxa"/>
              <w:bottom w:w="70" w:type="dxa"/>
              <w:end w:w="70" w:type="dxa"/>
            </w:tcMar>
            <w:vAlign w:val="top"/>
          </w:tcPr>
          <w:p>
            <w:pPr>
              <w:spacing w:after="20" w:line="252" w:lineRule="auto"/>
            </w:pPr>
            <w:r>
              <w:rPr>
                <w:sz w:val="14"/>
              </w:rPr>
              <w:t>Represents scheduled or manual provider synchronization attempts.</w:t>
            </w:r>
          </w:p>
        </w:tc>
        <w:tc>
          <w:tcPr>
            <w:tcW w:type="dxa" w:w="3744"/>
            <w:tcMar>
              <w:top w:w="70" w:type="dxa"/>
              <w:start w:w="70" w:type="dxa"/>
              <w:bottom w:w="70" w:type="dxa"/>
              <w:end w:w="70" w:type="dxa"/>
            </w:tcMar>
            <w:vAlign w:val="top"/>
          </w:tcPr>
          <w:p>
            <w:pPr>
              <w:spacing w:after="20" w:line="252" w:lineRule="auto"/>
            </w:pPr>
            <w:r>
              <w:rPr>
                <w:sz w:val="14"/>
              </w:rPr>
              <w:t>RunId, provider, startedAt, endedAt, status, recordsProcessed, errors</w:t>
            </w:r>
          </w:p>
        </w:tc>
        <w:tc>
          <w:tcPr>
            <w:tcW w:type="dxa" w:w="2448"/>
            <w:tcMar>
              <w:top w:w="70" w:type="dxa"/>
              <w:start w:w="70" w:type="dxa"/>
              <w:bottom w:w="70" w:type="dxa"/>
              <w:end w:w="70" w:type="dxa"/>
            </w:tcMar>
            <w:vAlign w:val="top"/>
          </w:tcPr>
          <w:p>
            <w:pPr>
              <w:spacing w:after="20" w:line="252" w:lineRule="auto"/>
            </w:pPr>
            <w:r>
              <w:rPr>
                <w:sz w:val="14"/>
              </w:rPr>
              <w:t>Critical for operations and incident diagnosis.</w:t>
            </w:r>
          </w:p>
        </w:tc>
      </w:tr>
    </w:tbl>
    <w:p>
      <w:pPr>
        <w:pStyle w:val="Heading2"/>
        <w:spacing w:before="240" w:after="100"/>
      </w:pPr>
      <w:r>
        <w:t>9.2 Data Ownership Rules</w:t>
      </w:r>
    </w:p>
    <w:p>
      <w:pPr>
        <w:pStyle w:val="ListBullet"/>
        <w:spacing w:after="40"/>
      </w:pPr>
      <w:r>
        <w:rPr>
          <w:sz w:val="18"/>
        </w:rPr>
        <w:t>Participant identity attributes originate from the corporate identity boundary and should not be manually edited except for application-specific fields such as display preference or participation status.</w:t>
      </w:r>
    </w:p>
    <w:p>
      <w:pPr>
        <w:pStyle w:val="ListBullet"/>
        <w:spacing w:after="40"/>
      </w:pPr>
      <w:r>
        <w:rPr>
          <w:sz w:val="18"/>
        </w:rPr>
        <w:t>Tournament schedule and team metadata originate from approved football data sources but must be normalized into the internal model.</w:t>
      </w:r>
    </w:p>
    <w:p>
      <w:pPr>
        <w:pStyle w:val="ListBullet"/>
        <w:spacing w:after="40"/>
      </w:pPr>
      <w:r>
        <w:rPr>
          <w:sz w:val="18"/>
        </w:rPr>
        <w:t>Predictions are user-owned records but governed by server-side lock rules.</w:t>
      </w:r>
    </w:p>
    <w:p>
      <w:pPr>
        <w:pStyle w:val="ListBullet"/>
        <w:spacing w:after="40"/>
      </w:pPr>
      <w:r>
        <w:rPr>
          <w:sz w:val="18"/>
        </w:rPr>
        <w:t>Scores are system-generated records but may be recalculated when official data changes.</w:t>
      </w:r>
    </w:p>
    <w:p>
      <w:pPr>
        <w:pStyle w:val="ListBullet"/>
        <w:spacing w:after="40"/>
      </w:pPr>
      <w:r>
        <w:rPr>
          <w:sz w:val="18"/>
        </w:rPr>
        <w:t>Administrative corrections must not overwrite history silently; they must create auditable change records.</w:t>
      </w:r>
    </w:p>
    <w:p>
      <w:pPr>
        <w:pStyle w:val="ListBullet"/>
        <w:spacing w:after="40"/>
      </w:pPr>
      <w:r>
        <w:rPr>
          <w:sz w:val="18"/>
        </w:rPr>
        <w:t>External provider identifiers should be stored for traceability but should not replace stable internal identifiers.</w:t>
      </w:r>
    </w:p>
    <w:p>
      <w:pPr>
        <w:pStyle w:val="Heading2"/>
        <w:spacing w:before="240" w:after="100"/>
      </w:pPr>
      <w:r>
        <w:t>9.3 Data Quality Requirements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tblHeader w:val="true"/>
        </w:trPr>
        <w:tc>
          <w:tcPr>
            <w:tcW w:type="dxa" w:w="3312"/>
            <w:shd w:fill="1F4E79"/>
            <w:tcMar>
              <w:top w:w="80" w:type="dxa"/>
              <w:start w:w="80" w:type="dxa"/>
              <w:bottom w:w="80" w:type="dxa"/>
              <w:end w:w="80" w:type="dxa"/>
            </w:tcMar>
            <w:vAlign w:val="center"/>
          </w:tcPr>
          <w:p>
            <w:pPr>
              <w:jc w:val="center"/>
            </w:pPr>
            <w:r>
              <w:rPr>
                <w:b/>
                <w:color w:val="FFFFFF"/>
                <w:sz w:val="16"/>
              </w:rPr>
              <w:t>Requirement</w:t>
            </w:r>
          </w:p>
        </w:tc>
        <w:tc>
          <w:tcPr>
            <w:tcW w:type="dxa" w:w="7344"/>
            <w:shd w:fill="1F4E79"/>
            <w:tcMar>
              <w:top w:w="80" w:type="dxa"/>
              <w:start w:w="80" w:type="dxa"/>
              <w:bottom w:w="80" w:type="dxa"/>
              <w:end w:w="80" w:type="dxa"/>
            </w:tcMar>
            <w:vAlign w:val="center"/>
          </w:tcPr>
          <w:p>
            <w:pPr>
              <w:jc w:val="center"/>
            </w:pPr>
            <w:r>
              <w:rPr>
                <w:b/>
                <w:color w:val="FFFFFF"/>
                <w:sz w:val="16"/>
              </w:rPr>
              <w:t>Description</w:t>
            </w:r>
          </w:p>
        </w:tc>
      </w:tr>
      <w:tr>
        <w:tc>
          <w:tcPr>
            <w:tcW w:type="dxa" w:w="3312"/>
            <w:tcMar>
              <w:top w:w="70" w:type="dxa"/>
              <w:start w:w="70" w:type="dxa"/>
              <w:bottom w:w="70" w:type="dxa"/>
              <w:end w:w="70" w:type="dxa"/>
            </w:tcMar>
            <w:vAlign w:val="top"/>
          </w:tcPr>
          <w:p>
            <w:pPr>
              <w:spacing w:after="20" w:line="252" w:lineRule="auto"/>
            </w:pPr>
            <w:r>
              <w:rPr>
                <w:sz w:val="16"/>
              </w:rPr>
              <w:t>Canonical time</w:t>
            </w:r>
          </w:p>
        </w:tc>
        <w:tc>
          <w:tcPr>
            <w:tcW w:type="dxa" w:w="7344"/>
            <w:tcMar>
              <w:top w:w="70" w:type="dxa"/>
              <w:start w:w="70" w:type="dxa"/>
              <w:bottom w:w="70" w:type="dxa"/>
              <w:end w:w="70" w:type="dxa"/>
            </w:tcMar>
            <w:vAlign w:val="top"/>
          </w:tcPr>
          <w:p>
            <w:pPr>
              <w:spacing w:after="20" w:line="252" w:lineRule="auto"/>
            </w:pPr>
            <w:r>
              <w:rPr>
                <w:sz w:val="16"/>
              </w:rPr>
              <w:t>All kickoff and lock calculations must use canonical timestamps. Display time may be localized, but the source of truth must be normalized.</w:t>
            </w:r>
          </w:p>
        </w:tc>
      </w:tr>
      <w:tr>
        <w:tc>
          <w:tcPr>
            <w:tcW w:type="dxa" w:w="3312"/>
            <w:tcMar>
              <w:top w:w="70" w:type="dxa"/>
              <w:start w:w="70" w:type="dxa"/>
              <w:bottom w:w="70" w:type="dxa"/>
              <w:end w:w="70" w:type="dxa"/>
            </w:tcMar>
            <w:vAlign w:val="top"/>
          </w:tcPr>
          <w:p>
            <w:pPr>
              <w:spacing w:after="20" w:line="252" w:lineRule="auto"/>
            </w:pPr>
            <w:r>
              <w:rPr>
                <w:sz w:val="16"/>
              </w:rPr>
              <w:t>Idempotent synchronization</w:t>
            </w:r>
          </w:p>
        </w:tc>
        <w:tc>
          <w:tcPr>
            <w:tcW w:type="dxa" w:w="7344"/>
            <w:tcMar>
              <w:top w:w="70" w:type="dxa"/>
              <w:start w:w="70" w:type="dxa"/>
              <w:bottom w:w="70" w:type="dxa"/>
              <w:end w:w="70" w:type="dxa"/>
            </w:tcMar>
            <w:vAlign w:val="top"/>
          </w:tcPr>
          <w:p>
            <w:pPr>
              <w:spacing w:after="20" w:line="252" w:lineRule="auto"/>
            </w:pPr>
            <w:r>
              <w:rPr>
                <w:sz w:val="16"/>
              </w:rPr>
              <w:t>Repeated imports of the same provider data should update the same internal match or team records rather than creating duplicates.</w:t>
            </w:r>
          </w:p>
        </w:tc>
      </w:tr>
      <w:tr>
        <w:tc>
          <w:tcPr>
            <w:tcW w:type="dxa" w:w="3312"/>
            <w:tcMar>
              <w:top w:w="70" w:type="dxa"/>
              <w:start w:w="70" w:type="dxa"/>
              <w:bottom w:w="70" w:type="dxa"/>
              <w:end w:w="70" w:type="dxa"/>
            </w:tcMar>
            <w:vAlign w:val="top"/>
          </w:tcPr>
          <w:p>
            <w:pPr>
              <w:spacing w:after="20" w:line="252" w:lineRule="auto"/>
            </w:pPr>
            <w:r>
              <w:rPr>
                <w:sz w:val="16"/>
              </w:rPr>
              <w:t>Version history</w:t>
            </w:r>
          </w:p>
        </w:tc>
        <w:tc>
          <w:tcPr>
            <w:tcW w:type="dxa" w:w="7344"/>
            <w:tcMar>
              <w:top w:w="70" w:type="dxa"/>
              <w:start w:w="70" w:type="dxa"/>
              <w:bottom w:w="70" w:type="dxa"/>
              <w:end w:w="70" w:type="dxa"/>
            </w:tcMar>
            <w:vAlign w:val="top"/>
          </w:tcPr>
          <w:p>
            <w:pPr>
              <w:spacing w:after="20" w:line="252" w:lineRule="auto"/>
            </w:pPr>
            <w:r>
              <w:rPr>
                <w:sz w:val="16"/>
              </w:rPr>
              <w:t>Prediction edits, kickoff changes, result corrections, and scoring recalculations must be traceable.</w:t>
            </w:r>
          </w:p>
        </w:tc>
      </w:tr>
      <w:tr>
        <w:tc>
          <w:tcPr>
            <w:tcW w:type="dxa" w:w="3312"/>
            <w:tcMar>
              <w:top w:w="70" w:type="dxa"/>
              <w:start w:w="70" w:type="dxa"/>
              <w:bottom w:w="70" w:type="dxa"/>
              <w:end w:w="70" w:type="dxa"/>
            </w:tcMar>
            <w:vAlign w:val="top"/>
          </w:tcPr>
          <w:p>
            <w:pPr>
              <w:spacing w:after="20" w:line="252" w:lineRule="auto"/>
            </w:pPr>
            <w:r>
              <w:rPr>
                <w:sz w:val="16"/>
              </w:rPr>
              <w:t>Validation</w:t>
            </w:r>
          </w:p>
        </w:tc>
        <w:tc>
          <w:tcPr>
            <w:tcW w:type="dxa" w:w="7344"/>
            <w:tcMar>
              <w:top w:w="70" w:type="dxa"/>
              <w:start w:w="70" w:type="dxa"/>
              <w:bottom w:w="70" w:type="dxa"/>
              <w:end w:w="70" w:type="dxa"/>
            </w:tcMar>
            <w:vAlign w:val="top"/>
          </w:tcPr>
          <w:p>
            <w:pPr>
              <w:spacing w:after="20" w:line="252" w:lineRule="auto"/>
            </w:pPr>
            <w:r>
              <w:rPr>
                <w:sz w:val="16"/>
              </w:rPr>
              <w:t>Predicted scores must be non-negative whole numbers within a reasonable configurable range.</w:t>
            </w:r>
          </w:p>
        </w:tc>
      </w:tr>
      <w:tr>
        <w:tc>
          <w:tcPr>
            <w:tcW w:type="dxa" w:w="3312"/>
            <w:tcMar>
              <w:top w:w="70" w:type="dxa"/>
              <w:start w:w="70" w:type="dxa"/>
              <w:bottom w:w="70" w:type="dxa"/>
              <w:end w:w="70" w:type="dxa"/>
            </w:tcMar>
            <w:vAlign w:val="top"/>
          </w:tcPr>
          <w:p>
            <w:pPr>
              <w:spacing w:after="20" w:line="252" w:lineRule="auto"/>
            </w:pPr>
            <w:r>
              <w:rPr>
                <w:sz w:val="16"/>
              </w:rPr>
              <w:t>Referential integrity</w:t>
            </w:r>
          </w:p>
        </w:tc>
        <w:tc>
          <w:tcPr>
            <w:tcW w:type="dxa" w:w="7344"/>
            <w:tcMar>
              <w:top w:w="70" w:type="dxa"/>
              <w:start w:w="70" w:type="dxa"/>
              <w:bottom w:w="70" w:type="dxa"/>
              <w:end w:w="70" w:type="dxa"/>
            </w:tcMar>
            <w:vAlign w:val="top"/>
          </w:tcPr>
          <w:p>
            <w:pPr>
              <w:spacing w:after="20" w:line="252" w:lineRule="auto"/>
            </w:pPr>
            <w:r>
              <w:rPr>
                <w:sz w:val="16"/>
              </w:rPr>
              <w:t>Predictions must reference valid participants and matches; final predictions must reference valid teams and players.</w:t>
            </w:r>
          </w:p>
        </w:tc>
      </w:tr>
      <w:tr>
        <w:tc>
          <w:tcPr>
            <w:tcW w:type="dxa" w:w="3312"/>
            <w:tcMar>
              <w:top w:w="70" w:type="dxa"/>
              <w:start w:w="70" w:type="dxa"/>
              <w:bottom w:w="70" w:type="dxa"/>
              <w:end w:w="70" w:type="dxa"/>
            </w:tcMar>
            <w:vAlign w:val="top"/>
          </w:tcPr>
          <w:p>
            <w:pPr>
              <w:spacing w:after="20" w:line="252" w:lineRule="auto"/>
            </w:pPr>
            <w:r>
              <w:rPr>
                <w:sz w:val="16"/>
              </w:rPr>
              <w:t>Data minimization</w:t>
            </w:r>
          </w:p>
        </w:tc>
        <w:tc>
          <w:tcPr>
            <w:tcW w:type="dxa" w:w="7344"/>
            <w:tcMar>
              <w:top w:w="70" w:type="dxa"/>
              <w:start w:w="70" w:type="dxa"/>
              <w:bottom w:w="70" w:type="dxa"/>
              <w:end w:w="70" w:type="dxa"/>
            </w:tcMar>
            <w:vAlign w:val="top"/>
          </w:tcPr>
          <w:p>
            <w:pPr>
              <w:spacing w:after="20" w:line="252" w:lineRule="auto"/>
            </w:pPr>
            <w:r>
              <w:rPr>
                <w:sz w:val="16"/>
              </w:rPr>
              <w:t>Only data needed for the pool should be stored. Sensitive HR data should not be imported.</w:t>
            </w:r>
          </w:p>
        </w:tc>
      </w:tr>
    </w:tbl>
    <w:p>
      <w:pPr>
        <w:pStyle w:val="Heading1"/>
        <w:spacing w:before="240" w:after="100"/>
      </w:pPr>
      <w:r>
        <w:t>10. Integration Architecture</w:t>
      </w:r>
    </w:p>
    <w:p>
      <w:pPr>
        <w:keepLines w:val="0"/>
        <w:spacing w:after="120"/>
      </w:pPr>
      <w:r>
        <w:rPr>
          <w:b w:val="0"/>
          <w:i w:val="0"/>
        </w:rPr>
        <w:t>The application should integrate with football data through a provider-agnostic integration layer. The application should not directly bind UI screens, scoring logic, or data tables to a single external API schema. This allows the project to start with one provider and later introduce a backup or replacement provider without rewriting the application core.</w:t>
      </w:r>
    </w:p>
    <w:p>
      <w:pPr>
        <w:pStyle w:val="Heading2"/>
        <w:spacing w:before="240" w:after="100"/>
      </w:pPr>
      <w:r>
        <w:t>10.1 External Football Data Capabilities</w:t>
      </w:r>
    </w:p>
    <w:p>
      <w:pPr>
        <w:pStyle w:val="ListBullet"/>
        <w:spacing w:after="40"/>
      </w:pPr>
      <w:r>
        <w:rPr>
          <w:sz w:val="18"/>
        </w:rPr>
        <w:t>Fixture import: match identifiers, teams, groups, stages, venues, and kickoff times.</w:t>
      </w:r>
    </w:p>
    <w:p>
      <w:pPr>
        <w:pStyle w:val="ListBullet"/>
        <w:spacing w:after="40"/>
      </w:pPr>
      <w:r>
        <w:rPr>
          <w:sz w:val="18"/>
        </w:rPr>
        <w:t>Schedule change detection: updates to kickoff times, venues, or match status.</w:t>
      </w:r>
    </w:p>
    <w:p>
      <w:pPr>
        <w:pStyle w:val="ListBullet"/>
        <w:spacing w:after="40"/>
      </w:pPr>
      <w:r>
        <w:rPr>
          <w:sz w:val="18"/>
        </w:rPr>
        <w:t>Result synchronization: final score, match status, and completion indicators.</w:t>
      </w:r>
    </w:p>
    <w:p>
      <w:pPr>
        <w:pStyle w:val="ListBullet"/>
        <w:spacing w:after="40"/>
      </w:pPr>
      <w:r>
        <w:rPr>
          <w:sz w:val="18"/>
        </w:rPr>
        <w:t>Optional player data: scorers or squads if needed for top scorer prediction validation.</w:t>
      </w:r>
    </w:p>
    <w:p>
      <w:pPr>
        <w:pStyle w:val="ListBullet"/>
        <w:spacing w:after="40"/>
      </w:pPr>
      <w:r>
        <w:rPr>
          <w:sz w:val="18"/>
        </w:rPr>
        <w:t>Optional awards data: official best player source may need separate validation because not all football data APIs provide it reliably.</w:t>
      </w:r>
    </w:p>
    <w:p>
      <w:pPr>
        <w:pStyle w:val="Heading2"/>
        <w:spacing w:before="240" w:after="100"/>
      </w:pPr>
      <w:r>
        <w:t>10.2 Provider-Agnostic Integration Pattern</w:t>
      </w:r>
    </w:p>
    <w:p>
      <w:pPr>
        <w:pStyle w:val="ListNumber"/>
        <w:spacing w:after="40"/>
      </w:pPr>
      <w:r>
        <w:rPr>
          <w:sz w:val="18"/>
        </w:rPr>
        <w:t>A scheduled or event-driven integration job calls the selected football data provider using approved credentials and rate-limit controls.</w:t>
      </w:r>
    </w:p>
    <w:p>
      <w:pPr>
        <w:pStyle w:val="ListNumber"/>
        <w:spacing w:after="40"/>
      </w:pPr>
      <w:r>
        <w:rPr>
          <w:sz w:val="18"/>
        </w:rPr>
        <w:t>Raw provider responses are captured or summarized for traceability, subject to licensing and storage policy.</w:t>
      </w:r>
    </w:p>
    <w:p>
      <w:pPr>
        <w:pStyle w:val="ListNumber"/>
        <w:spacing w:after="40"/>
      </w:pPr>
      <w:r>
        <w:rPr>
          <w:sz w:val="18"/>
        </w:rPr>
        <w:t>A normalization step maps provider teams, matches, statuses, scores, and players into internal canonical entities.</w:t>
      </w:r>
    </w:p>
    <w:p>
      <w:pPr>
        <w:pStyle w:val="ListNumber"/>
        <w:spacing w:after="40"/>
      </w:pPr>
      <w:r>
        <w:rPr>
          <w:sz w:val="18"/>
        </w:rPr>
        <w:t>The integration layer flags changes requiring administrative review, such as kickoff changes near lock windows or score corrections after scoring has already run.</w:t>
      </w:r>
    </w:p>
    <w:p>
      <w:pPr>
        <w:pStyle w:val="ListNumber"/>
        <w:spacing w:after="40"/>
      </w:pPr>
      <w:r>
        <w:rPr>
          <w:sz w:val="18"/>
        </w:rPr>
        <w:t>The scoring engine consumes approved internal match result data, not raw external responses.</w:t>
      </w:r>
    </w:p>
    <w:p>
      <w:pPr>
        <w:pStyle w:val="ListNumber"/>
        <w:spacing w:after="40"/>
      </w:pPr>
      <w:r>
        <w:rPr>
          <w:sz w:val="18"/>
        </w:rPr>
        <w:t>If the provider is unavailable or delayed, administrators can manually enter or approve official results through the administration interface.</w:t>
      </w:r>
    </w:p>
    <w:p>
      <w:pPr>
        <w:pStyle w:val="Heading2"/>
        <w:spacing w:before="240" w:after="100"/>
      </w:pPr>
      <w:r>
        <w:t>10.3 Example Provider Consideration: football-data.org</w:t>
      </w:r>
    </w:p>
    <w:p>
      <w:pPr>
        <w:keepLines w:val="0"/>
        <w:spacing w:after="120"/>
      </w:pPr>
      <w:r>
        <w:rPr>
          <w:b w:val="0"/>
          <w:i w:val="0"/>
        </w:rPr>
        <w:t>football-data.org can be considered as an initial candidate data provider because it exposes API resources for competitions and matches, and its coverage page lists Worldcup/FIFA World Cup under the free tier. However, this architecture should treat football-data.org as one replaceable provider rather than a hard dependency.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tblHeader w:val="true"/>
        </w:trPr>
        <w:tc>
          <w:tcPr>
            <w:tcW w:type="dxa" w:w="5472"/>
            <w:shd w:fill="1F4E79"/>
            <w:tcMar>
              <w:top w:w="80" w:type="dxa"/>
              <w:start w:w="80" w:type="dxa"/>
              <w:bottom w:w="80" w:type="dxa"/>
              <w:end w:w="80" w:type="dxa"/>
            </w:tcMar>
            <w:vAlign w:val="center"/>
          </w:tcPr>
          <w:p>
            <w:pPr>
              <w:jc w:val="center"/>
            </w:pPr>
            <w:r>
              <w:rPr>
                <w:b/>
                <w:color w:val="FFFFFF"/>
                <w:sz w:val="16"/>
              </w:rPr>
              <w:t>Observation</w:t>
            </w:r>
          </w:p>
        </w:tc>
        <w:tc>
          <w:tcPr>
            <w:tcW w:type="dxa" w:w="5184"/>
            <w:shd w:fill="1F4E79"/>
            <w:tcMar>
              <w:top w:w="80" w:type="dxa"/>
              <w:start w:w="80" w:type="dxa"/>
              <w:bottom w:w="80" w:type="dxa"/>
              <w:end w:w="80" w:type="dxa"/>
            </w:tcMar>
            <w:vAlign w:val="center"/>
          </w:tcPr>
          <w:p>
            <w:pPr>
              <w:jc w:val="center"/>
            </w:pPr>
            <w:r>
              <w:rPr>
                <w:b/>
                <w:color w:val="FFFFFF"/>
                <w:sz w:val="16"/>
              </w:rPr>
              <w:t>Architectural implication</w:t>
            </w:r>
          </w:p>
        </w:tc>
      </w:tr>
      <w:tr>
        <w:tc>
          <w:tcPr>
            <w:tcW w:type="dxa" w:w="5472"/>
            <w:tcMar>
              <w:top w:w="70" w:type="dxa"/>
              <w:start w:w="70" w:type="dxa"/>
              <w:bottom w:w="70" w:type="dxa"/>
              <w:end w:w="70" w:type="dxa"/>
            </w:tcMar>
            <w:vAlign w:val="top"/>
          </w:tcPr>
          <w:p>
            <w:pPr>
              <w:spacing w:after="20" w:line="252" w:lineRule="auto"/>
            </w:pPr>
            <w:r>
              <w:rPr>
                <w:sz w:val="16"/>
              </w:rPr>
              <w:t>The provider documents a v4 API and match resources that include competition, season, UTC date, status, teams, score-related data, and match metadata.</w:t>
            </w:r>
          </w:p>
        </w:tc>
        <w:tc>
          <w:tcPr>
            <w:tcW w:type="dxa" w:w="5184"/>
            <w:tcMar>
              <w:top w:w="70" w:type="dxa"/>
              <w:start w:w="70" w:type="dxa"/>
              <w:bottom w:w="70" w:type="dxa"/>
              <w:end w:w="70" w:type="dxa"/>
            </w:tcMar>
            <w:vAlign w:val="top"/>
          </w:tcPr>
          <w:p>
            <w:pPr>
              <w:spacing w:after="20" w:line="252" w:lineRule="auto"/>
            </w:pPr>
            <w:r>
              <w:rPr>
                <w:sz w:val="16"/>
              </w:rPr>
              <w:t>A normalization adapter can map provider match fields to the internal Match and MatchResult entities.</w:t>
            </w:r>
          </w:p>
        </w:tc>
      </w:tr>
      <w:tr>
        <w:tc>
          <w:tcPr>
            <w:tcW w:type="dxa" w:w="5472"/>
            <w:tcMar>
              <w:top w:w="70" w:type="dxa"/>
              <w:start w:w="70" w:type="dxa"/>
              <w:bottom w:w="70" w:type="dxa"/>
              <w:end w:w="70" w:type="dxa"/>
            </w:tcMar>
            <w:vAlign w:val="top"/>
          </w:tcPr>
          <w:p>
            <w:pPr>
              <w:spacing w:after="20" w:line="252" w:lineRule="auto"/>
            </w:pPr>
            <w:r>
              <w:rPr>
                <w:sz w:val="16"/>
              </w:rPr>
              <w:t>The provider lists a free plan with fixtures, delayed schedules, delayed scores, league tables, and 10 calls per minute.</w:t>
            </w:r>
          </w:p>
        </w:tc>
        <w:tc>
          <w:tcPr>
            <w:tcW w:type="dxa" w:w="5184"/>
            <w:tcMar>
              <w:top w:w="70" w:type="dxa"/>
              <w:start w:w="70" w:type="dxa"/>
              <w:bottom w:w="70" w:type="dxa"/>
              <w:end w:w="70" w:type="dxa"/>
            </w:tcMar>
            <w:vAlign w:val="top"/>
          </w:tcPr>
          <w:p>
            <w:pPr>
              <w:spacing w:after="20" w:line="252" w:lineRule="auto"/>
            </w:pPr>
            <w:r>
              <w:rPr>
                <w:sz w:val="16"/>
              </w:rPr>
              <w:t>Free-tier usage may be sufficient for MVP, but delayed scores and rate limits require caching, retries, and manual fallback.</w:t>
            </w:r>
          </w:p>
        </w:tc>
      </w:tr>
      <w:tr>
        <w:tc>
          <w:tcPr>
            <w:tcW w:type="dxa" w:w="5472"/>
            <w:tcMar>
              <w:top w:w="70" w:type="dxa"/>
              <w:start w:w="70" w:type="dxa"/>
              <w:bottom w:w="70" w:type="dxa"/>
              <w:end w:w="70" w:type="dxa"/>
            </w:tcMar>
            <w:vAlign w:val="top"/>
          </w:tcPr>
          <w:p>
            <w:pPr>
              <w:spacing w:after="20" w:line="252" w:lineRule="auto"/>
            </w:pPr>
            <w:r>
              <w:rPr>
                <w:sz w:val="16"/>
              </w:rPr>
              <w:t>The coverage page lists Worldcup / FIFA World Cup among free-tier competitions.</w:t>
            </w:r>
          </w:p>
        </w:tc>
        <w:tc>
          <w:tcPr>
            <w:tcW w:type="dxa" w:w="5184"/>
            <w:tcMar>
              <w:top w:w="70" w:type="dxa"/>
              <w:start w:w="70" w:type="dxa"/>
              <w:bottom w:w="70" w:type="dxa"/>
              <w:end w:w="70" w:type="dxa"/>
            </w:tcMar>
            <w:vAlign w:val="top"/>
          </w:tcPr>
          <w:p>
            <w:pPr>
              <w:spacing w:after="20" w:line="252" w:lineRule="auto"/>
            </w:pPr>
            <w:r>
              <w:rPr>
                <w:sz w:val="16"/>
              </w:rPr>
              <w:t>Coverage should still be verified with actual API access before launch and again shortly before the tournament.</w:t>
            </w:r>
          </w:p>
        </w:tc>
      </w:tr>
      <w:tr>
        <w:tc>
          <w:tcPr>
            <w:tcW w:type="dxa" w:w="5472"/>
            <w:tcMar>
              <w:top w:w="70" w:type="dxa"/>
              <w:start w:w="70" w:type="dxa"/>
              <w:bottom w:w="70" w:type="dxa"/>
              <w:end w:w="70" w:type="dxa"/>
            </w:tcMar>
            <w:vAlign w:val="top"/>
          </w:tcPr>
          <w:p>
            <w:pPr>
              <w:spacing w:after="20" w:line="252" w:lineRule="auto"/>
            </w:pPr>
            <w:r>
              <w:rPr>
                <w:sz w:val="16"/>
              </w:rPr>
              <w:t>Top scorer and best player data may require additional validation or a separate official source.</w:t>
            </w:r>
          </w:p>
        </w:tc>
        <w:tc>
          <w:tcPr>
            <w:tcW w:type="dxa" w:w="5184"/>
            <w:tcMar>
              <w:top w:w="70" w:type="dxa"/>
              <w:start w:w="70" w:type="dxa"/>
              <w:bottom w:w="70" w:type="dxa"/>
              <w:end w:w="70" w:type="dxa"/>
            </w:tcMar>
            <w:vAlign w:val="top"/>
          </w:tcPr>
          <w:p>
            <w:pPr>
              <w:spacing w:after="20" w:line="252" w:lineRule="auto"/>
            </w:pPr>
            <w:r>
              <w:rPr>
                <w:sz w:val="16"/>
              </w:rPr>
              <w:t>Final prediction scoring should not assume that one provider covers every award needed.</w:t>
            </w:r>
          </w:p>
        </w:tc>
      </w:tr>
    </w:tbl>
    <w:p>
      <w:pPr>
        <w:pStyle w:val="Heading2"/>
        <w:spacing w:before="240" w:after="100"/>
      </w:pPr>
      <w:r>
        <w:t>10.4 Synchronization Frequency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880"/>
            <w:shd w:fill="1F4E79"/>
            <w:tcMar>
              <w:top w:w="80" w:type="dxa"/>
              <w:start w:w="80" w:type="dxa"/>
              <w:bottom w:w="80" w:type="dxa"/>
              <w:end w:w="80" w:type="dxa"/>
            </w:tcMar>
            <w:vAlign w:val="center"/>
          </w:tcPr>
          <w:p>
            <w:pPr>
              <w:jc w:val="center"/>
            </w:pPr>
            <w:r>
              <w:rPr>
                <w:b/>
                <w:color w:val="FFFFFF"/>
                <w:sz w:val="16"/>
              </w:rPr>
              <w:t>Tournament phase</w:t>
            </w:r>
          </w:p>
        </w:tc>
        <w:tc>
          <w:tcPr>
            <w:tcW w:type="dxa" w:w="3456"/>
            <w:shd w:fill="1F4E79"/>
            <w:tcMar>
              <w:top w:w="80" w:type="dxa"/>
              <w:start w:w="80" w:type="dxa"/>
              <w:bottom w:w="80" w:type="dxa"/>
              <w:end w:w="80" w:type="dxa"/>
            </w:tcMar>
            <w:vAlign w:val="center"/>
          </w:tcPr>
          <w:p>
            <w:pPr>
              <w:jc w:val="center"/>
            </w:pPr>
            <w:r>
              <w:rPr>
                <w:b/>
                <w:color w:val="FFFFFF"/>
                <w:sz w:val="16"/>
              </w:rPr>
              <w:t>Suggested frequency</w:t>
            </w:r>
          </w:p>
        </w:tc>
        <w:tc>
          <w:tcPr>
            <w:tcW w:type="dxa" w:w="4320"/>
            <w:shd w:fill="1F4E79"/>
            <w:tcMar>
              <w:top w:w="80" w:type="dxa"/>
              <w:start w:w="80" w:type="dxa"/>
              <w:bottom w:w="80" w:type="dxa"/>
              <w:end w:w="80" w:type="dxa"/>
            </w:tcMar>
            <w:vAlign w:val="center"/>
          </w:tcPr>
          <w:p>
            <w:pPr>
              <w:jc w:val="center"/>
            </w:pPr>
            <w:r>
              <w:rPr>
                <w:b/>
                <w:color w:val="FFFFFF"/>
                <w:sz w:val="16"/>
              </w:rPr>
              <w:t>Rationale</w:t>
            </w:r>
          </w:p>
        </w:tc>
      </w:tr>
      <w:tr>
        <w:tc>
          <w:tcPr>
            <w:tcW w:type="dxa" w:w="2880"/>
            <w:tcMar>
              <w:top w:w="70" w:type="dxa"/>
              <w:start w:w="70" w:type="dxa"/>
              <w:bottom w:w="70" w:type="dxa"/>
              <w:end w:w="70" w:type="dxa"/>
            </w:tcMar>
            <w:vAlign w:val="top"/>
          </w:tcPr>
          <w:p>
            <w:pPr>
              <w:spacing w:after="20" w:line="252" w:lineRule="auto"/>
            </w:pPr>
            <w:r>
              <w:rPr>
                <w:sz w:val="16"/>
              </w:rPr>
              <w:t>Before tournament</w:t>
            </w:r>
          </w:p>
        </w:tc>
        <w:tc>
          <w:tcPr>
            <w:tcW w:type="dxa" w:w="3456"/>
            <w:tcMar>
              <w:top w:w="70" w:type="dxa"/>
              <w:start w:w="70" w:type="dxa"/>
              <w:bottom w:w="70" w:type="dxa"/>
              <w:end w:w="70" w:type="dxa"/>
            </w:tcMar>
            <w:vAlign w:val="top"/>
          </w:tcPr>
          <w:p>
            <w:pPr>
              <w:spacing w:after="20" w:line="252" w:lineRule="auto"/>
            </w:pPr>
            <w:r>
              <w:rPr>
                <w:sz w:val="16"/>
              </w:rPr>
              <w:t>Daily, plus manual refresh after official schedule updates</w:t>
            </w:r>
          </w:p>
        </w:tc>
        <w:tc>
          <w:tcPr>
            <w:tcW w:type="dxa" w:w="4320"/>
            <w:tcMar>
              <w:top w:w="70" w:type="dxa"/>
              <w:start w:w="70" w:type="dxa"/>
              <w:bottom w:w="70" w:type="dxa"/>
              <w:end w:w="70" w:type="dxa"/>
            </w:tcMar>
            <w:vAlign w:val="top"/>
          </w:tcPr>
          <w:p>
            <w:pPr>
              <w:spacing w:after="20" w:line="252" w:lineRule="auto"/>
            </w:pPr>
            <w:r>
              <w:rPr>
                <w:sz w:val="16"/>
              </w:rPr>
              <w:t>Schedule changes are less frequent but still important before launch.</w:t>
            </w:r>
          </w:p>
        </w:tc>
      </w:tr>
      <w:tr>
        <w:tc>
          <w:tcPr>
            <w:tcW w:type="dxa" w:w="2880"/>
            <w:tcMar>
              <w:top w:w="70" w:type="dxa"/>
              <w:start w:w="70" w:type="dxa"/>
              <w:bottom w:w="70" w:type="dxa"/>
              <w:end w:w="70" w:type="dxa"/>
            </w:tcMar>
            <w:vAlign w:val="top"/>
          </w:tcPr>
          <w:p>
            <w:pPr>
              <w:spacing w:after="20" w:line="252" w:lineRule="auto"/>
            </w:pPr>
            <w:r>
              <w:rPr>
                <w:sz w:val="16"/>
              </w:rPr>
              <w:t>Match days before kickoff</w:t>
            </w:r>
          </w:p>
        </w:tc>
        <w:tc>
          <w:tcPr>
            <w:tcW w:type="dxa" w:w="3456"/>
            <w:tcMar>
              <w:top w:w="70" w:type="dxa"/>
              <w:start w:w="70" w:type="dxa"/>
              <w:bottom w:w="70" w:type="dxa"/>
              <w:end w:w="70" w:type="dxa"/>
            </w:tcMar>
            <w:vAlign w:val="top"/>
          </w:tcPr>
          <w:p>
            <w:pPr>
              <w:spacing w:after="20" w:line="252" w:lineRule="auto"/>
            </w:pPr>
            <w:r>
              <w:rPr>
                <w:sz w:val="16"/>
              </w:rPr>
              <w:t>Several times per day; more frequently near match windows</w:t>
            </w:r>
          </w:p>
        </w:tc>
        <w:tc>
          <w:tcPr>
            <w:tcW w:type="dxa" w:w="4320"/>
            <w:tcMar>
              <w:top w:w="70" w:type="dxa"/>
              <w:start w:w="70" w:type="dxa"/>
              <w:bottom w:w="70" w:type="dxa"/>
              <w:end w:w="70" w:type="dxa"/>
            </w:tcMar>
            <w:vAlign w:val="top"/>
          </w:tcPr>
          <w:p>
            <w:pPr>
              <w:spacing w:after="20" w:line="252" w:lineRule="auto"/>
            </w:pPr>
            <w:r>
              <w:rPr>
                <w:sz w:val="16"/>
              </w:rPr>
              <w:t>Detect kickoff changes and match statuses before locks.</w:t>
            </w:r>
          </w:p>
        </w:tc>
      </w:tr>
      <w:tr>
        <w:tc>
          <w:tcPr>
            <w:tcW w:type="dxa" w:w="2880"/>
            <w:tcMar>
              <w:top w:w="70" w:type="dxa"/>
              <w:start w:w="70" w:type="dxa"/>
              <w:bottom w:w="70" w:type="dxa"/>
              <w:end w:w="70" w:type="dxa"/>
            </w:tcMar>
            <w:vAlign w:val="top"/>
          </w:tcPr>
          <w:p>
            <w:pPr>
              <w:spacing w:after="20" w:line="252" w:lineRule="auto"/>
            </w:pPr>
            <w:r>
              <w:rPr>
                <w:sz w:val="16"/>
              </w:rPr>
              <w:t>During active match windows</w:t>
            </w:r>
          </w:p>
        </w:tc>
        <w:tc>
          <w:tcPr>
            <w:tcW w:type="dxa" w:w="3456"/>
            <w:tcMar>
              <w:top w:w="70" w:type="dxa"/>
              <w:start w:w="70" w:type="dxa"/>
              <w:bottom w:w="70" w:type="dxa"/>
              <w:end w:w="70" w:type="dxa"/>
            </w:tcMar>
            <w:vAlign w:val="top"/>
          </w:tcPr>
          <w:p>
            <w:pPr>
              <w:spacing w:after="20" w:line="252" w:lineRule="auto"/>
            </w:pPr>
            <w:r>
              <w:rPr>
                <w:sz w:val="16"/>
              </w:rPr>
              <w:t>Frequent polling if licensing permits; otherwise scheduled updates after expected full-time</w:t>
            </w:r>
          </w:p>
        </w:tc>
        <w:tc>
          <w:tcPr>
            <w:tcW w:type="dxa" w:w="4320"/>
            <w:tcMar>
              <w:top w:w="70" w:type="dxa"/>
              <w:start w:w="70" w:type="dxa"/>
              <w:bottom w:w="70" w:type="dxa"/>
              <w:end w:w="70" w:type="dxa"/>
            </w:tcMar>
            <w:vAlign w:val="top"/>
          </w:tcPr>
          <w:p>
            <w:pPr>
              <w:spacing w:after="20" w:line="252" w:lineRule="auto"/>
            </w:pPr>
            <w:r>
              <w:rPr>
                <w:sz w:val="16"/>
              </w:rPr>
              <w:t>The pool does not need live minute-by-minute data unless a future feature requires it.</w:t>
            </w:r>
          </w:p>
        </w:tc>
      </w:tr>
      <w:tr>
        <w:tc>
          <w:tcPr>
            <w:tcW w:type="dxa" w:w="2880"/>
            <w:tcMar>
              <w:top w:w="70" w:type="dxa"/>
              <w:start w:w="70" w:type="dxa"/>
              <w:bottom w:w="70" w:type="dxa"/>
              <w:end w:w="70" w:type="dxa"/>
            </w:tcMar>
            <w:vAlign w:val="top"/>
          </w:tcPr>
          <w:p>
            <w:pPr>
              <w:spacing w:after="20" w:line="252" w:lineRule="auto"/>
            </w:pPr>
            <w:r>
              <w:rPr>
                <w:sz w:val="16"/>
              </w:rPr>
              <w:t>After match completion</w:t>
            </w:r>
          </w:p>
        </w:tc>
        <w:tc>
          <w:tcPr>
            <w:tcW w:type="dxa" w:w="3456"/>
            <w:tcMar>
              <w:top w:w="70" w:type="dxa"/>
              <w:start w:w="70" w:type="dxa"/>
              <w:bottom w:w="70" w:type="dxa"/>
              <w:end w:w="70" w:type="dxa"/>
            </w:tcMar>
            <w:vAlign w:val="top"/>
          </w:tcPr>
          <w:p>
            <w:pPr>
              <w:spacing w:after="20" w:line="252" w:lineRule="auto"/>
            </w:pPr>
            <w:r>
              <w:rPr>
                <w:sz w:val="16"/>
              </w:rPr>
              <w:t>Run soon after full-time, then repeat later to detect corrections</w:t>
            </w:r>
          </w:p>
        </w:tc>
        <w:tc>
          <w:tcPr>
            <w:tcW w:type="dxa" w:w="4320"/>
            <w:tcMar>
              <w:top w:w="70" w:type="dxa"/>
              <w:start w:w="70" w:type="dxa"/>
              <w:bottom w:w="70" w:type="dxa"/>
              <w:end w:w="70" w:type="dxa"/>
            </w:tcMar>
            <w:vAlign w:val="top"/>
          </w:tcPr>
          <w:p>
            <w:pPr>
              <w:spacing w:after="20" w:line="252" w:lineRule="auto"/>
            </w:pPr>
            <w:r>
              <w:rPr>
                <w:sz w:val="16"/>
              </w:rPr>
              <w:t>Scores may be delayed or corrected.</w:t>
            </w:r>
          </w:p>
        </w:tc>
      </w:tr>
      <w:tr>
        <w:tc>
          <w:tcPr>
            <w:tcW w:type="dxa" w:w="2880"/>
            <w:tcMar>
              <w:top w:w="70" w:type="dxa"/>
              <w:start w:w="70" w:type="dxa"/>
              <w:bottom w:w="70" w:type="dxa"/>
              <w:end w:w="70" w:type="dxa"/>
            </w:tcMar>
            <w:vAlign w:val="top"/>
          </w:tcPr>
          <w:p>
            <w:pPr>
              <w:spacing w:after="20" w:line="252" w:lineRule="auto"/>
            </w:pPr>
            <w:r>
              <w:rPr>
                <w:sz w:val="16"/>
              </w:rPr>
              <w:t>After tournament</w:t>
            </w:r>
          </w:p>
        </w:tc>
        <w:tc>
          <w:tcPr>
            <w:tcW w:type="dxa" w:w="3456"/>
            <w:tcMar>
              <w:top w:w="70" w:type="dxa"/>
              <w:start w:w="70" w:type="dxa"/>
              <w:bottom w:w="70" w:type="dxa"/>
              <w:end w:w="70" w:type="dxa"/>
            </w:tcMar>
            <w:vAlign w:val="top"/>
          </w:tcPr>
          <w:p>
            <w:pPr>
              <w:spacing w:after="20" w:line="252" w:lineRule="auto"/>
            </w:pPr>
            <w:r>
              <w:rPr>
                <w:sz w:val="16"/>
              </w:rPr>
              <w:t>Final reconciliation and archive</w:t>
            </w:r>
          </w:p>
        </w:tc>
        <w:tc>
          <w:tcPr>
            <w:tcW w:type="dxa" w:w="4320"/>
            <w:tcMar>
              <w:top w:w="70" w:type="dxa"/>
              <w:start w:w="70" w:type="dxa"/>
              <w:bottom w:w="70" w:type="dxa"/>
              <w:end w:w="70" w:type="dxa"/>
            </w:tcMar>
            <w:vAlign w:val="top"/>
          </w:tcPr>
          <w:p>
            <w:pPr>
              <w:spacing w:after="20" w:line="252" w:lineRule="auto"/>
            </w:pPr>
            <w:r>
              <w:rPr>
                <w:sz w:val="16"/>
              </w:rPr>
              <w:t>Final awards and leaderboard closure require controlled validation.</w:t>
            </w:r>
          </w:p>
        </w:tc>
      </w:tr>
    </w:tbl>
    <w:p>
      <w:pPr>
        <w:pStyle w:val="Heading2"/>
        <w:spacing w:before="240" w:after="100"/>
      </w:pPr>
      <w:r>
        <w:t>10.5 Integration Failure Handling</w:t>
      </w:r>
    </w:p>
    <w:p>
      <w:pPr>
        <w:pStyle w:val="ListBullet"/>
        <w:spacing w:after="40"/>
      </w:pPr>
      <w:r>
        <w:rPr>
          <w:sz w:val="18"/>
        </w:rPr>
        <w:t>Retry transient provider failures with backoff and rate-limit awareness.</w:t>
      </w:r>
    </w:p>
    <w:p>
      <w:pPr>
        <w:pStyle w:val="ListBullet"/>
        <w:spacing w:after="40"/>
      </w:pPr>
      <w:r>
        <w:rPr>
          <w:sz w:val="18"/>
        </w:rPr>
        <w:t>Do not repeatedly call the provider in a way that violates plan limits or risks account suspension.</w:t>
      </w:r>
    </w:p>
    <w:p>
      <w:pPr>
        <w:pStyle w:val="ListBullet"/>
        <w:spacing w:after="40"/>
      </w:pPr>
      <w:r>
        <w:rPr>
          <w:sz w:val="18"/>
        </w:rPr>
        <w:t>Alert administrators when synchronization fails, returns unexpected schema changes, or produces conflicting score updates.</w:t>
      </w:r>
    </w:p>
    <w:p>
      <w:pPr>
        <w:pStyle w:val="ListBullet"/>
        <w:spacing w:after="40"/>
      </w:pPr>
      <w:r>
        <w:rPr>
          <w:sz w:val="18"/>
        </w:rPr>
        <w:t>Allow manual result entry with reason and source evidence when provider data is unavailable.</w:t>
      </w:r>
    </w:p>
    <w:p>
      <w:pPr>
        <w:pStyle w:val="ListBullet"/>
        <w:spacing w:after="40"/>
      </w:pPr>
      <w:r>
        <w:rPr>
          <w:sz w:val="18"/>
        </w:rPr>
        <w:t>Support recalculation after delayed or corrected data is approved.</w:t>
      </w:r>
    </w:p>
    <w:p>
      <w:pPr>
        <w:pStyle w:val="ListBullet"/>
        <w:spacing w:after="40"/>
      </w:pPr>
      <w:r>
        <w:rPr>
          <w:sz w:val="18"/>
        </w:rPr>
        <w:t>Keep integration runs idempotent so reruns do not duplicate matches, teams, or results.</w:t>
      </w:r>
    </w:p>
    <w:p>
      <w:pPr>
        <w:pStyle w:val="Heading1"/>
        <w:spacing w:before="240" w:after="100"/>
      </w:pPr>
      <w:r>
        <w:t>11. Security and Privacy Architecture</w:t>
      </w:r>
    </w:p>
    <w:p>
      <w:pPr>
        <w:pStyle w:val="Heading2"/>
        <w:spacing w:before="240" w:after="100"/>
      </w:pPr>
      <w:r>
        <w:t>11.1 Access Control Requirements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tblHeader w:val="true"/>
        </w:trPr>
        <w:tc>
          <w:tcPr>
            <w:tcW w:type="dxa" w:w="2880"/>
            <w:shd w:fill="1F4E79"/>
            <w:tcMar>
              <w:top w:w="80" w:type="dxa"/>
              <w:start w:w="80" w:type="dxa"/>
              <w:bottom w:w="80" w:type="dxa"/>
              <w:end w:w="80" w:type="dxa"/>
            </w:tcMar>
            <w:vAlign w:val="center"/>
          </w:tcPr>
          <w:p>
            <w:pPr>
              <w:jc w:val="center"/>
            </w:pPr>
            <w:r>
              <w:rPr>
                <w:b/>
                <w:color w:val="FFFFFF"/>
                <w:sz w:val="16"/>
              </w:rPr>
              <w:t>Control</w:t>
            </w:r>
          </w:p>
        </w:tc>
        <w:tc>
          <w:tcPr>
            <w:tcW w:type="dxa" w:w="7776"/>
            <w:shd w:fill="1F4E79"/>
            <w:tcMar>
              <w:top w:w="80" w:type="dxa"/>
              <w:start w:w="80" w:type="dxa"/>
              <w:bottom w:w="80" w:type="dxa"/>
              <w:end w:w="80" w:type="dxa"/>
            </w:tcMar>
            <w:vAlign w:val="center"/>
          </w:tcPr>
          <w:p>
            <w:pPr>
              <w:jc w:val="center"/>
            </w:pPr>
            <w:r>
              <w:rPr>
                <w:b/>
                <w:color w:val="FFFFFF"/>
                <w:sz w:val="16"/>
              </w:rPr>
              <w:t>Requirement</w:t>
            </w:r>
          </w:p>
        </w:tc>
      </w:tr>
      <w:tr>
        <w:tc>
          <w:tcPr>
            <w:tcW w:type="dxa" w:w="2880"/>
            <w:tcMar>
              <w:top w:w="70" w:type="dxa"/>
              <w:start w:w="70" w:type="dxa"/>
              <w:bottom w:w="70" w:type="dxa"/>
              <w:end w:w="70" w:type="dxa"/>
            </w:tcMar>
            <w:vAlign w:val="top"/>
          </w:tcPr>
          <w:p>
            <w:pPr>
              <w:spacing w:after="20" w:line="252" w:lineRule="auto"/>
            </w:pPr>
            <w:r>
              <w:rPr>
                <w:sz w:val="16"/>
              </w:rPr>
              <w:t>Authentication</w:t>
            </w:r>
          </w:p>
        </w:tc>
        <w:tc>
          <w:tcPr>
            <w:tcW w:type="dxa" w:w="7776"/>
            <w:tcMar>
              <w:top w:w="70" w:type="dxa"/>
              <w:start w:w="70" w:type="dxa"/>
              <w:bottom w:w="70" w:type="dxa"/>
              <w:end w:w="70" w:type="dxa"/>
            </w:tcMar>
            <w:vAlign w:val="top"/>
          </w:tcPr>
          <w:p>
            <w:pPr>
              <w:spacing w:after="20" w:line="252" w:lineRule="auto"/>
            </w:pPr>
            <w:r>
              <w:rPr>
                <w:sz w:val="16"/>
              </w:rPr>
              <w:t>Users must authenticate through an approved corporate identity boundary. The application should not store local passwords for participants.</w:t>
            </w:r>
          </w:p>
        </w:tc>
      </w:tr>
      <w:tr>
        <w:tc>
          <w:tcPr>
            <w:tcW w:type="dxa" w:w="2880"/>
            <w:tcMar>
              <w:top w:w="70" w:type="dxa"/>
              <w:start w:w="70" w:type="dxa"/>
              <w:bottom w:w="70" w:type="dxa"/>
              <w:end w:w="70" w:type="dxa"/>
            </w:tcMar>
            <w:vAlign w:val="top"/>
          </w:tcPr>
          <w:p>
            <w:pPr>
              <w:spacing w:after="20" w:line="252" w:lineRule="auto"/>
            </w:pPr>
            <w:r>
              <w:rPr>
                <w:sz w:val="16"/>
              </w:rPr>
              <w:t>Domain eligibility</w:t>
            </w:r>
          </w:p>
        </w:tc>
        <w:tc>
          <w:tcPr>
            <w:tcW w:type="dxa" w:w="7776"/>
            <w:tcMar>
              <w:top w:w="70" w:type="dxa"/>
              <w:start w:w="70" w:type="dxa"/>
              <w:bottom w:w="70" w:type="dxa"/>
              <w:end w:w="70" w:type="dxa"/>
            </w:tcMar>
            <w:vAlign w:val="top"/>
          </w:tcPr>
          <w:p>
            <w:pPr>
              <w:spacing w:after="20" w:line="252" w:lineRule="auto"/>
            </w:pPr>
            <w:r>
              <w:rPr>
                <w:sz w:val="16"/>
              </w:rPr>
              <w:t>The system must validate that the authenticated user belongs to an approved Nortal domain or approved Nortal tenant before allowing access.</w:t>
            </w:r>
          </w:p>
        </w:tc>
      </w:tr>
      <w:tr>
        <w:tc>
          <w:tcPr>
            <w:tcW w:type="dxa" w:w="2880"/>
            <w:tcMar>
              <w:top w:w="70" w:type="dxa"/>
              <w:start w:w="70" w:type="dxa"/>
              <w:bottom w:w="70" w:type="dxa"/>
              <w:end w:w="70" w:type="dxa"/>
            </w:tcMar>
            <w:vAlign w:val="top"/>
          </w:tcPr>
          <w:p>
            <w:pPr>
              <w:spacing w:after="20" w:line="252" w:lineRule="auto"/>
            </w:pPr>
            <w:r>
              <w:rPr>
                <w:sz w:val="16"/>
              </w:rPr>
              <w:t>Authorization</w:t>
            </w:r>
          </w:p>
        </w:tc>
        <w:tc>
          <w:tcPr>
            <w:tcW w:type="dxa" w:w="7776"/>
            <w:tcMar>
              <w:top w:w="70" w:type="dxa"/>
              <w:start w:w="70" w:type="dxa"/>
              <w:bottom w:w="70" w:type="dxa"/>
              <w:end w:w="70" w:type="dxa"/>
            </w:tcMar>
            <w:vAlign w:val="top"/>
          </w:tcPr>
          <w:p>
            <w:pPr>
              <w:spacing w:after="20" w:line="252" w:lineRule="auto"/>
            </w:pPr>
            <w:r>
              <w:rPr>
                <w:sz w:val="16"/>
              </w:rPr>
              <w:t>Roles must separate participants, administrators, support/audit readers, and system integration accounts.</w:t>
            </w:r>
          </w:p>
        </w:tc>
      </w:tr>
      <w:tr>
        <w:tc>
          <w:tcPr>
            <w:tcW w:type="dxa" w:w="2880"/>
            <w:tcMar>
              <w:top w:w="70" w:type="dxa"/>
              <w:start w:w="70" w:type="dxa"/>
              <w:bottom w:w="70" w:type="dxa"/>
              <w:end w:w="70" w:type="dxa"/>
            </w:tcMar>
            <w:vAlign w:val="top"/>
          </w:tcPr>
          <w:p>
            <w:pPr>
              <w:spacing w:after="20" w:line="252" w:lineRule="auto"/>
            </w:pPr>
            <w:r>
              <w:rPr>
                <w:sz w:val="16"/>
              </w:rPr>
              <w:t>Server-side enforcement</w:t>
            </w:r>
          </w:p>
        </w:tc>
        <w:tc>
          <w:tcPr>
            <w:tcW w:type="dxa" w:w="7776"/>
            <w:tcMar>
              <w:top w:w="70" w:type="dxa"/>
              <w:start w:w="70" w:type="dxa"/>
              <w:bottom w:w="70" w:type="dxa"/>
              <w:end w:w="70" w:type="dxa"/>
            </w:tcMar>
            <w:vAlign w:val="top"/>
          </w:tcPr>
          <w:p>
            <w:pPr>
              <w:spacing w:after="20" w:line="252" w:lineRule="auto"/>
            </w:pPr>
            <w:r>
              <w:rPr>
                <w:sz w:val="16"/>
              </w:rPr>
              <w:t>All business-critical access rules must be enforced server-side, not only through UI visibility.</w:t>
            </w:r>
          </w:p>
        </w:tc>
      </w:tr>
      <w:tr>
        <w:tc>
          <w:tcPr>
            <w:tcW w:type="dxa" w:w="2880"/>
            <w:tcMar>
              <w:top w:w="70" w:type="dxa"/>
              <w:start w:w="70" w:type="dxa"/>
              <w:bottom w:w="70" w:type="dxa"/>
              <w:end w:w="70" w:type="dxa"/>
            </w:tcMar>
            <w:vAlign w:val="top"/>
          </w:tcPr>
          <w:p>
            <w:pPr>
              <w:spacing w:after="20" w:line="252" w:lineRule="auto"/>
            </w:pPr>
            <w:r>
              <w:rPr>
                <w:sz w:val="16"/>
              </w:rPr>
              <w:t>Session controls</w:t>
            </w:r>
          </w:p>
        </w:tc>
        <w:tc>
          <w:tcPr>
            <w:tcW w:type="dxa" w:w="7776"/>
            <w:tcMar>
              <w:top w:w="70" w:type="dxa"/>
              <w:start w:w="70" w:type="dxa"/>
              <w:bottom w:w="70" w:type="dxa"/>
              <w:end w:w="70" w:type="dxa"/>
            </w:tcMar>
            <w:vAlign w:val="top"/>
          </w:tcPr>
          <w:p>
            <w:pPr>
              <w:spacing w:after="20" w:line="252" w:lineRule="auto"/>
            </w:pPr>
            <w:r>
              <w:rPr>
                <w:sz w:val="16"/>
              </w:rPr>
              <w:t>Sessions should follow corporate policy for expiration, refresh, revocation, and inactivity timeout.</w:t>
            </w:r>
          </w:p>
        </w:tc>
      </w:tr>
      <w:tr>
        <w:tc>
          <w:tcPr>
            <w:tcW w:type="dxa" w:w="2880"/>
            <w:tcMar>
              <w:top w:w="70" w:type="dxa"/>
              <w:start w:w="70" w:type="dxa"/>
              <w:bottom w:w="70" w:type="dxa"/>
              <w:end w:w="70" w:type="dxa"/>
            </w:tcMar>
            <w:vAlign w:val="top"/>
          </w:tcPr>
          <w:p>
            <w:pPr>
              <w:spacing w:after="20" w:line="252" w:lineRule="auto"/>
            </w:pPr>
            <w:r>
              <w:rPr>
                <w:sz w:val="16"/>
              </w:rPr>
              <w:t>Least privilege</w:t>
            </w:r>
          </w:p>
        </w:tc>
        <w:tc>
          <w:tcPr>
            <w:tcW w:type="dxa" w:w="7776"/>
            <w:tcMar>
              <w:top w:w="70" w:type="dxa"/>
              <w:start w:w="70" w:type="dxa"/>
              <w:bottom w:w="70" w:type="dxa"/>
              <w:end w:w="70" w:type="dxa"/>
            </w:tcMar>
            <w:vAlign w:val="top"/>
          </w:tcPr>
          <w:p>
            <w:pPr>
              <w:spacing w:after="20" w:line="252" w:lineRule="auto"/>
            </w:pPr>
            <w:r>
              <w:rPr>
                <w:sz w:val="16"/>
              </w:rPr>
              <w:t>Integration credentials and administrative permissions must have the minimum access required.</w:t>
            </w:r>
          </w:p>
        </w:tc>
      </w:tr>
      <w:tr>
        <w:tc>
          <w:tcPr>
            <w:tcW w:type="dxa" w:w="2880"/>
            <w:tcMar>
              <w:top w:w="70" w:type="dxa"/>
              <w:start w:w="70" w:type="dxa"/>
              <w:bottom w:w="70" w:type="dxa"/>
              <w:end w:w="70" w:type="dxa"/>
            </w:tcMar>
            <w:vAlign w:val="top"/>
          </w:tcPr>
          <w:p>
            <w:pPr>
              <w:spacing w:after="20" w:line="252" w:lineRule="auto"/>
            </w:pPr>
            <w:r>
              <w:rPr>
                <w:sz w:val="16"/>
              </w:rPr>
              <w:t>Audit</w:t>
            </w:r>
          </w:p>
        </w:tc>
        <w:tc>
          <w:tcPr>
            <w:tcW w:type="dxa" w:w="7776"/>
            <w:tcMar>
              <w:top w:w="70" w:type="dxa"/>
              <w:start w:w="70" w:type="dxa"/>
              <w:bottom w:w="70" w:type="dxa"/>
              <w:end w:w="70" w:type="dxa"/>
            </w:tcMar>
            <w:vAlign w:val="top"/>
          </w:tcPr>
          <w:p>
            <w:pPr>
              <w:spacing w:after="20" w:line="252" w:lineRule="auto"/>
            </w:pPr>
            <w:r>
              <w:rPr>
                <w:sz w:val="16"/>
              </w:rPr>
              <w:t>Authentication failures, domain rejections, administrative actions, prediction edits, score recalculations, and data corrections must be auditable.</w:t>
            </w:r>
          </w:p>
        </w:tc>
      </w:tr>
    </w:tbl>
    <w:p>
      <w:pPr>
        <w:pStyle w:val="Heading2"/>
        <w:spacing w:before="240" w:after="100"/>
      </w:pPr>
      <w:r>
        <w:t>11.2 Domain Restriction Model</w:t>
      </w:r>
    </w:p>
    <w:p>
      <w:pPr>
        <w:keepLines w:val="0"/>
        <w:spacing w:after="120"/>
      </w:pPr>
      <w:r>
        <w:rPr>
          <w:b w:val="0"/>
          <w:i w:val="0"/>
        </w:rPr>
        <w:t>The domain restriction should be enforced in multiple layers to avoid bypass scenarios:</w:t>
      </w:r>
    </w:p>
    <w:p>
      <w:pPr>
        <w:pStyle w:val="ListNumber"/>
        <w:spacing w:after="40"/>
      </w:pPr>
      <w:r>
        <w:rPr>
          <w:sz w:val="18"/>
        </w:rPr>
        <w:t>Identity policy: restrict eligible sign-in where the corporate identity platform supports it.</w:t>
      </w:r>
    </w:p>
    <w:p>
      <w:pPr>
        <w:pStyle w:val="ListNumber"/>
        <w:spacing w:after="40"/>
      </w:pPr>
      <w:r>
        <w:rPr>
          <w:sz w:val="18"/>
        </w:rPr>
        <w:t>Application authorization: validate the authenticated user's normalized email domain or tenant claim on every session and sensitive operation.</w:t>
      </w:r>
    </w:p>
    <w:p>
      <w:pPr>
        <w:pStyle w:val="ListNumber"/>
        <w:spacing w:after="40"/>
      </w:pPr>
      <w:r>
        <w:rPr>
          <w:sz w:val="18"/>
        </w:rPr>
        <w:t>Registration guard: do not create participant profiles for external domains.</w:t>
      </w:r>
    </w:p>
    <w:p>
      <w:pPr>
        <w:pStyle w:val="ListNumber"/>
        <w:spacing w:after="40"/>
      </w:pPr>
      <w:r>
        <w:rPr>
          <w:sz w:val="18"/>
        </w:rPr>
        <w:t>API guard: reject direct API attempts from ineligible identities.</w:t>
      </w:r>
    </w:p>
    <w:p>
      <w:pPr>
        <w:pStyle w:val="ListNumber"/>
        <w:spacing w:after="40"/>
      </w:pPr>
      <w:r>
        <w:rPr>
          <w:sz w:val="18"/>
        </w:rPr>
        <w:t>Administrative report: log and surface rejected access attempts for security review if required by policy.</w:t>
      </w:r>
    </w:p>
    <w:p>
      <w:pPr>
        <w:pStyle w:val="Heading2"/>
        <w:spacing w:before="240" w:after="100"/>
      </w:pPr>
      <w:r>
        <w:t>11.3 Privacy and Data Minimization</w:t>
      </w:r>
    </w:p>
    <w:p>
      <w:pPr>
        <w:pStyle w:val="ListBullet"/>
        <w:spacing w:after="40"/>
      </w:pPr>
      <w:r>
        <w:rPr>
          <w:sz w:val="18"/>
        </w:rPr>
        <w:t>Store only the participant data needed for the prediction pool, such as corporate email, display name, and optional region or office if approved.</w:t>
      </w:r>
    </w:p>
    <w:p>
      <w:pPr>
        <w:pStyle w:val="ListBullet"/>
        <w:spacing w:after="40"/>
      </w:pPr>
      <w:r>
        <w:rPr>
          <w:sz w:val="18"/>
        </w:rPr>
        <w:t>Do not import sensitive HR attributes, performance data, personal addresses, compensation, or private demographic attributes.</w:t>
      </w:r>
    </w:p>
    <w:p>
      <w:pPr>
        <w:pStyle w:val="ListBullet"/>
        <w:spacing w:after="40"/>
      </w:pPr>
      <w:r>
        <w:rPr>
          <w:sz w:val="18"/>
        </w:rPr>
        <w:t>Leaderboard visibility rules should be communicated before launch. For example, display name and points may be visible to all participants, while email may be hidden or limited to administrators.</w:t>
      </w:r>
    </w:p>
    <w:p>
      <w:pPr>
        <w:pStyle w:val="ListBullet"/>
        <w:spacing w:after="40"/>
      </w:pPr>
      <w:r>
        <w:rPr>
          <w:sz w:val="18"/>
        </w:rPr>
        <w:t>Define retention rules for predictions, scores, and audit logs after the tournament ends.</w:t>
      </w:r>
    </w:p>
    <w:p>
      <w:pPr>
        <w:pStyle w:val="ListBullet"/>
        <w:spacing w:after="40"/>
      </w:pPr>
      <w:r>
        <w:rPr>
          <w:sz w:val="18"/>
        </w:rPr>
        <w:t>Provide a clear privacy notice explaining what data is collected, why it is collected, who can see it, and how long it will be retained.</w:t>
      </w:r>
    </w:p>
    <w:p>
      <w:pPr>
        <w:pStyle w:val="Heading1"/>
        <w:spacing w:before="240" w:after="100"/>
      </w:pPr>
      <w:r>
        <w:t>12. Non-Functional Requirements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tblHeader w:val="true"/>
        </w:trPr>
        <w:tc>
          <w:tcPr>
            <w:tcW w:type="dxa" w:w="1080"/>
            <w:shd w:fill="1F4E79"/>
            <w:tcMar>
              <w:top w:w="80" w:type="dxa"/>
              <w:start w:w="80" w:type="dxa"/>
              <w:bottom w:w="80" w:type="dxa"/>
              <w:end w:w="80" w:type="dxa"/>
            </w:tcMar>
            <w:vAlign w:val="center"/>
          </w:tcPr>
          <w:p>
            <w:pPr>
              <w:jc w:val="center"/>
            </w:pPr>
            <w:r>
              <w:rPr>
                <w:b/>
                <w:color w:val="FFFFFF"/>
                <w:sz w:val="15"/>
              </w:rPr>
              <w:t>ID</w:t>
            </w:r>
          </w:p>
        </w:tc>
        <w:tc>
          <w:tcPr>
            <w:tcW w:type="dxa" w:w="2016"/>
            <w:shd w:fill="1F4E79"/>
            <w:tcMar>
              <w:top w:w="80" w:type="dxa"/>
              <w:start w:w="80" w:type="dxa"/>
              <w:bottom w:w="80" w:type="dxa"/>
              <w:end w:w="80" w:type="dxa"/>
            </w:tcMar>
            <w:vAlign w:val="center"/>
          </w:tcPr>
          <w:p>
            <w:pPr>
              <w:jc w:val="center"/>
            </w:pPr>
            <w:r>
              <w:rPr>
                <w:b/>
                <w:color w:val="FFFFFF"/>
                <w:sz w:val="15"/>
              </w:rPr>
              <w:t>Category</w:t>
            </w:r>
          </w:p>
        </w:tc>
        <w:tc>
          <w:tcPr>
            <w:tcW w:type="dxa" w:w="6624"/>
            <w:shd w:fill="1F4E79"/>
            <w:tcMar>
              <w:top w:w="80" w:type="dxa"/>
              <w:start w:w="80" w:type="dxa"/>
              <w:bottom w:w="80" w:type="dxa"/>
              <w:end w:w="80" w:type="dxa"/>
            </w:tcMar>
            <w:vAlign w:val="center"/>
          </w:tcPr>
          <w:p>
            <w:pPr>
              <w:jc w:val="center"/>
            </w:pPr>
            <w:r>
              <w:rPr>
                <w:b/>
                <w:color w:val="FFFFFF"/>
                <w:sz w:val="15"/>
              </w:rPr>
              <w:t>Requirement</w:t>
            </w:r>
          </w:p>
        </w:tc>
        <w:tc>
          <w:tcPr>
            <w:tcW w:type="dxa" w:w="1224"/>
            <w:shd w:fill="1F4E79"/>
            <w:tcMar>
              <w:top w:w="80" w:type="dxa"/>
              <w:start w:w="80" w:type="dxa"/>
              <w:bottom w:w="80" w:type="dxa"/>
              <w:end w:w="80" w:type="dxa"/>
            </w:tcMar>
            <w:vAlign w:val="center"/>
          </w:tcPr>
          <w:p>
            <w:pPr>
              <w:jc w:val="center"/>
            </w:pPr>
            <w:r>
              <w:rPr>
                <w:b/>
                <w:color w:val="FFFFFF"/>
                <w:sz w:val="15"/>
              </w:rPr>
              <w:t>Priority</w:t>
            </w:r>
          </w:p>
        </w:tc>
      </w:tr>
      <w:tr>
        <w:tc>
          <w:tcPr>
            <w:tcW w:type="dxa" w:w="1080"/>
            <w:tcMar>
              <w:top w:w="70" w:type="dxa"/>
              <w:start w:w="70" w:type="dxa"/>
              <w:bottom w:w="70" w:type="dxa"/>
              <w:end w:w="70" w:type="dxa"/>
            </w:tcMar>
            <w:vAlign w:val="top"/>
          </w:tcPr>
          <w:p>
            <w:pPr>
              <w:spacing w:after="20" w:line="252" w:lineRule="auto"/>
            </w:pPr>
            <w:r>
              <w:rPr>
                <w:sz w:val="15"/>
              </w:rPr>
              <w:t>NFR-001</w:t>
            </w:r>
          </w:p>
        </w:tc>
        <w:tc>
          <w:tcPr>
            <w:tcW w:type="dxa" w:w="2016"/>
            <w:tcMar>
              <w:top w:w="70" w:type="dxa"/>
              <w:start w:w="70" w:type="dxa"/>
              <w:bottom w:w="70" w:type="dxa"/>
              <w:end w:w="70" w:type="dxa"/>
            </w:tcMar>
            <w:vAlign w:val="top"/>
          </w:tcPr>
          <w:p>
            <w:pPr>
              <w:spacing w:after="20" w:line="252" w:lineRule="auto"/>
            </w:pPr>
            <w:r>
              <w:rPr>
                <w:sz w:val="15"/>
              </w:rPr>
              <w:t>Availability</w:t>
            </w:r>
          </w:p>
        </w:tc>
        <w:tc>
          <w:tcPr>
            <w:tcW w:type="dxa" w:w="6624"/>
            <w:tcMar>
              <w:top w:w="70" w:type="dxa"/>
              <w:start w:w="70" w:type="dxa"/>
              <w:bottom w:w="70" w:type="dxa"/>
              <w:end w:w="70" w:type="dxa"/>
            </w:tcMar>
            <w:vAlign w:val="top"/>
          </w:tcPr>
          <w:p>
            <w:pPr>
              <w:spacing w:after="20" w:line="252" w:lineRule="auto"/>
            </w:pPr>
            <w:r>
              <w:rPr>
                <w:sz w:val="15"/>
              </w:rPr>
              <w:t>The application should be available during key tournament windows, especially one to two hours before each match and shortly after matches end.</w:t>
            </w:r>
          </w:p>
        </w:tc>
        <w:tc>
          <w:tcPr>
            <w:tcW w:type="dxa" w:w="1224"/>
            <w:tcMar>
              <w:top w:w="70" w:type="dxa"/>
              <w:start w:w="70" w:type="dxa"/>
              <w:bottom w:w="70" w:type="dxa"/>
              <w:end w:w="70" w:type="dxa"/>
            </w:tcMar>
            <w:vAlign w:val="top"/>
          </w:tcPr>
          <w:p>
            <w:pPr>
              <w:spacing w:after="20" w:line="252" w:lineRule="auto"/>
            </w:pPr>
            <w:r>
              <w:rPr>
                <w:sz w:val="15"/>
              </w:rPr>
              <w:t>High</w:t>
            </w:r>
          </w:p>
        </w:tc>
      </w:tr>
      <w:tr>
        <w:tc>
          <w:tcPr>
            <w:tcW w:type="dxa" w:w="1080"/>
            <w:tcMar>
              <w:top w:w="70" w:type="dxa"/>
              <w:start w:w="70" w:type="dxa"/>
              <w:bottom w:w="70" w:type="dxa"/>
              <w:end w:w="70" w:type="dxa"/>
            </w:tcMar>
            <w:vAlign w:val="top"/>
          </w:tcPr>
          <w:p>
            <w:pPr>
              <w:spacing w:after="20" w:line="252" w:lineRule="auto"/>
            </w:pPr>
            <w:r>
              <w:rPr>
                <w:sz w:val="15"/>
              </w:rPr>
              <w:t>NFR-002</w:t>
            </w:r>
          </w:p>
        </w:tc>
        <w:tc>
          <w:tcPr>
            <w:tcW w:type="dxa" w:w="2016"/>
            <w:tcMar>
              <w:top w:w="70" w:type="dxa"/>
              <w:start w:w="70" w:type="dxa"/>
              <w:bottom w:w="70" w:type="dxa"/>
              <w:end w:w="70" w:type="dxa"/>
            </w:tcMar>
            <w:vAlign w:val="top"/>
          </w:tcPr>
          <w:p>
            <w:pPr>
              <w:spacing w:after="20" w:line="252" w:lineRule="auto"/>
            </w:pPr>
            <w:r>
              <w:rPr>
                <w:sz w:val="15"/>
              </w:rPr>
              <w:t>Performance</w:t>
            </w:r>
          </w:p>
        </w:tc>
        <w:tc>
          <w:tcPr>
            <w:tcW w:type="dxa" w:w="6624"/>
            <w:tcMar>
              <w:top w:w="70" w:type="dxa"/>
              <w:start w:w="70" w:type="dxa"/>
              <w:bottom w:w="70" w:type="dxa"/>
              <w:end w:w="70" w:type="dxa"/>
            </w:tcMar>
            <w:vAlign w:val="top"/>
          </w:tcPr>
          <w:p>
            <w:pPr>
              <w:spacing w:after="20" w:line="252" w:lineRule="auto"/>
            </w:pPr>
            <w:r>
              <w:rPr>
                <w:sz w:val="15"/>
              </w:rPr>
              <w:t>Common screens such as dashboard and leaderboard should load quickly under expected concurrent user traffic.</w:t>
            </w:r>
          </w:p>
        </w:tc>
        <w:tc>
          <w:tcPr>
            <w:tcW w:type="dxa" w:w="1224"/>
            <w:tcMar>
              <w:top w:w="70" w:type="dxa"/>
              <w:start w:w="70" w:type="dxa"/>
              <w:bottom w:w="70" w:type="dxa"/>
              <w:end w:w="70" w:type="dxa"/>
            </w:tcMar>
            <w:vAlign w:val="top"/>
          </w:tcPr>
          <w:p>
            <w:pPr>
              <w:spacing w:after="20" w:line="252" w:lineRule="auto"/>
            </w:pPr>
            <w:r>
              <w:rPr>
                <w:sz w:val="15"/>
              </w:rPr>
              <w:t>High</w:t>
            </w:r>
          </w:p>
        </w:tc>
      </w:tr>
      <w:tr>
        <w:tc>
          <w:tcPr>
            <w:tcW w:type="dxa" w:w="1080"/>
            <w:tcMar>
              <w:top w:w="70" w:type="dxa"/>
              <w:start w:w="70" w:type="dxa"/>
              <w:bottom w:w="70" w:type="dxa"/>
              <w:end w:w="70" w:type="dxa"/>
            </w:tcMar>
            <w:vAlign w:val="top"/>
          </w:tcPr>
          <w:p>
            <w:pPr>
              <w:spacing w:after="20" w:line="252" w:lineRule="auto"/>
            </w:pPr>
            <w:r>
              <w:rPr>
                <w:sz w:val="15"/>
              </w:rPr>
              <w:t>NFR-003</w:t>
            </w:r>
          </w:p>
        </w:tc>
        <w:tc>
          <w:tcPr>
            <w:tcW w:type="dxa" w:w="2016"/>
            <w:tcMar>
              <w:top w:w="70" w:type="dxa"/>
              <w:start w:w="70" w:type="dxa"/>
              <w:bottom w:w="70" w:type="dxa"/>
              <w:end w:w="70" w:type="dxa"/>
            </w:tcMar>
            <w:vAlign w:val="top"/>
          </w:tcPr>
          <w:p>
            <w:pPr>
              <w:spacing w:after="20" w:line="252" w:lineRule="auto"/>
            </w:pPr>
            <w:r>
              <w:rPr>
                <w:sz w:val="15"/>
              </w:rPr>
              <w:t>Scalability</w:t>
            </w:r>
          </w:p>
        </w:tc>
        <w:tc>
          <w:tcPr>
            <w:tcW w:type="dxa" w:w="6624"/>
            <w:tcMar>
              <w:top w:w="70" w:type="dxa"/>
              <w:start w:w="70" w:type="dxa"/>
              <w:bottom w:w="70" w:type="dxa"/>
              <w:end w:w="70" w:type="dxa"/>
            </w:tcMar>
            <w:vAlign w:val="top"/>
          </w:tcPr>
          <w:p>
            <w:pPr>
              <w:spacing w:after="20" w:line="252" w:lineRule="auto"/>
            </w:pPr>
            <w:r>
              <w:rPr>
                <w:sz w:val="15"/>
              </w:rPr>
              <w:t>The architecture should handle spikes before lock deadlines without losing predictions or allowing late edits.</w:t>
            </w:r>
          </w:p>
        </w:tc>
        <w:tc>
          <w:tcPr>
            <w:tcW w:type="dxa" w:w="1224"/>
            <w:tcMar>
              <w:top w:w="70" w:type="dxa"/>
              <w:start w:w="70" w:type="dxa"/>
              <w:bottom w:w="70" w:type="dxa"/>
              <w:end w:w="70" w:type="dxa"/>
            </w:tcMar>
            <w:vAlign w:val="top"/>
          </w:tcPr>
          <w:p>
            <w:pPr>
              <w:spacing w:after="20" w:line="252" w:lineRule="auto"/>
            </w:pPr>
            <w:r>
              <w:rPr>
                <w:sz w:val="15"/>
              </w:rPr>
              <w:t>High</w:t>
            </w:r>
          </w:p>
        </w:tc>
      </w:tr>
      <w:tr>
        <w:tc>
          <w:tcPr>
            <w:tcW w:type="dxa" w:w="1080"/>
            <w:tcMar>
              <w:top w:w="70" w:type="dxa"/>
              <w:start w:w="70" w:type="dxa"/>
              <w:bottom w:w="70" w:type="dxa"/>
              <w:end w:w="70" w:type="dxa"/>
            </w:tcMar>
            <w:vAlign w:val="top"/>
          </w:tcPr>
          <w:p>
            <w:pPr>
              <w:spacing w:after="20" w:line="252" w:lineRule="auto"/>
            </w:pPr>
            <w:r>
              <w:rPr>
                <w:sz w:val="15"/>
              </w:rPr>
              <w:t>NFR-004</w:t>
            </w:r>
          </w:p>
        </w:tc>
        <w:tc>
          <w:tcPr>
            <w:tcW w:type="dxa" w:w="2016"/>
            <w:tcMar>
              <w:top w:w="70" w:type="dxa"/>
              <w:start w:w="70" w:type="dxa"/>
              <w:bottom w:w="70" w:type="dxa"/>
              <w:end w:w="70" w:type="dxa"/>
            </w:tcMar>
            <w:vAlign w:val="top"/>
          </w:tcPr>
          <w:p>
            <w:pPr>
              <w:spacing w:after="20" w:line="252" w:lineRule="auto"/>
            </w:pPr>
            <w:r>
              <w:rPr>
                <w:sz w:val="15"/>
              </w:rPr>
              <w:t>Reliability</w:t>
            </w:r>
          </w:p>
        </w:tc>
        <w:tc>
          <w:tcPr>
            <w:tcW w:type="dxa" w:w="6624"/>
            <w:tcMar>
              <w:top w:w="70" w:type="dxa"/>
              <w:start w:w="70" w:type="dxa"/>
              <w:bottom w:w="70" w:type="dxa"/>
              <w:end w:w="70" w:type="dxa"/>
            </w:tcMar>
            <w:vAlign w:val="top"/>
          </w:tcPr>
          <w:p>
            <w:pPr>
              <w:spacing w:after="20" w:line="252" w:lineRule="auto"/>
            </w:pPr>
            <w:r>
              <w:rPr>
                <w:sz w:val="15"/>
              </w:rPr>
              <w:t>Prediction writes must be durable once confirmed to the user.</w:t>
            </w:r>
          </w:p>
        </w:tc>
        <w:tc>
          <w:tcPr>
            <w:tcW w:type="dxa" w:w="1224"/>
            <w:tcMar>
              <w:top w:w="70" w:type="dxa"/>
              <w:start w:w="70" w:type="dxa"/>
              <w:bottom w:w="70" w:type="dxa"/>
              <w:end w:w="70" w:type="dxa"/>
            </w:tcMar>
            <w:vAlign w:val="top"/>
          </w:tcPr>
          <w:p>
            <w:pPr>
              <w:spacing w:after="20" w:line="252" w:lineRule="auto"/>
            </w:pPr>
            <w:r>
              <w:rPr>
                <w:sz w:val="15"/>
              </w:rPr>
              <w:t>High</w:t>
            </w:r>
          </w:p>
        </w:tc>
      </w:tr>
      <w:tr>
        <w:tc>
          <w:tcPr>
            <w:tcW w:type="dxa" w:w="1080"/>
            <w:tcMar>
              <w:top w:w="70" w:type="dxa"/>
              <w:start w:w="70" w:type="dxa"/>
              <w:bottom w:w="70" w:type="dxa"/>
              <w:end w:w="70" w:type="dxa"/>
            </w:tcMar>
            <w:vAlign w:val="top"/>
          </w:tcPr>
          <w:p>
            <w:pPr>
              <w:spacing w:after="20" w:line="252" w:lineRule="auto"/>
            </w:pPr>
            <w:r>
              <w:rPr>
                <w:sz w:val="15"/>
              </w:rPr>
              <w:t>NFR-005</w:t>
            </w:r>
          </w:p>
        </w:tc>
        <w:tc>
          <w:tcPr>
            <w:tcW w:type="dxa" w:w="2016"/>
            <w:tcMar>
              <w:top w:w="70" w:type="dxa"/>
              <w:start w:w="70" w:type="dxa"/>
              <w:bottom w:w="70" w:type="dxa"/>
              <w:end w:w="70" w:type="dxa"/>
            </w:tcMar>
            <w:vAlign w:val="top"/>
          </w:tcPr>
          <w:p>
            <w:pPr>
              <w:spacing w:after="20" w:line="252" w:lineRule="auto"/>
            </w:pPr>
            <w:r>
              <w:rPr>
                <w:sz w:val="15"/>
              </w:rPr>
              <w:t>Consistency</w:t>
            </w:r>
          </w:p>
        </w:tc>
        <w:tc>
          <w:tcPr>
            <w:tcW w:type="dxa" w:w="6624"/>
            <w:tcMar>
              <w:top w:w="70" w:type="dxa"/>
              <w:start w:w="70" w:type="dxa"/>
              <w:bottom w:w="70" w:type="dxa"/>
              <w:end w:w="70" w:type="dxa"/>
            </w:tcMar>
            <w:vAlign w:val="top"/>
          </w:tcPr>
          <w:p>
            <w:pPr>
              <w:spacing w:after="20" w:line="252" w:lineRule="auto"/>
            </w:pPr>
            <w:r>
              <w:rPr>
                <w:sz w:val="15"/>
              </w:rPr>
              <w:t>Lock rules and scores must be consistent across users, devices, and sessions.</w:t>
            </w:r>
          </w:p>
        </w:tc>
        <w:tc>
          <w:tcPr>
            <w:tcW w:type="dxa" w:w="1224"/>
            <w:tcMar>
              <w:top w:w="70" w:type="dxa"/>
              <w:start w:w="70" w:type="dxa"/>
              <w:bottom w:w="70" w:type="dxa"/>
              <w:end w:w="70" w:type="dxa"/>
            </w:tcMar>
            <w:vAlign w:val="top"/>
          </w:tcPr>
          <w:p>
            <w:pPr>
              <w:spacing w:after="20" w:line="252" w:lineRule="auto"/>
            </w:pPr>
            <w:r>
              <w:rPr>
                <w:sz w:val="15"/>
              </w:rPr>
              <w:t>High</w:t>
            </w:r>
          </w:p>
        </w:tc>
      </w:tr>
      <w:tr>
        <w:tc>
          <w:tcPr>
            <w:tcW w:type="dxa" w:w="1080"/>
            <w:tcMar>
              <w:top w:w="70" w:type="dxa"/>
              <w:start w:w="70" w:type="dxa"/>
              <w:bottom w:w="70" w:type="dxa"/>
              <w:end w:w="70" w:type="dxa"/>
            </w:tcMar>
            <w:vAlign w:val="top"/>
          </w:tcPr>
          <w:p>
            <w:pPr>
              <w:spacing w:after="20" w:line="252" w:lineRule="auto"/>
            </w:pPr>
            <w:r>
              <w:rPr>
                <w:sz w:val="15"/>
              </w:rPr>
              <w:t>NFR-006</w:t>
            </w:r>
          </w:p>
        </w:tc>
        <w:tc>
          <w:tcPr>
            <w:tcW w:type="dxa" w:w="2016"/>
            <w:tcMar>
              <w:top w:w="70" w:type="dxa"/>
              <w:start w:w="70" w:type="dxa"/>
              <w:bottom w:w="70" w:type="dxa"/>
              <w:end w:w="70" w:type="dxa"/>
            </w:tcMar>
            <w:vAlign w:val="top"/>
          </w:tcPr>
          <w:p>
            <w:pPr>
              <w:spacing w:after="20" w:line="252" w:lineRule="auto"/>
            </w:pPr>
            <w:r>
              <w:rPr>
                <w:sz w:val="15"/>
              </w:rPr>
              <w:t>Security</w:t>
            </w:r>
          </w:p>
        </w:tc>
        <w:tc>
          <w:tcPr>
            <w:tcW w:type="dxa" w:w="6624"/>
            <w:tcMar>
              <w:top w:w="70" w:type="dxa"/>
              <w:start w:w="70" w:type="dxa"/>
              <w:bottom w:w="70" w:type="dxa"/>
              <w:end w:w="70" w:type="dxa"/>
            </w:tcMar>
            <w:vAlign w:val="top"/>
          </w:tcPr>
          <w:p>
            <w:pPr>
              <w:spacing w:after="20" w:line="252" w:lineRule="auto"/>
            </w:pPr>
            <w:r>
              <w:rPr>
                <w:sz w:val="15"/>
              </w:rPr>
              <w:t>Unauthorized and external-domain access must be prevented and logged.</w:t>
            </w:r>
          </w:p>
        </w:tc>
        <w:tc>
          <w:tcPr>
            <w:tcW w:type="dxa" w:w="1224"/>
            <w:tcMar>
              <w:top w:w="70" w:type="dxa"/>
              <w:start w:w="70" w:type="dxa"/>
              <w:bottom w:w="70" w:type="dxa"/>
              <w:end w:w="70" w:type="dxa"/>
            </w:tcMar>
            <w:vAlign w:val="top"/>
          </w:tcPr>
          <w:p>
            <w:pPr>
              <w:spacing w:after="20" w:line="252" w:lineRule="auto"/>
            </w:pPr>
            <w:r>
              <w:rPr>
                <w:sz w:val="15"/>
              </w:rPr>
              <w:t>Critical</w:t>
            </w:r>
          </w:p>
        </w:tc>
      </w:tr>
      <w:tr>
        <w:tc>
          <w:tcPr>
            <w:tcW w:type="dxa" w:w="1080"/>
            <w:tcMar>
              <w:top w:w="70" w:type="dxa"/>
              <w:start w:w="70" w:type="dxa"/>
              <w:bottom w:w="70" w:type="dxa"/>
              <w:end w:w="70" w:type="dxa"/>
            </w:tcMar>
            <w:vAlign w:val="top"/>
          </w:tcPr>
          <w:p>
            <w:pPr>
              <w:spacing w:after="20" w:line="252" w:lineRule="auto"/>
            </w:pPr>
            <w:r>
              <w:rPr>
                <w:sz w:val="15"/>
              </w:rPr>
              <w:t>NFR-007</w:t>
            </w:r>
          </w:p>
        </w:tc>
        <w:tc>
          <w:tcPr>
            <w:tcW w:type="dxa" w:w="2016"/>
            <w:tcMar>
              <w:top w:w="70" w:type="dxa"/>
              <w:start w:w="70" w:type="dxa"/>
              <w:bottom w:w="70" w:type="dxa"/>
              <w:end w:w="70" w:type="dxa"/>
            </w:tcMar>
            <w:vAlign w:val="top"/>
          </w:tcPr>
          <w:p>
            <w:pPr>
              <w:spacing w:after="20" w:line="252" w:lineRule="auto"/>
            </w:pPr>
            <w:r>
              <w:rPr>
                <w:sz w:val="15"/>
              </w:rPr>
              <w:t>Auditability</w:t>
            </w:r>
          </w:p>
        </w:tc>
        <w:tc>
          <w:tcPr>
            <w:tcW w:type="dxa" w:w="6624"/>
            <w:tcMar>
              <w:top w:w="70" w:type="dxa"/>
              <w:start w:w="70" w:type="dxa"/>
              <w:bottom w:w="70" w:type="dxa"/>
              <w:end w:w="70" w:type="dxa"/>
            </w:tcMar>
            <w:vAlign w:val="top"/>
          </w:tcPr>
          <w:p>
            <w:pPr>
              <w:spacing w:after="20" w:line="252" w:lineRule="auto"/>
            </w:pPr>
            <w:r>
              <w:rPr>
                <w:sz w:val="15"/>
              </w:rPr>
              <w:t>The system must provide evidence for predictions, edits, locks, overrides, and scoring calculations.</w:t>
            </w:r>
          </w:p>
        </w:tc>
        <w:tc>
          <w:tcPr>
            <w:tcW w:type="dxa" w:w="1224"/>
            <w:tcMar>
              <w:top w:w="70" w:type="dxa"/>
              <w:start w:w="70" w:type="dxa"/>
              <w:bottom w:w="70" w:type="dxa"/>
              <w:end w:w="70" w:type="dxa"/>
            </w:tcMar>
            <w:vAlign w:val="top"/>
          </w:tcPr>
          <w:p>
            <w:pPr>
              <w:spacing w:after="20" w:line="252" w:lineRule="auto"/>
            </w:pPr>
            <w:r>
              <w:rPr>
                <w:sz w:val="15"/>
              </w:rPr>
              <w:t>High</w:t>
            </w:r>
          </w:p>
        </w:tc>
      </w:tr>
      <w:tr>
        <w:tc>
          <w:tcPr>
            <w:tcW w:type="dxa" w:w="1080"/>
            <w:tcMar>
              <w:top w:w="70" w:type="dxa"/>
              <w:start w:w="70" w:type="dxa"/>
              <w:bottom w:w="70" w:type="dxa"/>
              <w:end w:w="70" w:type="dxa"/>
            </w:tcMar>
            <w:vAlign w:val="top"/>
          </w:tcPr>
          <w:p>
            <w:pPr>
              <w:spacing w:after="20" w:line="252" w:lineRule="auto"/>
            </w:pPr>
            <w:r>
              <w:rPr>
                <w:sz w:val="15"/>
              </w:rPr>
              <w:t>NFR-008</w:t>
            </w:r>
          </w:p>
        </w:tc>
        <w:tc>
          <w:tcPr>
            <w:tcW w:type="dxa" w:w="2016"/>
            <w:tcMar>
              <w:top w:w="70" w:type="dxa"/>
              <w:start w:w="70" w:type="dxa"/>
              <w:bottom w:w="70" w:type="dxa"/>
              <w:end w:w="70" w:type="dxa"/>
            </w:tcMar>
            <w:vAlign w:val="top"/>
          </w:tcPr>
          <w:p>
            <w:pPr>
              <w:spacing w:after="20" w:line="252" w:lineRule="auto"/>
            </w:pPr>
            <w:r>
              <w:rPr>
                <w:sz w:val="15"/>
              </w:rPr>
              <w:t>Maintainability</w:t>
            </w:r>
          </w:p>
        </w:tc>
        <w:tc>
          <w:tcPr>
            <w:tcW w:type="dxa" w:w="6624"/>
            <w:tcMar>
              <w:top w:w="70" w:type="dxa"/>
              <w:start w:w="70" w:type="dxa"/>
              <w:bottom w:w="70" w:type="dxa"/>
              <w:end w:w="70" w:type="dxa"/>
            </w:tcMar>
            <w:vAlign w:val="top"/>
          </w:tcPr>
          <w:p>
            <w:pPr>
              <w:spacing w:after="20" w:line="252" w:lineRule="auto"/>
            </w:pPr>
            <w:r>
              <w:rPr>
                <w:sz w:val="15"/>
              </w:rPr>
              <w:t>Rules and scoring values should be configurable or isolated enough to change without broad UI rewrites.</w:t>
            </w:r>
          </w:p>
        </w:tc>
        <w:tc>
          <w:tcPr>
            <w:tcW w:type="dxa" w:w="1224"/>
            <w:tcMar>
              <w:top w:w="70" w:type="dxa"/>
              <w:start w:w="70" w:type="dxa"/>
              <w:bottom w:w="70" w:type="dxa"/>
              <w:end w:w="70" w:type="dxa"/>
            </w:tcMar>
            <w:vAlign w:val="top"/>
          </w:tcPr>
          <w:p>
            <w:pPr>
              <w:spacing w:after="20" w:line="252" w:lineRule="auto"/>
            </w:pPr>
            <w:r>
              <w:rPr>
                <w:sz w:val="15"/>
              </w:rPr>
              <w:t>Medium</w:t>
            </w:r>
          </w:p>
        </w:tc>
      </w:tr>
      <w:tr>
        <w:tc>
          <w:tcPr>
            <w:tcW w:type="dxa" w:w="1080"/>
            <w:tcMar>
              <w:top w:w="70" w:type="dxa"/>
              <w:start w:w="70" w:type="dxa"/>
              <w:bottom w:w="70" w:type="dxa"/>
              <w:end w:w="70" w:type="dxa"/>
            </w:tcMar>
            <w:vAlign w:val="top"/>
          </w:tcPr>
          <w:p>
            <w:pPr>
              <w:spacing w:after="20" w:line="252" w:lineRule="auto"/>
            </w:pPr>
            <w:r>
              <w:rPr>
                <w:sz w:val="15"/>
              </w:rPr>
              <w:t>NFR-009</w:t>
            </w:r>
          </w:p>
        </w:tc>
        <w:tc>
          <w:tcPr>
            <w:tcW w:type="dxa" w:w="2016"/>
            <w:tcMar>
              <w:top w:w="70" w:type="dxa"/>
              <w:start w:w="70" w:type="dxa"/>
              <w:bottom w:w="70" w:type="dxa"/>
              <w:end w:w="70" w:type="dxa"/>
            </w:tcMar>
            <w:vAlign w:val="top"/>
          </w:tcPr>
          <w:p>
            <w:pPr>
              <w:spacing w:after="20" w:line="252" w:lineRule="auto"/>
            </w:pPr>
            <w:r>
              <w:rPr>
                <w:sz w:val="15"/>
              </w:rPr>
              <w:t>Accessibility</w:t>
            </w:r>
          </w:p>
        </w:tc>
        <w:tc>
          <w:tcPr>
            <w:tcW w:type="dxa" w:w="6624"/>
            <w:tcMar>
              <w:top w:w="70" w:type="dxa"/>
              <w:start w:w="70" w:type="dxa"/>
              <w:bottom w:w="70" w:type="dxa"/>
              <w:end w:w="70" w:type="dxa"/>
            </w:tcMar>
            <w:vAlign w:val="top"/>
          </w:tcPr>
          <w:p>
            <w:pPr>
              <w:spacing w:after="20" w:line="252" w:lineRule="auto"/>
            </w:pPr>
            <w:r>
              <w:rPr>
                <w:sz w:val="15"/>
              </w:rPr>
              <w:t>The application should be usable with keyboard navigation, sufficient contrast, clear labels, and responsive layouts.</w:t>
            </w:r>
          </w:p>
        </w:tc>
        <w:tc>
          <w:tcPr>
            <w:tcW w:type="dxa" w:w="1224"/>
            <w:tcMar>
              <w:top w:w="70" w:type="dxa"/>
              <w:start w:w="70" w:type="dxa"/>
              <w:bottom w:w="70" w:type="dxa"/>
              <w:end w:w="70" w:type="dxa"/>
            </w:tcMar>
            <w:vAlign w:val="top"/>
          </w:tcPr>
          <w:p>
            <w:pPr>
              <w:spacing w:after="20" w:line="252" w:lineRule="auto"/>
            </w:pPr>
            <w:r>
              <w:rPr>
                <w:sz w:val="15"/>
              </w:rPr>
              <w:t>Medium</w:t>
            </w:r>
          </w:p>
        </w:tc>
      </w:tr>
      <w:tr>
        <w:tc>
          <w:tcPr>
            <w:tcW w:type="dxa" w:w="1080"/>
            <w:tcMar>
              <w:top w:w="70" w:type="dxa"/>
              <w:start w:w="70" w:type="dxa"/>
              <w:bottom w:w="70" w:type="dxa"/>
              <w:end w:w="70" w:type="dxa"/>
            </w:tcMar>
            <w:vAlign w:val="top"/>
          </w:tcPr>
          <w:p>
            <w:pPr>
              <w:spacing w:after="20" w:line="252" w:lineRule="auto"/>
            </w:pPr>
            <w:r>
              <w:rPr>
                <w:sz w:val="15"/>
              </w:rPr>
              <w:t>NFR-010</w:t>
            </w:r>
          </w:p>
        </w:tc>
        <w:tc>
          <w:tcPr>
            <w:tcW w:type="dxa" w:w="2016"/>
            <w:tcMar>
              <w:top w:w="70" w:type="dxa"/>
              <w:start w:w="70" w:type="dxa"/>
              <w:bottom w:w="70" w:type="dxa"/>
              <w:end w:w="70" w:type="dxa"/>
            </w:tcMar>
            <w:vAlign w:val="top"/>
          </w:tcPr>
          <w:p>
            <w:pPr>
              <w:spacing w:after="20" w:line="252" w:lineRule="auto"/>
            </w:pPr>
            <w:r>
              <w:rPr>
                <w:sz w:val="15"/>
              </w:rPr>
              <w:t>Localization</w:t>
            </w:r>
          </w:p>
        </w:tc>
        <w:tc>
          <w:tcPr>
            <w:tcW w:type="dxa" w:w="6624"/>
            <w:tcMar>
              <w:top w:w="70" w:type="dxa"/>
              <w:start w:w="70" w:type="dxa"/>
              <w:bottom w:w="70" w:type="dxa"/>
              <w:end w:w="70" w:type="dxa"/>
            </w:tcMar>
            <w:vAlign w:val="top"/>
          </w:tcPr>
          <w:p>
            <w:pPr>
              <w:spacing w:after="20" w:line="252" w:lineRule="auto"/>
            </w:pPr>
            <w:r>
              <w:rPr>
                <w:sz w:val="15"/>
              </w:rPr>
              <w:t>The architecture should allow English and Spanish labels or future localization if Nortal decides to support multiple regions.</w:t>
            </w:r>
          </w:p>
        </w:tc>
        <w:tc>
          <w:tcPr>
            <w:tcW w:type="dxa" w:w="1224"/>
            <w:tcMar>
              <w:top w:w="70" w:type="dxa"/>
              <w:start w:w="70" w:type="dxa"/>
              <w:bottom w:w="70" w:type="dxa"/>
              <w:end w:w="70" w:type="dxa"/>
            </w:tcMar>
            <w:vAlign w:val="top"/>
          </w:tcPr>
          <w:p>
            <w:pPr>
              <w:spacing w:after="20" w:line="252" w:lineRule="auto"/>
            </w:pPr>
            <w:r>
              <w:rPr>
                <w:sz w:val="15"/>
              </w:rPr>
              <w:t>Medium</w:t>
            </w:r>
          </w:p>
        </w:tc>
      </w:tr>
      <w:tr>
        <w:tc>
          <w:tcPr>
            <w:tcW w:type="dxa" w:w="1080"/>
            <w:tcMar>
              <w:top w:w="70" w:type="dxa"/>
              <w:start w:w="70" w:type="dxa"/>
              <w:bottom w:w="70" w:type="dxa"/>
              <w:end w:w="70" w:type="dxa"/>
            </w:tcMar>
            <w:vAlign w:val="top"/>
          </w:tcPr>
          <w:p>
            <w:pPr>
              <w:spacing w:after="20" w:line="252" w:lineRule="auto"/>
            </w:pPr>
            <w:r>
              <w:rPr>
                <w:sz w:val="15"/>
              </w:rPr>
              <w:t>NFR-011</w:t>
            </w:r>
          </w:p>
        </w:tc>
        <w:tc>
          <w:tcPr>
            <w:tcW w:type="dxa" w:w="2016"/>
            <w:tcMar>
              <w:top w:w="70" w:type="dxa"/>
              <w:start w:w="70" w:type="dxa"/>
              <w:bottom w:w="70" w:type="dxa"/>
              <w:end w:w="70" w:type="dxa"/>
            </w:tcMar>
            <w:vAlign w:val="top"/>
          </w:tcPr>
          <w:p>
            <w:pPr>
              <w:spacing w:after="20" w:line="252" w:lineRule="auto"/>
            </w:pPr>
            <w:r>
              <w:rPr>
                <w:sz w:val="15"/>
              </w:rPr>
              <w:t>Observability</w:t>
            </w:r>
          </w:p>
        </w:tc>
        <w:tc>
          <w:tcPr>
            <w:tcW w:type="dxa" w:w="6624"/>
            <w:tcMar>
              <w:top w:w="70" w:type="dxa"/>
              <w:start w:w="70" w:type="dxa"/>
              <w:bottom w:w="70" w:type="dxa"/>
              <w:end w:w="70" w:type="dxa"/>
            </w:tcMar>
            <w:vAlign w:val="top"/>
          </w:tcPr>
          <w:p>
            <w:pPr>
              <w:spacing w:after="20" w:line="252" w:lineRule="auto"/>
            </w:pPr>
            <w:r>
              <w:rPr>
                <w:sz w:val="15"/>
              </w:rPr>
              <w:t>Operational logs, metrics, and alerts should identify integration failures, scoring failures, and traffic anomalies.</w:t>
            </w:r>
          </w:p>
        </w:tc>
        <w:tc>
          <w:tcPr>
            <w:tcW w:type="dxa" w:w="1224"/>
            <w:tcMar>
              <w:top w:w="70" w:type="dxa"/>
              <w:start w:w="70" w:type="dxa"/>
              <w:bottom w:w="70" w:type="dxa"/>
              <w:end w:w="70" w:type="dxa"/>
            </w:tcMar>
            <w:vAlign w:val="top"/>
          </w:tcPr>
          <w:p>
            <w:pPr>
              <w:spacing w:after="20" w:line="252" w:lineRule="auto"/>
            </w:pPr>
            <w:r>
              <w:rPr>
                <w:sz w:val="15"/>
              </w:rPr>
              <w:t>High</w:t>
            </w:r>
          </w:p>
        </w:tc>
      </w:tr>
      <w:tr>
        <w:tc>
          <w:tcPr>
            <w:tcW w:type="dxa" w:w="1080"/>
            <w:tcMar>
              <w:top w:w="70" w:type="dxa"/>
              <w:start w:w="70" w:type="dxa"/>
              <w:bottom w:w="70" w:type="dxa"/>
              <w:end w:w="70" w:type="dxa"/>
            </w:tcMar>
            <w:vAlign w:val="top"/>
          </w:tcPr>
          <w:p>
            <w:pPr>
              <w:spacing w:after="20" w:line="252" w:lineRule="auto"/>
            </w:pPr>
            <w:r>
              <w:rPr>
                <w:sz w:val="15"/>
              </w:rPr>
              <w:t>NFR-012</w:t>
            </w:r>
          </w:p>
        </w:tc>
        <w:tc>
          <w:tcPr>
            <w:tcW w:type="dxa" w:w="2016"/>
            <w:tcMar>
              <w:top w:w="70" w:type="dxa"/>
              <w:start w:w="70" w:type="dxa"/>
              <w:bottom w:w="70" w:type="dxa"/>
              <w:end w:w="70" w:type="dxa"/>
            </w:tcMar>
            <w:vAlign w:val="top"/>
          </w:tcPr>
          <w:p>
            <w:pPr>
              <w:spacing w:after="20" w:line="252" w:lineRule="auto"/>
            </w:pPr>
            <w:r>
              <w:rPr>
                <w:sz w:val="15"/>
              </w:rPr>
              <w:t>Recoverability</w:t>
            </w:r>
          </w:p>
        </w:tc>
        <w:tc>
          <w:tcPr>
            <w:tcW w:type="dxa" w:w="6624"/>
            <w:tcMar>
              <w:top w:w="70" w:type="dxa"/>
              <w:start w:w="70" w:type="dxa"/>
              <w:bottom w:w="70" w:type="dxa"/>
              <w:end w:w="70" w:type="dxa"/>
            </w:tcMar>
            <w:vAlign w:val="top"/>
          </w:tcPr>
          <w:p>
            <w:pPr>
              <w:spacing w:after="20" w:line="252" w:lineRule="auto"/>
            </w:pPr>
            <w:r>
              <w:rPr>
                <w:sz w:val="15"/>
              </w:rPr>
              <w:t>Administrators should be able to recover from provider outages, incorrect results, and failed recalculation jobs.</w:t>
            </w:r>
          </w:p>
        </w:tc>
        <w:tc>
          <w:tcPr>
            <w:tcW w:type="dxa" w:w="1224"/>
            <w:tcMar>
              <w:top w:w="70" w:type="dxa"/>
              <w:start w:w="70" w:type="dxa"/>
              <w:bottom w:w="70" w:type="dxa"/>
              <w:end w:w="70" w:type="dxa"/>
            </w:tcMar>
            <w:vAlign w:val="top"/>
          </w:tcPr>
          <w:p>
            <w:pPr>
              <w:spacing w:after="20" w:line="252" w:lineRule="auto"/>
            </w:pPr>
            <w:r>
              <w:rPr>
                <w:sz w:val="15"/>
              </w:rPr>
              <w:t>High</w:t>
            </w:r>
          </w:p>
        </w:tc>
      </w:tr>
    </w:tbl>
    <w:p>
      <w:pPr>
        <w:pStyle w:val="Heading2"/>
        <w:spacing w:before="240" w:after="100"/>
      </w:pPr>
      <w:r>
        <w:t>12.1 Performance Targets to Validate During Design</w:t>
      </w:r>
    </w:p>
    <w:p>
      <w:pPr>
        <w:pStyle w:val="ListBullet"/>
        <w:spacing w:after="40"/>
      </w:pPr>
      <w:r>
        <w:rPr>
          <w:sz w:val="18"/>
        </w:rPr>
        <w:t>Prediction save operation should complete within an agreed target under normal load, for example two seconds or less for the user-facing confirmation path.</w:t>
      </w:r>
    </w:p>
    <w:p>
      <w:pPr>
        <w:pStyle w:val="ListBullet"/>
        <w:spacing w:after="40"/>
      </w:pPr>
      <w:r>
        <w:rPr>
          <w:sz w:val="18"/>
        </w:rPr>
        <w:t>Leaderboard pages should use caching, snapshots, or efficient aggregation to avoid expensive recalculation on every page load.</w:t>
      </w:r>
    </w:p>
    <w:p>
      <w:pPr>
        <w:pStyle w:val="ListBullet"/>
        <w:spacing w:after="40"/>
      </w:pPr>
      <w:r>
        <w:rPr>
          <w:sz w:val="18"/>
        </w:rPr>
        <w:t>Bulk score recalculation should be designed as a controlled background or administrative process rather than a user-blocking operation.</w:t>
      </w:r>
    </w:p>
    <w:p>
      <w:pPr>
        <w:pStyle w:val="ListBullet"/>
        <w:spacing w:after="40"/>
      </w:pPr>
      <w:r>
        <w:rPr>
          <w:sz w:val="18"/>
        </w:rPr>
        <w:t>The system should degrade gracefully if external data synchronization is delayed; users should still see existing predictions and previous leaderboard state.</w:t>
      </w:r>
    </w:p>
    <w:p>
      <w:pPr>
        <w:pStyle w:val="Heading1"/>
        <w:spacing w:before="240" w:after="100"/>
      </w:pPr>
      <w:r>
        <w:t>13. Administration, Operations, and Observability</w:t>
      </w:r>
    </w:p>
    <w:p>
      <w:pPr>
        <w:pStyle w:val="Heading2"/>
        <w:spacing w:before="240" w:after="100"/>
      </w:pPr>
      <w:r>
        <w:t>13.1 Administrative Capabilities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tblHeader w:val="true"/>
        </w:trPr>
        <w:tc>
          <w:tcPr>
            <w:tcW w:type="dxa" w:w="2880"/>
            <w:shd w:fill="1F4E79"/>
            <w:tcMar>
              <w:top w:w="80" w:type="dxa"/>
              <w:start w:w="80" w:type="dxa"/>
              <w:bottom w:w="80" w:type="dxa"/>
              <w:end w:w="80" w:type="dxa"/>
            </w:tcMar>
            <w:vAlign w:val="center"/>
          </w:tcPr>
          <w:p>
            <w:pPr>
              <w:jc w:val="center"/>
            </w:pPr>
            <w:r>
              <w:rPr>
                <w:b/>
                <w:color w:val="FFFFFF"/>
                <w:sz w:val="16"/>
              </w:rPr>
              <w:t>Capability</w:t>
            </w:r>
          </w:p>
        </w:tc>
        <w:tc>
          <w:tcPr>
            <w:tcW w:type="dxa" w:w="7776"/>
            <w:shd w:fill="1F4E79"/>
            <w:tcMar>
              <w:top w:w="80" w:type="dxa"/>
              <w:start w:w="80" w:type="dxa"/>
              <w:bottom w:w="80" w:type="dxa"/>
              <w:end w:w="80" w:type="dxa"/>
            </w:tcMar>
            <w:vAlign w:val="center"/>
          </w:tcPr>
          <w:p>
            <w:pPr>
              <w:jc w:val="center"/>
            </w:pPr>
            <w:r>
              <w:rPr>
                <w:b/>
                <w:color w:val="FFFFFF"/>
                <w:sz w:val="16"/>
              </w:rPr>
              <w:t>Description</w:t>
            </w:r>
          </w:p>
        </w:tc>
      </w:tr>
      <w:tr>
        <w:tc>
          <w:tcPr>
            <w:tcW w:type="dxa" w:w="2880"/>
            <w:tcMar>
              <w:top w:w="70" w:type="dxa"/>
              <w:start w:w="70" w:type="dxa"/>
              <w:bottom w:w="70" w:type="dxa"/>
              <w:end w:w="70" w:type="dxa"/>
            </w:tcMar>
            <w:vAlign w:val="top"/>
          </w:tcPr>
          <w:p>
            <w:pPr>
              <w:spacing w:after="20" w:line="252" w:lineRule="auto"/>
            </w:pPr>
            <w:r>
              <w:rPr>
                <w:sz w:val="16"/>
              </w:rPr>
              <w:t>Tournament configuration</w:t>
            </w:r>
          </w:p>
        </w:tc>
        <w:tc>
          <w:tcPr>
            <w:tcW w:type="dxa" w:w="7776"/>
            <w:tcMar>
              <w:top w:w="70" w:type="dxa"/>
              <w:start w:w="70" w:type="dxa"/>
              <w:bottom w:w="70" w:type="dxa"/>
              <w:end w:w="70" w:type="dxa"/>
            </w:tcMar>
            <w:vAlign w:val="top"/>
          </w:tcPr>
          <w:p>
            <w:pPr>
              <w:spacing w:after="20" w:line="252" w:lineRule="auto"/>
            </w:pPr>
            <w:r>
              <w:rPr>
                <w:sz w:val="16"/>
              </w:rPr>
              <w:t>Manage tournament start, lock window, scoring values, phases, and active status.</w:t>
            </w:r>
          </w:p>
        </w:tc>
      </w:tr>
      <w:tr>
        <w:tc>
          <w:tcPr>
            <w:tcW w:type="dxa" w:w="2880"/>
            <w:tcMar>
              <w:top w:w="70" w:type="dxa"/>
              <w:start w:w="70" w:type="dxa"/>
              <w:bottom w:w="70" w:type="dxa"/>
              <w:end w:w="70" w:type="dxa"/>
            </w:tcMar>
            <w:vAlign w:val="top"/>
          </w:tcPr>
          <w:p>
            <w:pPr>
              <w:spacing w:after="20" w:line="252" w:lineRule="auto"/>
            </w:pPr>
            <w:r>
              <w:rPr>
                <w:sz w:val="16"/>
              </w:rPr>
              <w:t>Allowed domains</w:t>
            </w:r>
          </w:p>
        </w:tc>
        <w:tc>
          <w:tcPr>
            <w:tcW w:type="dxa" w:w="7776"/>
            <w:tcMar>
              <w:top w:w="70" w:type="dxa"/>
              <w:start w:w="70" w:type="dxa"/>
              <w:bottom w:w="70" w:type="dxa"/>
              <w:end w:w="70" w:type="dxa"/>
            </w:tcMar>
            <w:vAlign w:val="top"/>
          </w:tcPr>
          <w:p>
            <w:pPr>
              <w:spacing w:after="20" w:line="252" w:lineRule="auto"/>
            </w:pPr>
            <w:r>
              <w:rPr>
                <w:sz w:val="16"/>
              </w:rPr>
              <w:t>Manage approved corporate domains or identity tenant rules through controlled configuration.</w:t>
            </w:r>
          </w:p>
        </w:tc>
      </w:tr>
      <w:tr>
        <w:tc>
          <w:tcPr>
            <w:tcW w:type="dxa" w:w="2880"/>
            <w:tcMar>
              <w:top w:w="70" w:type="dxa"/>
              <w:start w:w="70" w:type="dxa"/>
              <w:bottom w:w="70" w:type="dxa"/>
              <w:end w:w="70" w:type="dxa"/>
            </w:tcMar>
            <w:vAlign w:val="top"/>
          </w:tcPr>
          <w:p>
            <w:pPr>
              <w:spacing w:after="20" w:line="252" w:lineRule="auto"/>
            </w:pPr>
            <w:r>
              <w:rPr>
                <w:sz w:val="16"/>
              </w:rPr>
              <w:t>Match management</w:t>
            </w:r>
          </w:p>
        </w:tc>
        <w:tc>
          <w:tcPr>
            <w:tcW w:type="dxa" w:w="7776"/>
            <w:tcMar>
              <w:top w:w="70" w:type="dxa"/>
              <w:start w:w="70" w:type="dxa"/>
              <w:bottom w:w="70" w:type="dxa"/>
              <w:end w:w="70" w:type="dxa"/>
            </w:tcMar>
            <w:vAlign w:val="top"/>
          </w:tcPr>
          <w:p>
            <w:pPr>
              <w:spacing w:after="20" w:line="252" w:lineRule="auto"/>
            </w:pPr>
            <w:r>
              <w:rPr>
                <w:sz w:val="16"/>
              </w:rPr>
              <w:t>View imported matches, detect schedule changes, correct kickoff times, and approve results.</w:t>
            </w:r>
          </w:p>
        </w:tc>
      </w:tr>
      <w:tr>
        <w:tc>
          <w:tcPr>
            <w:tcW w:type="dxa" w:w="2880"/>
            <w:tcMar>
              <w:top w:w="70" w:type="dxa"/>
              <w:start w:w="70" w:type="dxa"/>
              <w:bottom w:w="70" w:type="dxa"/>
              <w:end w:w="70" w:type="dxa"/>
            </w:tcMar>
            <w:vAlign w:val="top"/>
          </w:tcPr>
          <w:p>
            <w:pPr>
              <w:spacing w:after="20" w:line="252" w:lineRule="auto"/>
            </w:pPr>
            <w:r>
              <w:rPr>
                <w:sz w:val="16"/>
              </w:rPr>
              <w:t>Participant management</w:t>
            </w:r>
          </w:p>
        </w:tc>
        <w:tc>
          <w:tcPr>
            <w:tcW w:type="dxa" w:w="7776"/>
            <w:tcMar>
              <w:top w:w="70" w:type="dxa"/>
              <w:start w:w="70" w:type="dxa"/>
              <w:bottom w:w="70" w:type="dxa"/>
              <w:end w:w="70" w:type="dxa"/>
            </w:tcMar>
            <w:vAlign w:val="top"/>
          </w:tcPr>
          <w:p>
            <w:pPr>
              <w:spacing w:after="20" w:line="252" w:lineRule="auto"/>
            </w:pPr>
            <w:r>
              <w:rPr>
                <w:sz w:val="16"/>
              </w:rPr>
              <w:t>View participants, disable participation if required, and support eligibility questions.</w:t>
            </w:r>
          </w:p>
        </w:tc>
      </w:tr>
      <w:tr>
        <w:tc>
          <w:tcPr>
            <w:tcW w:type="dxa" w:w="2880"/>
            <w:tcMar>
              <w:top w:w="70" w:type="dxa"/>
              <w:start w:w="70" w:type="dxa"/>
              <w:bottom w:w="70" w:type="dxa"/>
              <w:end w:w="70" w:type="dxa"/>
            </w:tcMar>
            <w:vAlign w:val="top"/>
          </w:tcPr>
          <w:p>
            <w:pPr>
              <w:spacing w:after="20" w:line="252" w:lineRule="auto"/>
            </w:pPr>
            <w:r>
              <w:rPr>
                <w:sz w:val="16"/>
              </w:rPr>
              <w:t>Manual result correction</w:t>
            </w:r>
          </w:p>
        </w:tc>
        <w:tc>
          <w:tcPr>
            <w:tcW w:type="dxa" w:w="7776"/>
            <w:tcMar>
              <w:top w:w="70" w:type="dxa"/>
              <w:start w:w="70" w:type="dxa"/>
              <w:bottom w:w="70" w:type="dxa"/>
              <w:end w:w="70" w:type="dxa"/>
            </w:tcMar>
            <w:vAlign w:val="top"/>
          </w:tcPr>
          <w:p>
            <w:pPr>
              <w:spacing w:after="20" w:line="252" w:lineRule="auto"/>
            </w:pPr>
            <w:r>
              <w:rPr>
                <w:sz w:val="16"/>
              </w:rPr>
              <w:t>Enter or correct official scores with reason, source, and audit record.</w:t>
            </w:r>
          </w:p>
        </w:tc>
      </w:tr>
      <w:tr>
        <w:tc>
          <w:tcPr>
            <w:tcW w:type="dxa" w:w="2880"/>
            <w:tcMar>
              <w:top w:w="70" w:type="dxa"/>
              <w:start w:w="70" w:type="dxa"/>
              <w:bottom w:w="70" w:type="dxa"/>
              <w:end w:w="70" w:type="dxa"/>
            </w:tcMar>
            <w:vAlign w:val="top"/>
          </w:tcPr>
          <w:p>
            <w:pPr>
              <w:spacing w:after="20" w:line="252" w:lineRule="auto"/>
            </w:pPr>
            <w:r>
              <w:rPr>
                <w:sz w:val="16"/>
              </w:rPr>
              <w:t>Final awards</w:t>
            </w:r>
          </w:p>
        </w:tc>
        <w:tc>
          <w:tcPr>
            <w:tcW w:type="dxa" w:w="7776"/>
            <w:tcMar>
              <w:top w:w="70" w:type="dxa"/>
              <w:start w:w="70" w:type="dxa"/>
              <w:bottom w:w="70" w:type="dxa"/>
              <w:end w:w="70" w:type="dxa"/>
            </w:tcMar>
            <w:vAlign w:val="top"/>
          </w:tcPr>
          <w:p>
            <w:pPr>
              <w:spacing w:after="20" w:line="252" w:lineRule="auto"/>
            </w:pPr>
            <w:r>
              <w:rPr>
                <w:sz w:val="16"/>
              </w:rPr>
              <w:t>Set or approve champion, runner-up, top scorer, and best player values for final scoring.</w:t>
            </w:r>
          </w:p>
        </w:tc>
      </w:tr>
      <w:tr>
        <w:tc>
          <w:tcPr>
            <w:tcW w:type="dxa" w:w="2880"/>
            <w:tcMar>
              <w:top w:w="70" w:type="dxa"/>
              <w:start w:w="70" w:type="dxa"/>
              <w:bottom w:w="70" w:type="dxa"/>
              <w:end w:w="70" w:type="dxa"/>
            </w:tcMar>
            <w:vAlign w:val="top"/>
          </w:tcPr>
          <w:p>
            <w:pPr>
              <w:spacing w:after="20" w:line="252" w:lineRule="auto"/>
            </w:pPr>
            <w:r>
              <w:rPr>
                <w:sz w:val="16"/>
              </w:rPr>
              <w:t>Recalculation</w:t>
            </w:r>
          </w:p>
        </w:tc>
        <w:tc>
          <w:tcPr>
            <w:tcW w:type="dxa" w:w="7776"/>
            <w:tcMar>
              <w:top w:w="70" w:type="dxa"/>
              <w:start w:w="70" w:type="dxa"/>
              <w:bottom w:w="70" w:type="dxa"/>
              <w:end w:w="70" w:type="dxa"/>
            </w:tcMar>
            <w:vAlign w:val="top"/>
          </w:tcPr>
          <w:p>
            <w:pPr>
              <w:spacing w:after="20" w:line="252" w:lineRule="auto"/>
            </w:pPr>
            <w:r>
              <w:rPr>
                <w:sz w:val="16"/>
              </w:rPr>
              <w:t>Trigger recalculation for one match, a set of matches, final predictions, or the full tournament.</w:t>
            </w:r>
          </w:p>
        </w:tc>
      </w:tr>
      <w:tr>
        <w:tc>
          <w:tcPr>
            <w:tcW w:type="dxa" w:w="2880"/>
            <w:tcMar>
              <w:top w:w="70" w:type="dxa"/>
              <w:start w:w="70" w:type="dxa"/>
              <w:bottom w:w="70" w:type="dxa"/>
              <w:end w:w="70" w:type="dxa"/>
            </w:tcMar>
            <w:vAlign w:val="top"/>
          </w:tcPr>
          <w:p>
            <w:pPr>
              <w:spacing w:after="20" w:line="252" w:lineRule="auto"/>
            </w:pPr>
            <w:r>
              <w:rPr>
                <w:sz w:val="16"/>
              </w:rPr>
              <w:t>Audit search</w:t>
            </w:r>
          </w:p>
        </w:tc>
        <w:tc>
          <w:tcPr>
            <w:tcW w:type="dxa" w:w="7776"/>
            <w:tcMar>
              <w:top w:w="70" w:type="dxa"/>
              <w:start w:w="70" w:type="dxa"/>
              <w:bottom w:w="70" w:type="dxa"/>
              <w:end w:w="70" w:type="dxa"/>
            </w:tcMar>
            <w:vAlign w:val="top"/>
          </w:tcPr>
          <w:p>
            <w:pPr>
              <w:spacing w:after="20" w:line="252" w:lineRule="auto"/>
            </w:pPr>
            <w:r>
              <w:rPr>
                <w:sz w:val="16"/>
              </w:rPr>
              <w:t>Search changes by participant, match, administrator, date range, or action type.</w:t>
            </w:r>
          </w:p>
        </w:tc>
      </w:tr>
      <w:tr>
        <w:tc>
          <w:tcPr>
            <w:tcW w:type="dxa" w:w="2880"/>
            <w:tcMar>
              <w:top w:w="70" w:type="dxa"/>
              <w:start w:w="70" w:type="dxa"/>
              <w:bottom w:w="70" w:type="dxa"/>
              <w:end w:w="70" w:type="dxa"/>
            </w:tcMar>
            <w:vAlign w:val="top"/>
          </w:tcPr>
          <w:p>
            <w:pPr>
              <w:spacing w:after="20" w:line="252" w:lineRule="auto"/>
            </w:pPr>
            <w:r>
              <w:rPr>
                <w:sz w:val="16"/>
              </w:rPr>
              <w:t>Operational dashboard</w:t>
            </w:r>
          </w:p>
        </w:tc>
        <w:tc>
          <w:tcPr>
            <w:tcW w:type="dxa" w:w="7776"/>
            <w:tcMar>
              <w:top w:w="70" w:type="dxa"/>
              <w:start w:w="70" w:type="dxa"/>
              <w:bottom w:w="70" w:type="dxa"/>
              <w:end w:w="70" w:type="dxa"/>
            </w:tcMar>
            <w:vAlign w:val="top"/>
          </w:tcPr>
          <w:p>
            <w:pPr>
              <w:spacing w:after="20" w:line="252" w:lineRule="auto"/>
            </w:pPr>
            <w:r>
              <w:rPr>
                <w:sz w:val="16"/>
              </w:rPr>
              <w:t>Monitor synchronization runs, error rates, pending corrections, and scoring job status.</w:t>
            </w:r>
          </w:p>
        </w:tc>
      </w:tr>
    </w:tbl>
    <w:p>
      <w:pPr>
        <w:pStyle w:val="Heading2"/>
        <w:spacing w:before="240" w:after="100"/>
      </w:pPr>
      <w:r>
        <w:t>13.2 Operational Runbooks</w:t>
      </w:r>
    </w:p>
    <w:p>
      <w:pPr>
        <w:keepLines w:val="0"/>
        <w:spacing w:after="120"/>
      </w:pPr>
      <w:r>
        <w:rPr>
          <w:b w:val="0"/>
          <w:i w:val="0"/>
        </w:rPr>
        <w:t>Before launch, the team should prepare short operational runbooks for common tournament incidents. These runbooks should be technology-specific only after the implementation platform is selected. At the architecture level, the required runbooks are:</w:t>
      </w:r>
    </w:p>
    <w:p>
      <w:pPr>
        <w:pStyle w:val="ListBullet"/>
        <w:spacing w:after="40"/>
      </w:pPr>
      <w:r>
        <w:rPr>
          <w:sz w:val="18"/>
        </w:rPr>
        <w:t>External provider unavailable or returning errors.</w:t>
      </w:r>
    </w:p>
    <w:p>
      <w:pPr>
        <w:pStyle w:val="ListBullet"/>
        <w:spacing w:after="40"/>
      </w:pPr>
      <w:r>
        <w:rPr>
          <w:sz w:val="18"/>
        </w:rPr>
        <w:t>Official score delayed beyond expected update window.</w:t>
      </w:r>
    </w:p>
    <w:p>
      <w:pPr>
        <w:pStyle w:val="ListBullet"/>
        <w:spacing w:after="40"/>
      </w:pPr>
      <w:r>
        <w:rPr>
          <w:sz w:val="18"/>
        </w:rPr>
        <w:t>Kickoff time changes after users have submitted predictions.</w:t>
      </w:r>
    </w:p>
    <w:p>
      <w:pPr>
        <w:pStyle w:val="ListBullet"/>
        <w:spacing w:after="40"/>
      </w:pPr>
      <w:r>
        <w:rPr>
          <w:sz w:val="18"/>
        </w:rPr>
        <w:t>A match is postponed, abandoned, or rescheduled.</w:t>
      </w:r>
    </w:p>
    <w:p>
      <w:pPr>
        <w:pStyle w:val="ListBullet"/>
        <w:spacing w:after="40"/>
      </w:pPr>
      <w:r>
        <w:rPr>
          <w:sz w:val="18"/>
        </w:rPr>
        <w:t>Incorrect score was used for scoring and must be corrected.</w:t>
      </w:r>
    </w:p>
    <w:p>
      <w:pPr>
        <w:pStyle w:val="ListBullet"/>
        <w:spacing w:after="40"/>
      </w:pPr>
      <w:r>
        <w:rPr>
          <w:sz w:val="18"/>
        </w:rPr>
        <w:t>Leaderboard appears inconsistent after recalculation.</w:t>
      </w:r>
    </w:p>
    <w:p>
      <w:pPr>
        <w:pStyle w:val="ListBullet"/>
        <w:spacing w:after="40"/>
      </w:pPr>
      <w:r>
        <w:rPr>
          <w:sz w:val="18"/>
        </w:rPr>
        <w:t>User reports being locked out despite having a Nortal email.</w:t>
      </w:r>
    </w:p>
    <w:p>
      <w:pPr>
        <w:pStyle w:val="ListBullet"/>
        <w:spacing w:after="40"/>
      </w:pPr>
      <w:r>
        <w:rPr>
          <w:sz w:val="18"/>
        </w:rPr>
        <w:t>User claims a prediction was saved but is not visible.</w:t>
      </w:r>
    </w:p>
    <w:p>
      <w:pPr>
        <w:pStyle w:val="ListBullet"/>
        <w:spacing w:after="40"/>
      </w:pPr>
      <w:r>
        <w:rPr>
          <w:sz w:val="18"/>
        </w:rPr>
        <w:t>Unexpected traffic spike before a match deadline.</w:t>
      </w:r>
    </w:p>
    <w:p>
      <w:pPr>
        <w:pStyle w:val="Heading2"/>
        <w:spacing w:before="240" w:after="100"/>
      </w:pPr>
      <w:r>
        <w:t>13.3 Observability Requirements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448"/>
            <w:shd w:fill="1F4E79"/>
            <w:tcMar>
              <w:top w:w="80" w:type="dxa"/>
              <w:start w:w="80" w:type="dxa"/>
              <w:bottom w:w="80" w:type="dxa"/>
              <w:end w:w="80" w:type="dxa"/>
            </w:tcMar>
            <w:vAlign w:val="center"/>
          </w:tcPr>
          <w:p>
            <w:pPr>
              <w:jc w:val="center"/>
            </w:pPr>
            <w:r>
              <w:rPr>
                <w:b/>
                <w:color w:val="FFFFFF"/>
                <w:sz w:val="16"/>
              </w:rPr>
              <w:t>Signal</w:t>
            </w:r>
          </w:p>
        </w:tc>
        <w:tc>
          <w:tcPr>
            <w:tcW w:type="dxa" w:w="4752"/>
            <w:shd w:fill="1F4E79"/>
            <w:tcMar>
              <w:top w:w="80" w:type="dxa"/>
              <w:start w:w="80" w:type="dxa"/>
              <w:bottom w:w="80" w:type="dxa"/>
              <w:end w:w="80" w:type="dxa"/>
            </w:tcMar>
            <w:vAlign w:val="center"/>
          </w:tcPr>
          <w:p>
            <w:pPr>
              <w:jc w:val="center"/>
            </w:pPr>
            <w:r>
              <w:rPr>
                <w:b/>
                <w:color w:val="FFFFFF"/>
                <w:sz w:val="16"/>
              </w:rPr>
              <w:t>Examples</w:t>
            </w:r>
          </w:p>
        </w:tc>
        <w:tc>
          <w:tcPr>
            <w:tcW w:type="dxa" w:w="3456"/>
            <w:shd w:fill="1F4E79"/>
            <w:tcMar>
              <w:top w:w="80" w:type="dxa"/>
              <w:start w:w="80" w:type="dxa"/>
              <w:bottom w:w="80" w:type="dxa"/>
              <w:end w:w="80" w:type="dxa"/>
            </w:tcMar>
            <w:vAlign w:val="center"/>
          </w:tcPr>
          <w:p>
            <w:pPr>
              <w:jc w:val="center"/>
            </w:pPr>
            <w:r>
              <w:rPr>
                <w:b/>
                <w:color w:val="FFFFFF"/>
                <w:sz w:val="16"/>
              </w:rPr>
              <w:t>Purpose</w:t>
            </w:r>
          </w:p>
        </w:tc>
      </w:tr>
      <w:tr>
        <w:tc>
          <w:tcPr>
            <w:tcW w:type="dxa" w:w="2448"/>
            <w:tcMar>
              <w:top w:w="70" w:type="dxa"/>
              <w:start w:w="70" w:type="dxa"/>
              <w:bottom w:w="70" w:type="dxa"/>
              <w:end w:w="70" w:type="dxa"/>
            </w:tcMar>
            <w:vAlign w:val="top"/>
          </w:tcPr>
          <w:p>
            <w:pPr>
              <w:spacing w:after="20" w:line="252" w:lineRule="auto"/>
            </w:pPr>
            <w:r>
              <w:rPr>
                <w:sz w:val="16"/>
              </w:rPr>
              <w:t>Business metrics</w:t>
            </w:r>
          </w:p>
        </w:tc>
        <w:tc>
          <w:tcPr>
            <w:tcW w:type="dxa" w:w="4752"/>
            <w:tcMar>
              <w:top w:w="70" w:type="dxa"/>
              <w:start w:w="70" w:type="dxa"/>
              <w:bottom w:w="70" w:type="dxa"/>
              <w:end w:w="70" w:type="dxa"/>
            </w:tcMar>
            <w:vAlign w:val="top"/>
          </w:tcPr>
          <w:p>
            <w:pPr>
              <w:spacing w:after="20" w:line="252" w:lineRule="auto"/>
            </w:pPr>
            <w:r>
              <w:rPr>
                <w:sz w:val="16"/>
              </w:rPr>
              <w:t>Registered users, active users, predictions submitted, missing predictions, exact hits, leaderboard views.</w:t>
            </w:r>
          </w:p>
        </w:tc>
        <w:tc>
          <w:tcPr>
            <w:tcW w:type="dxa" w:w="3456"/>
            <w:tcMar>
              <w:top w:w="70" w:type="dxa"/>
              <w:start w:w="70" w:type="dxa"/>
              <w:bottom w:w="70" w:type="dxa"/>
              <w:end w:w="70" w:type="dxa"/>
            </w:tcMar>
            <w:vAlign w:val="top"/>
          </w:tcPr>
          <w:p>
            <w:pPr>
              <w:spacing w:after="20" w:line="252" w:lineRule="auto"/>
            </w:pPr>
            <w:r>
              <w:rPr>
                <w:sz w:val="16"/>
              </w:rPr>
              <w:t>Measure engagement and adoption.</w:t>
            </w:r>
          </w:p>
        </w:tc>
      </w:tr>
      <w:tr>
        <w:tc>
          <w:tcPr>
            <w:tcW w:type="dxa" w:w="2448"/>
            <w:tcMar>
              <w:top w:w="70" w:type="dxa"/>
              <w:start w:w="70" w:type="dxa"/>
              <w:bottom w:w="70" w:type="dxa"/>
              <w:end w:w="70" w:type="dxa"/>
            </w:tcMar>
            <w:vAlign w:val="top"/>
          </w:tcPr>
          <w:p>
            <w:pPr>
              <w:spacing w:after="20" w:line="252" w:lineRule="auto"/>
            </w:pPr>
            <w:r>
              <w:rPr>
                <w:sz w:val="16"/>
              </w:rPr>
              <w:t>Operational metrics</w:t>
            </w:r>
          </w:p>
        </w:tc>
        <w:tc>
          <w:tcPr>
            <w:tcW w:type="dxa" w:w="4752"/>
            <w:tcMar>
              <w:top w:w="70" w:type="dxa"/>
              <w:start w:w="70" w:type="dxa"/>
              <w:bottom w:w="70" w:type="dxa"/>
              <w:end w:w="70" w:type="dxa"/>
            </w:tcMar>
            <w:vAlign w:val="top"/>
          </w:tcPr>
          <w:p>
            <w:pPr>
              <w:spacing w:after="20" w:line="252" w:lineRule="auto"/>
            </w:pPr>
            <w:r>
              <w:rPr>
                <w:sz w:val="16"/>
              </w:rPr>
              <w:t>API latency, prediction save failures, integration run duration, recalculation duration, queue depth if applicable.</w:t>
            </w:r>
          </w:p>
        </w:tc>
        <w:tc>
          <w:tcPr>
            <w:tcW w:type="dxa" w:w="3456"/>
            <w:tcMar>
              <w:top w:w="70" w:type="dxa"/>
              <w:start w:w="70" w:type="dxa"/>
              <w:bottom w:w="70" w:type="dxa"/>
              <w:end w:w="70" w:type="dxa"/>
            </w:tcMar>
            <w:vAlign w:val="top"/>
          </w:tcPr>
          <w:p>
            <w:pPr>
              <w:spacing w:after="20" w:line="252" w:lineRule="auto"/>
            </w:pPr>
            <w:r>
              <w:rPr>
                <w:sz w:val="16"/>
              </w:rPr>
              <w:t>Detect performance or reliability issues.</w:t>
            </w:r>
          </w:p>
        </w:tc>
      </w:tr>
      <w:tr>
        <w:tc>
          <w:tcPr>
            <w:tcW w:type="dxa" w:w="2448"/>
            <w:tcMar>
              <w:top w:w="70" w:type="dxa"/>
              <w:start w:w="70" w:type="dxa"/>
              <w:bottom w:w="70" w:type="dxa"/>
              <w:end w:w="70" w:type="dxa"/>
            </w:tcMar>
            <w:vAlign w:val="top"/>
          </w:tcPr>
          <w:p>
            <w:pPr>
              <w:spacing w:after="20" w:line="252" w:lineRule="auto"/>
            </w:pPr>
            <w:r>
              <w:rPr>
                <w:sz w:val="16"/>
              </w:rPr>
              <w:t>Security metrics</w:t>
            </w:r>
          </w:p>
        </w:tc>
        <w:tc>
          <w:tcPr>
            <w:tcW w:type="dxa" w:w="4752"/>
            <w:tcMar>
              <w:top w:w="70" w:type="dxa"/>
              <w:start w:w="70" w:type="dxa"/>
              <w:bottom w:w="70" w:type="dxa"/>
              <w:end w:w="70" w:type="dxa"/>
            </w:tcMar>
            <w:vAlign w:val="top"/>
          </w:tcPr>
          <w:p>
            <w:pPr>
              <w:spacing w:after="20" w:line="252" w:lineRule="auto"/>
            </w:pPr>
            <w:r>
              <w:rPr>
                <w:sz w:val="16"/>
              </w:rPr>
              <w:t>Rejected external domains, failed authorization attempts, admin actions, unusual access patterns.</w:t>
            </w:r>
          </w:p>
        </w:tc>
        <w:tc>
          <w:tcPr>
            <w:tcW w:type="dxa" w:w="3456"/>
            <w:tcMar>
              <w:top w:w="70" w:type="dxa"/>
              <w:start w:w="70" w:type="dxa"/>
              <w:bottom w:w="70" w:type="dxa"/>
              <w:end w:w="70" w:type="dxa"/>
            </w:tcMar>
            <w:vAlign w:val="top"/>
          </w:tcPr>
          <w:p>
            <w:pPr>
              <w:spacing w:after="20" w:line="252" w:lineRule="auto"/>
            </w:pPr>
            <w:r>
              <w:rPr>
                <w:sz w:val="16"/>
              </w:rPr>
              <w:t>Support security review and incident response.</w:t>
            </w:r>
          </w:p>
        </w:tc>
      </w:tr>
      <w:tr>
        <w:tc>
          <w:tcPr>
            <w:tcW w:type="dxa" w:w="2448"/>
            <w:tcMar>
              <w:top w:w="70" w:type="dxa"/>
              <w:start w:w="70" w:type="dxa"/>
              <w:bottom w:w="70" w:type="dxa"/>
              <w:end w:w="70" w:type="dxa"/>
            </w:tcMar>
            <w:vAlign w:val="top"/>
          </w:tcPr>
          <w:p>
            <w:pPr>
              <w:spacing w:after="20" w:line="252" w:lineRule="auto"/>
            </w:pPr>
            <w:r>
              <w:rPr>
                <w:sz w:val="16"/>
              </w:rPr>
              <w:t>Data quality metrics</w:t>
            </w:r>
          </w:p>
        </w:tc>
        <w:tc>
          <w:tcPr>
            <w:tcW w:type="dxa" w:w="4752"/>
            <w:tcMar>
              <w:top w:w="70" w:type="dxa"/>
              <w:start w:w="70" w:type="dxa"/>
              <w:bottom w:w="70" w:type="dxa"/>
              <w:end w:w="70" w:type="dxa"/>
            </w:tcMar>
            <w:vAlign w:val="top"/>
          </w:tcPr>
          <w:p>
            <w:pPr>
              <w:spacing w:after="20" w:line="252" w:lineRule="auto"/>
            </w:pPr>
            <w:r>
              <w:rPr>
                <w:sz w:val="16"/>
              </w:rPr>
              <w:t>Unmatched teams, duplicate provider records, score corrections, kickoff time changes, stale matches.</w:t>
            </w:r>
          </w:p>
        </w:tc>
        <w:tc>
          <w:tcPr>
            <w:tcW w:type="dxa" w:w="3456"/>
            <w:tcMar>
              <w:top w:w="70" w:type="dxa"/>
              <w:start w:w="70" w:type="dxa"/>
              <w:bottom w:w="70" w:type="dxa"/>
              <w:end w:w="70" w:type="dxa"/>
            </w:tcMar>
            <w:vAlign w:val="top"/>
          </w:tcPr>
          <w:p>
            <w:pPr>
              <w:spacing w:after="20" w:line="252" w:lineRule="auto"/>
            </w:pPr>
            <w:r>
              <w:rPr>
                <w:sz w:val="16"/>
              </w:rPr>
              <w:t>Protect scoring accuracy.</w:t>
            </w:r>
          </w:p>
        </w:tc>
      </w:tr>
      <w:tr>
        <w:tc>
          <w:tcPr>
            <w:tcW w:type="dxa" w:w="2448"/>
            <w:tcMar>
              <w:top w:w="70" w:type="dxa"/>
              <w:start w:w="70" w:type="dxa"/>
              <w:bottom w:w="70" w:type="dxa"/>
              <w:end w:w="70" w:type="dxa"/>
            </w:tcMar>
            <w:vAlign w:val="top"/>
          </w:tcPr>
          <w:p>
            <w:pPr>
              <w:spacing w:after="20" w:line="252" w:lineRule="auto"/>
            </w:pPr>
            <w:r>
              <w:rPr>
                <w:sz w:val="16"/>
              </w:rPr>
              <w:t>User support metrics</w:t>
            </w:r>
          </w:p>
        </w:tc>
        <w:tc>
          <w:tcPr>
            <w:tcW w:type="dxa" w:w="4752"/>
            <w:tcMar>
              <w:top w:w="70" w:type="dxa"/>
              <w:start w:w="70" w:type="dxa"/>
              <w:bottom w:w="70" w:type="dxa"/>
              <w:end w:w="70" w:type="dxa"/>
            </w:tcMar>
            <w:vAlign w:val="top"/>
          </w:tcPr>
          <w:p>
            <w:pPr>
              <w:spacing w:after="20" w:line="252" w:lineRule="auto"/>
            </w:pPr>
            <w:r>
              <w:rPr>
                <w:sz w:val="16"/>
              </w:rPr>
              <w:t>Support requests by category, dispute count, resolved incidents.</w:t>
            </w:r>
          </w:p>
        </w:tc>
        <w:tc>
          <w:tcPr>
            <w:tcW w:type="dxa" w:w="3456"/>
            <w:tcMar>
              <w:top w:w="70" w:type="dxa"/>
              <w:start w:w="70" w:type="dxa"/>
              <w:bottom w:w="70" w:type="dxa"/>
              <w:end w:w="70" w:type="dxa"/>
            </w:tcMar>
            <w:vAlign w:val="top"/>
          </w:tcPr>
          <w:p>
            <w:pPr>
              <w:spacing w:after="20" w:line="252" w:lineRule="auto"/>
            </w:pPr>
            <w:r>
              <w:rPr>
                <w:sz w:val="16"/>
              </w:rPr>
              <w:t>Improve experience and communications.</w:t>
            </w:r>
          </w:p>
        </w:tc>
      </w:tr>
    </w:tbl>
    <w:p>
      <w:pPr>
        <w:pStyle w:val="Heading1"/>
        <w:spacing w:before="240" w:after="100"/>
      </w:pPr>
      <w:r>
        <w:t>14. User Experience and Engagement Considerations</w:t>
      </w:r>
    </w:p>
    <w:p>
      <w:pPr>
        <w:pStyle w:val="Heading2"/>
        <w:spacing w:before="240" w:after="100"/>
      </w:pPr>
      <w:r>
        <w:t>14.1 Participant Experience Requirements</w:t>
      </w:r>
    </w:p>
    <w:p>
      <w:pPr>
        <w:pStyle w:val="ListBullet"/>
        <w:spacing w:after="40"/>
      </w:pPr>
      <w:r>
        <w:rPr>
          <w:sz w:val="18"/>
        </w:rPr>
        <w:t>The dashboard should immediately show upcoming matches and whether each match is editable, locked, missing a prediction, or already predicted.</w:t>
      </w:r>
    </w:p>
    <w:p>
      <w:pPr>
        <w:pStyle w:val="ListBullet"/>
        <w:spacing w:after="40"/>
      </w:pPr>
      <w:r>
        <w:rPr>
          <w:sz w:val="18"/>
        </w:rPr>
        <w:t>The prediction form should be optimized for rapid score entry, especially on mobile devices.</w:t>
      </w:r>
    </w:p>
    <w:p>
      <w:pPr>
        <w:pStyle w:val="ListBullet"/>
        <w:spacing w:after="40"/>
      </w:pPr>
      <w:r>
        <w:rPr>
          <w:sz w:val="18"/>
        </w:rPr>
        <w:t>Each match should show an explicit lock countdown or lock date/time to reduce confusion.</w:t>
      </w:r>
    </w:p>
    <w:p>
      <w:pPr>
        <w:pStyle w:val="ListBullet"/>
        <w:spacing w:after="40"/>
      </w:pPr>
      <w:r>
        <w:rPr>
          <w:sz w:val="18"/>
        </w:rPr>
        <w:t>Locked predictions should remain visible but not editable.</w:t>
      </w:r>
    </w:p>
    <w:p>
      <w:pPr>
        <w:pStyle w:val="ListBullet"/>
        <w:spacing w:after="40"/>
      </w:pPr>
      <w:r>
        <w:rPr>
          <w:sz w:val="18"/>
        </w:rPr>
        <w:t>The application should explain scoring rules in simple language near the prediction experience and leaderboard.</w:t>
      </w:r>
    </w:p>
    <w:p>
      <w:pPr>
        <w:pStyle w:val="ListBullet"/>
        <w:spacing w:after="40"/>
      </w:pPr>
      <w:r>
        <w:rPr>
          <w:sz w:val="18"/>
        </w:rPr>
        <w:t>The personal score breakdown should show why each match produced 10, 5, or 0 points.</w:t>
      </w:r>
    </w:p>
    <w:p>
      <w:pPr>
        <w:pStyle w:val="ListBullet"/>
        <w:spacing w:after="40"/>
      </w:pPr>
      <w:r>
        <w:rPr>
          <w:sz w:val="18"/>
        </w:rPr>
        <w:t>Final tournament predictions should have a separate prominent section with its own deadline and explanation.</w:t>
      </w:r>
    </w:p>
    <w:p>
      <w:pPr>
        <w:pStyle w:val="ListBullet"/>
        <w:spacing w:after="40"/>
      </w:pPr>
      <w:r>
        <w:rPr>
          <w:sz w:val="18"/>
        </w:rPr>
        <w:t>The leaderboard should be easy to scan and should show tie-breaker indicators if tie-breakers are used.</w:t>
      </w:r>
    </w:p>
    <w:p>
      <w:pPr>
        <w:pStyle w:val="Heading2"/>
        <w:spacing w:before="240" w:after="100"/>
      </w:pPr>
      <w:r>
        <w:t>14.2 Engagement Enhancements</w:t>
      </w:r>
    </w:p>
    <w:p>
      <w:pPr>
        <w:keepLines w:val="0"/>
        <w:spacing w:after="120"/>
      </w:pPr>
      <w:r>
        <w:rPr>
          <w:b w:val="0"/>
          <w:i w:val="0"/>
        </w:rPr>
        <w:t>The following enhancements are not mandatory for MVP but can significantly increase participation and perceived quality: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592"/>
            <w:shd w:fill="1F4E79"/>
            <w:tcMar>
              <w:top w:w="80" w:type="dxa"/>
              <w:start w:w="80" w:type="dxa"/>
              <w:bottom w:w="80" w:type="dxa"/>
              <w:end w:w="80" w:type="dxa"/>
            </w:tcMar>
            <w:vAlign w:val="center"/>
          </w:tcPr>
          <w:p>
            <w:pPr>
              <w:jc w:val="center"/>
            </w:pPr>
            <w:r>
              <w:rPr>
                <w:b/>
                <w:color w:val="FFFFFF"/>
                <w:sz w:val="16"/>
              </w:rPr>
              <w:t>Enhancement</w:t>
            </w:r>
          </w:p>
        </w:tc>
        <w:tc>
          <w:tcPr>
            <w:tcW w:type="dxa" w:w="3744"/>
            <w:shd w:fill="1F4E79"/>
            <w:tcMar>
              <w:top w:w="80" w:type="dxa"/>
              <w:start w:w="80" w:type="dxa"/>
              <w:bottom w:w="80" w:type="dxa"/>
              <w:end w:w="80" w:type="dxa"/>
            </w:tcMar>
            <w:vAlign w:val="center"/>
          </w:tcPr>
          <w:p>
            <w:pPr>
              <w:jc w:val="center"/>
            </w:pPr>
            <w:r>
              <w:rPr>
                <w:b/>
                <w:color w:val="FFFFFF"/>
                <w:sz w:val="16"/>
              </w:rPr>
              <w:t>Value</w:t>
            </w:r>
          </w:p>
        </w:tc>
        <w:tc>
          <w:tcPr>
            <w:tcW w:type="dxa" w:w="4320"/>
            <w:shd w:fill="1F4E79"/>
            <w:tcMar>
              <w:top w:w="80" w:type="dxa"/>
              <w:start w:w="80" w:type="dxa"/>
              <w:bottom w:w="80" w:type="dxa"/>
              <w:end w:w="80" w:type="dxa"/>
            </w:tcMar>
            <w:vAlign w:val="center"/>
          </w:tcPr>
          <w:p>
            <w:pPr>
              <w:jc w:val="center"/>
            </w:pPr>
            <w:r>
              <w:rPr>
                <w:b/>
                <w:color w:val="FFFFFF"/>
                <w:sz w:val="16"/>
              </w:rPr>
              <w:t>Architecture consideration</w:t>
            </w:r>
          </w:p>
        </w:tc>
      </w:tr>
      <w:tr>
        <w:tc>
          <w:tcPr>
            <w:tcW w:type="dxa" w:w="2592"/>
            <w:tcMar>
              <w:top w:w="70" w:type="dxa"/>
              <w:start w:w="70" w:type="dxa"/>
              <w:bottom w:w="70" w:type="dxa"/>
              <w:end w:w="70" w:type="dxa"/>
            </w:tcMar>
            <w:vAlign w:val="top"/>
          </w:tcPr>
          <w:p>
            <w:pPr>
              <w:spacing w:after="20" w:line="252" w:lineRule="auto"/>
            </w:pPr>
            <w:r>
              <w:rPr>
                <w:sz w:val="16"/>
              </w:rPr>
              <w:t>Prediction completeness meter</w:t>
            </w:r>
          </w:p>
        </w:tc>
        <w:tc>
          <w:tcPr>
            <w:tcW w:type="dxa" w:w="3744"/>
            <w:tcMar>
              <w:top w:w="70" w:type="dxa"/>
              <w:start w:w="70" w:type="dxa"/>
              <w:bottom w:w="70" w:type="dxa"/>
              <w:end w:w="70" w:type="dxa"/>
            </w:tcMar>
            <w:vAlign w:val="top"/>
          </w:tcPr>
          <w:p>
            <w:pPr>
              <w:spacing w:after="20" w:line="252" w:lineRule="auto"/>
            </w:pPr>
            <w:r>
              <w:rPr>
                <w:sz w:val="16"/>
              </w:rPr>
              <w:t>Encourages users to predict all upcoming matches.</w:t>
            </w:r>
          </w:p>
        </w:tc>
        <w:tc>
          <w:tcPr>
            <w:tcW w:type="dxa" w:w="4320"/>
            <w:tcMar>
              <w:top w:w="70" w:type="dxa"/>
              <w:start w:w="70" w:type="dxa"/>
              <w:bottom w:w="70" w:type="dxa"/>
              <w:end w:w="70" w:type="dxa"/>
            </w:tcMar>
            <w:vAlign w:val="top"/>
          </w:tcPr>
          <w:p>
            <w:pPr>
              <w:spacing w:after="20" w:line="252" w:lineRule="auto"/>
            </w:pPr>
            <w:r>
              <w:rPr>
                <w:sz w:val="16"/>
              </w:rPr>
              <w:t>Requires count of unlocked matches and participant submissions.</w:t>
            </w:r>
          </w:p>
        </w:tc>
      </w:tr>
      <w:tr>
        <w:tc>
          <w:tcPr>
            <w:tcW w:type="dxa" w:w="2592"/>
            <w:tcMar>
              <w:top w:w="70" w:type="dxa"/>
              <w:start w:w="70" w:type="dxa"/>
              <w:bottom w:w="70" w:type="dxa"/>
              <w:end w:w="70" w:type="dxa"/>
            </w:tcMar>
            <w:vAlign w:val="top"/>
          </w:tcPr>
          <w:p>
            <w:pPr>
              <w:spacing w:after="20" w:line="252" w:lineRule="auto"/>
            </w:pPr>
            <w:r>
              <w:rPr>
                <w:sz w:val="16"/>
              </w:rPr>
              <w:t>Deadline reminders</w:t>
            </w:r>
          </w:p>
        </w:tc>
        <w:tc>
          <w:tcPr>
            <w:tcW w:type="dxa" w:w="3744"/>
            <w:tcMar>
              <w:top w:w="70" w:type="dxa"/>
              <w:start w:w="70" w:type="dxa"/>
              <w:bottom w:w="70" w:type="dxa"/>
              <w:end w:w="70" w:type="dxa"/>
            </w:tcMar>
            <w:vAlign w:val="top"/>
          </w:tcPr>
          <w:p>
            <w:pPr>
              <w:spacing w:after="20" w:line="252" w:lineRule="auto"/>
            </w:pPr>
            <w:r>
              <w:rPr>
                <w:sz w:val="16"/>
              </w:rPr>
              <w:t>Reduces missed predictions before matches.</w:t>
            </w:r>
          </w:p>
        </w:tc>
        <w:tc>
          <w:tcPr>
            <w:tcW w:type="dxa" w:w="4320"/>
            <w:tcMar>
              <w:top w:w="70" w:type="dxa"/>
              <w:start w:w="70" w:type="dxa"/>
              <w:bottom w:w="70" w:type="dxa"/>
              <w:end w:w="70" w:type="dxa"/>
            </w:tcMar>
            <w:vAlign w:val="top"/>
          </w:tcPr>
          <w:p>
            <w:pPr>
              <w:spacing w:after="20" w:line="252" w:lineRule="auto"/>
            </w:pPr>
            <w:r>
              <w:rPr>
                <w:sz w:val="16"/>
              </w:rPr>
              <w:t>Requires notification preferences and scheduled reminders.</w:t>
            </w:r>
          </w:p>
        </w:tc>
      </w:tr>
      <w:tr>
        <w:tc>
          <w:tcPr>
            <w:tcW w:type="dxa" w:w="2592"/>
            <w:tcMar>
              <w:top w:w="70" w:type="dxa"/>
              <w:start w:w="70" w:type="dxa"/>
              <w:bottom w:w="70" w:type="dxa"/>
              <w:end w:w="70" w:type="dxa"/>
            </w:tcMar>
            <w:vAlign w:val="top"/>
          </w:tcPr>
          <w:p>
            <w:pPr>
              <w:spacing w:after="20" w:line="252" w:lineRule="auto"/>
            </w:pPr>
            <w:r>
              <w:rPr>
                <w:sz w:val="16"/>
              </w:rPr>
              <w:t>Badges</w:t>
            </w:r>
          </w:p>
        </w:tc>
        <w:tc>
          <w:tcPr>
            <w:tcW w:type="dxa" w:w="3744"/>
            <w:tcMar>
              <w:top w:w="70" w:type="dxa"/>
              <w:start w:w="70" w:type="dxa"/>
              <w:bottom w:w="70" w:type="dxa"/>
              <w:end w:w="70" w:type="dxa"/>
            </w:tcMar>
            <w:vAlign w:val="top"/>
          </w:tcPr>
          <w:p>
            <w:pPr>
              <w:spacing w:after="20" w:line="252" w:lineRule="auto"/>
            </w:pPr>
            <w:r>
              <w:rPr>
                <w:sz w:val="16"/>
              </w:rPr>
              <w:t>Adds lightweight gamification for exact hits, streaks, or participation.</w:t>
            </w:r>
          </w:p>
        </w:tc>
        <w:tc>
          <w:tcPr>
            <w:tcW w:type="dxa" w:w="4320"/>
            <w:tcMar>
              <w:top w:w="70" w:type="dxa"/>
              <w:start w:w="70" w:type="dxa"/>
              <w:bottom w:w="70" w:type="dxa"/>
              <w:end w:w="70" w:type="dxa"/>
            </w:tcMar>
            <w:vAlign w:val="top"/>
          </w:tcPr>
          <w:p>
            <w:pPr>
              <w:spacing w:after="20" w:line="252" w:lineRule="auto"/>
            </w:pPr>
            <w:r>
              <w:rPr>
                <w:sz w:val="16"/>
              </w:rPr>
              <w:t>Should be rule-driven and avoid excessive complexity.</w:t>
            </w:r>
          </w:p>
        </w:tc>
      </w:tr>
      <w:tr>
        <w:tc>
          <w:tcPr>
            <w:tcW w:type="dxa" w:w="2592"/>
            <w:tcMar>
              <w:top w:w="70" w:type="dxa"/>
              <w:start w:w="70" w:type="dxa"/>
              <w:bottom w:w="70" w:type="dxa"/>
              <w:end w:w="70" w:type="dxa"/>
            </w:tcMar>
            <w:vAlign w:val="top"/>
          </w:tcPr>
          <w:p>
            <w:pPr>
              <w:spacing w:after="20" w:line="252" w:lineRule="auto"/>
            </w:pPr>
            <w:r>
              <w:rPr>
                <w:sz w:val="16"/>
              </w:rPr>
              <w:t>Team/office leagues</w:t>
            </w:r>
          </w:p>
        </w:tc>
        <w:tc>
          <w:tcPr>
            <w:tcW w:type="dxa" w:w="3744"/>
            <w:tcMar>
              <w:top w:w="70" w:type="dxa"/>
              <w:start w:w="70" w:type="dxa"/>
              <w:bottom w:w="70" w:type="dxa"/>
              <w:end w:w="70" w:type="dxa"/>
            </w:tcMar>
            <w:vAlign w:val="top"/>
          </w:tcPr>
          <w:p>
            <w:pPr>
              <w:spacing w:after="20" w:line="252" w:lineRule="auto"/>
            </w:pPr>
            <w:r>
              <w:rPr>
                <w:sz w:val="16"/>
              </w:rPr>
              <w:t>Allows friendly competition by region, office, department, or team if approved.</w:t>
            </w:r>
          </w:p>
        </w:tc>
        <w:tc>
          <w:tcPr>
            <w:tcW w:type="dxa" w:w="4320"/>
            <w:tcMar>
              <w:top w:w="70" w:type="dxa"/>
              <w:start w:w="70" w:type="dxa"/>
              <w:bottom w:w="70" w:type="dxa"/>
              <w:end w:w="70" w:type="dxa"/>
            </w:tcMar>
            <w:vAlign w:val="top"/>
          </w:tcPr>
          <w:p>
            <w:pPr>
              <w:spacing w:after="20" w:line="252" w:lineRule="auto"/>
            </w:pPr>
            <w:r>
              <w:rPr>
                <w:sz w:val="16"/>
              </w:rPr>
              <w:t>Requires approved grouping data and privacy review.</w:t>
            </w:r>
          </w:p>
        </w:tc>
      </w:tr>
      <w:tr>
        <w:tc>
          <w:tcPr>
            <w:tcW w:type="dxa" w:w="2592"/>
            <w:tcMar>
              <w:top w:w="70" w:type="dxa"/>
              <w:start w:w="70" w:type="dxa"/>
              <w:bottom w:w="70" w:type="dxa"/>
              <w:end w:w="70" w:type="dxa"/>
            </w:tcMar>
            <w:vAlign w:val="top"/>
          </w:tcPr>
          <w:p>
            <w:pPr>
              <w:spacing w:after="20" w:line="252" w:lineRule="auto"/>
            </w:pPr>
            <w:r>
              <w:rPr>
                <w:sz w:val="16"/>
              </w:rPr>
              <w:t>Match cards</w:t>
            </w:r>
          </w:p>
        </w:tc>
        <w:tc>
          <w:tcPr>
            <w:tcW w:type="dxa" w:w="3744"/>
            <w:tcMar>
              <w:top w:w="70" w:type="dxa"/>
              <w:start w:w="70" w:type="dxa"/>
              <w:bottom w:w="70" w:type="dxa"/>
              <w:end w:w="70" w:type="dxa"/>
            </w:tcMar>
            <w:vAlign w:val="top"/>
          </w:tcPr>
          <w:p>
            <w:pPr>
              <w:spacing w:after="20" w:line="252" w:lineRule="auto"/>
            </w:pPr>
            <w:r>
              <w:rPr>
                <w:sz w:val="16"/>
              </w:rPr>
              <w:t>Improves visual appeal with flags, groups, stage, and kickoff time.</w:t>
            </w:r>
          </w:p>
        </w:tc>
        <w:tc>
          <w:tcPr>
            <w:tcW w:type="dxa" w:w="4320"/>
            <w:tcMar>
              <w:top w:w="70" w:type="dxa"/>
              <w:start w:w="70" w:type="dxa"/>
              <w:bottom w:w="70" w:type="dxa"/>
              <w:end w:w="70" w:type="dxa"/>
            </w:tcMar>
            <w:vAlign w:val="top"/>
          </w:tcPr>
          <w:p>
            <w:pPr>
              <w:spacing w:after="20" w:line="252" w:lineRule="auto"/>
            </w:pPr>
            <w:r>
              <w:rPr>
                <w:sz w:val="16"/>
              </w:rPr>
              <w:t>Requires reliable team metadata and responsive design.</w:t>
            </w:r>
          </w:p>
        </w:tc>
      </w:tr>
      <w:tr>
        <w:tc>
          <w:tcPr>
            <w:tcW w:type="dxa" w:w="2592"/>
            <w:tcMar>
              <w:top w:w="70" w:type="dxa"/>
              <w:start w:w="70" w:type="dxa"/>
              <w:bottom w:w="70" w:type="dxa"/>
              <w:end w:w="70" w:type="dxa"/>
            </w:tcMar>
            <w:vAlign w:val="top"/>
          </w:tcPr>
          <w:p>
            <w:pPr>
              <w:spacing w:after="20" w:line="252" w:lineRule="auto"/>
            </w:pPr>
            <w:r>
              <w:rPr>
                <w:sz w:val="16"/>
              </w:rPr>
              <w:t>Shareable internal highlights</w:t>
            </w:r>
          </w:p>
        </w:tc>
        <w:tc>
          <w:tcPr>
            <w:tcW w:type="dxa" w:w="3744"/>
            <w:tcMar>
              <w:top w:w="70" w:type="dxa"/>
              <w:start w:w="70" w:type="dxa"/>
              <w:bottom w:w="70" w:type="dxa"/>
              <w:end w:w="70" w:type="dxa"/>
            </w:tcMar>
            <w:vAlign w:val="top"/>
          </w:tcPr>
          <w:p>
            <w:pPr>
              <w:spacing w:after="20" w:line="252" w:lineRule="auto"/>
            </w:pPr>
            <w:r>
              <w:rPr>
                <w:sz w:val="16"/>
              </w:rPr>
              <w:t>Promotes engagement through internal channels.</w:t>
            </w:r>
          </w:p>
        </w:tc>
        <w:tc>
          <w:tcPr>
            <w:tcW w:type="dxa" w:w="4320"/>
            <w:tcMar>
              <w:top w:w="70" w:type="dxa"/>
              <w:start w:w="70" w:type="dxa"/>
              <w:bottom w:w="70" w:type="dxa"/>
              <w:end w:w="70" w:type="dxa"/>
            </w:tcMar>
            <w:vAlign w:val="top"/>
          </w:tcPr>
          <w:p>
            <w:pPr>
              <w:spacing w:after="20" w:line="252" w:lineRule="auto"/>
            </w:pPr>
            <w:r>
              <w:rPr>
                <w:sz w:val="16"/>
              </w:rPr>
              <w:t>Should avoid exposing personal data beyond approved visibility.</w:t>
            </w:r>
          </w:p>
        </w:tc>
      </w:tr>
    </w:tbl>
    <w:p>
      <w:pPr>
        <w:pStyle w:val="Heading2"/>
        <w:spacing w:before="240" w:after="100"/>
      </w:pPr>
      <w:r>
        <w:t>14.3 Accessibility and Inclusiveness</w:t>
      </w:r>
    </w:p>
    <w:p>
      <w:pPr>
        <w:pStyle w:val="ListBullet"/>
        <w:spacing w:after="40"/>
      </w:pPr>
      <w:r>
        <w:rPr>
          <w:sz w:val="18"/>
        </w:rPr>
        <w:t>Use clear labels for team names and scores rather than relying only on flags or colors.</w:t>
      </w:r>
    </w:p>
    <w:p>
      <w:pPr>
        <w:pStyle w:val="ListBullet"/>
        <w:spacing w:after="40"/>
      </w:pPr>
      <w:r>
        <w:rPr>
          <w:sz w:val="18"/>
        </w:rPr>
        <w:t>Ensure contrast ratios are readable in ranking, lock status, and prediction forms.</w:t>
      </w:r>
    </w:p>
    <w:p>
      <w:pPr>
        <w:pStyle w:val="ListBullet"/>
        <w:spacing w:after="40"/>
      </w:pPr>
      <w:r>
        <w:rPr>
          <w:sz w:val="18"/>
        </w:rPr>
        <w:t>Support keyboard navigation for entering predictions.</w:t>
      </w:r>
    </w:p>
    <w:p>
      <w:pPr>
        <w:pStyle w:val="ListBullet"/>
        <w:spacing w:after="40"/>
      </w:pPr>
      <w:r>
        <w:rPr>
          <w:sz w:val="18"/>
        </w:rPr>
        <w:t>Avoid time-only communication without date and time zone context.</w:t>
      </w:r>
    </w:p>
    <w:p>
      <w:pPr>
        <w:pStyle w:val="ListBullet"/>
        <w:spacing w:after="40"/>
      </w:pPr>
      <w:r>
        <w:rPr>
          <w:sz w:val="18"/>
        </w:rPr>
        <w:t>Provide plain-language explanations for locks, scoring, and final prediction deadlines.</w:t>
      </w:r>
    </w:p>
    <w:p>
      <w:pPr>
        <w:pStyle w:val="Heading1"/>
        <w:spacing w:before="240" w:after="100"/>
      </w:pPr>
      <w:r>
        <w:t>15. Quality Assurance and Acceptance Criteria</w:t>
      </w:r>
    </w:p>
    <w:p>
      <w:pPr>
        <w:pStyle w:val="Heading2"/>
        <w:spacing w:before="240" w:after="100"/>
      </w:pPr>
      <w:r>
        <w:t>15.1 Core Test Scenarios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016"/>
            <w:shd w:fill="1F4E79"/>
            <w:tcMar>
              <w:top w:w="80" w:type="dxa"/>
              <w:start w:w="80" w:type="dxa"/>
              <w:bottom w:w="80" w:type="dxa"/>
              <w:end w:w="80" w:type="dxa"/>
            </w:tcMar>
            <w:vAlign w:val="center"/>
          </w:tcPr>
          <w:p>
            <w:pPr>
              <w:jc w:val="center"/>
            </w:pPr>
            <w:r>
              <w:rPr>
                <w:b/>
                <w:color w:val="FFFFFF"/>
                <w:sz w:val="15"/>
              </w:rPr>
              <w:t>Area</w:t>
            </w:r>
          </w:p>
        </w:tc>
        <w:tc>
          <w:tcPr>
            <w:tcW w:type="dxa" w:w="4608"/>
            <w:shd w:fill="1F4E79"/>
            <w:tcMar>
              <w:top w:w="80" w:type="dxa"/>
              <w:start w:w="80" w:type="dxa"/>
              <w:bottom w:w="80" w:type="dxa"/>
              <w:end w:w="80" w:type="dxa"/>
            </w:tcMar>
            <w:vAlign w:val="center"/>
          </w:tcPr>
          <w:p>
            <w:pPr>
              <w:jc w:val="center"/>
            </w:pPr>
            <w:r>
              <w:rPr>
                <w:b/>
                <w:color w:val="FFFFFF"/>
                <w:sz w:val="15"/>
              </w:rPr>
              <w:t>Scenario</w:t>
            </w:r>
          </w:p>
        </w:tc>
        <w:tc>
          <w:tcPr>
            <w:tcW w:type="dxa" w:w="4176"/>
            <w:shd w:fill="1F4E79"/>
            <w:tcMar>
              <w:top w:w="80" w:type="dxa"/>
              <w:start w:w="80" w:type="dxa"/>
              <w:bottom w:w="80" w:type="dxa"/>
              <w:end w:w="80" w:type="dxa"/>
            </w:tcMar>
            <w:vAlign w:val="center"/>
          </w:tcPr>
          <w:p>
            <w:pPr>
              <w:jc w:val="center"/>
            </w:pPr>
            <w:r>
              <w:rPr>
                <w:b/>
                <w:color w:val="FFFFFF"/>
                <w:sz w:val="15"/>
              </w:rPr>
              <w:t>Expected result</w:t>
            </w:r>
          </w:p>
        </w:tc>
      </w:tr>
      <w:tr>
        <w:tc>
          <w:tcPr>
            <w:tcW w:type="dxa" w:w="2016"/>
            <w:tcMar>
              <w:top w:w="70" w:type="dxa"/>
              <w:start w:w="70" w:type="dxa"/>
              <w:bottom w:w="70" w:type="dxa"/>
              <w:end w:w="70" w:type="dxa"/>
            </w:tcMar>
            <w:vAlign w:val="top"/>
          </w:tcPr>
          <w:p>
            <w:pPr>
              <w:spacing w:after="20" w:line="252" w:lineRule="auto"/>
            </w:pPr>
            <w:r>
              <w:rPr>
                <w:sz w:val="15"/>
              </w:rPr>
              <w:t>Access</w:t>
            </w:r>
          </w:p>
        </w:tc>
        <w:tc>
          <w:tcPr>
            <w:tcW w:type="dxa" w:w="4608"/>
            <w:tcMar>
              <w:top w:w="70" w:type="dxa"/>
              <w:start w:w="70" w:type="dxa"/>
              <w:bottom w:w="70" w:type="dxa"/>
              <w:end w:w="70" w:type="dxa"/>
            </w:tcMar>
            <w:vAlign w:val="top"/>
          </w:tcPr>
          <w:p>
            <w:pPr>
              <w:spacing w:after="20" w:line="252" w:lineRule="auto"/>
            </w:pPr>
            <w:r>
              <w:rPr>
                <w:sz w:val="15"/>
              </w:rPr>
              <w:t>User with approved Nortal domain can access the app.</w:t>
            </w:r>
          </w:p>
        </w:tc>
        <w:tc>
          <w:tcPr>
            <w:tcW w:type="dxa" w:w="4176"/>
            <w:tcMar>
              <w:top w:w="70" w:type="dxa"/>
              <w:start w:w="70" w:type="dxa"/>
              <w:bottom w:w="70" w:type="dxa"/>
              <w:end w:w="70" w:type="dxa"/>
            </w:tcMar>
            <w:vAlign w:val="top"/>
          </w:tcPr>
          <w:p>
            <w:pPr>
              <w:spacing w:after="20" w:line="252" w:lineRule="auto"/>
            </w:pPr>
            <w:r>
              <w:rPr>
                <w:sz w:val="15"/>
              </w:rPr>
              <w:t>Access granted and participant profile created or updated.</w:t>
            </w:r>
          </w:p>
        </w:tc>
      </w:tr>
      <w:tr>
        <w:tc>
          <w:tcPr>
            <w:tcW w:type="dxa" w:w="2016"/>
            <w:tcMar>
              <w:top w:w="70" w:type="dxa"/>
              <w:start w:w="70" w:type="dxa"/>
              <w:bottom w:w="70" w:type="dxa"/>
              <w:end w:w="70" w:type="dxa"/>
            </w:tcMar>
            <w:vAlign w:val="top"/>
          </w:tcPr>
          <w:p>
            <w:pPr>
              <w:spacing w:after="20" w:line="252" w:lineRule="auto"/>
            </w:pPr>
            <w:r>
              <w:rPr>
                <w:sz w:val="15"/>
              </w:rPr>
              <w:t>Access</w:t>
            </w:r>
          </w:p>
        </w:tc>
        <w:tc>
          <w:tcPr>
            <w:tcW w:type="dxa" w:w="4608"/>
            <w:tcMar>
              <w:top w:w="70" w:type="dxa"/>
              <w:start w:w="70" w:type="dxa"/>
              <w:bottom w:w="70" w:type="dxa"/>
              <w:end w:w="70" w:type="dxa"/>
            </w:tcMar>
            <w:vAlign w:val="top"/>
          </w:tcPr>
          <w:p>
            <w:pPr>
              <w:spacing w:after="20" w:line="252" w:lineRule="auto"/>
            </w:pPr>
            <w:r>
              <w:rPr>
                <w:sz w:val="15"/>
              </w:rPr>
              <w:t>User with non-approved domain attempts to access the app.</w:t>
            </w:r>
          </w:p>
        </w:tc>
        <w:tc>
          <w:tcPr>
            <w:tcW w:type="dxa" w:w="4176"/>
            <w:tcMar>
              <w:top w:w="70" w:type="dxa"/>
              <w:start w:w="70" w:type="dxa"/>
              <w:bottom w:w="70" w:type="dxa"/>
              <w:end w:w="70" w:type="dxa"/>
            </w:tcMar>
            <w:vAlign w:val="top"/>
          </w:tcPr>
          <w:p>
            <w:pPr>
              <w:spacing w:after="20" w:line="252" w:lineRule="auto"/>
            </w:pPr>
            <w:r>
              <w:rPr>
                <w:sz w:val="15"/>
              </w:rPr>
              <w:t>Access denied; no participant profile created; event logged.</w:t>
            </w:r>
          </w:p>
        </w:tc>
      </w:tr>
      <w:tr>
        <w:tc>
          <w:tcPr>
            <w:tcW w:type="dxa" w:w="2016"/>
            <w:tcMar>
              <w:top w:w="70" w:type="dxa"/>
              <w:start w:w="70" w:type="dxa"/>
              <w:bottom w:w="70" w:type="dxa"/>
              <w:end w:w="70" w:type="dxa"/>
            </w:tcMar>
            <w:vAlign w:val="top"/>
          </w:tcPr>
          <w:p>
            <w:pPr>
              <w:spacing w:after="20" w:line="252" w:lineRule="auto"/>
            </w:pPr>
            <w:r>
              <w:rPr>
                <w:sz w:val="15"/>
              </w:rPr>
              <w:t>Match prediction</w:t>
            </w:r>
          </w:p>
        </w:tc>
        <w:tc>
          <w:tcPr>
            <w:tcW w:type="dxa" w:w="4608"/>
            <w:tcMar>
              <w:top w:w="70" w:type="dxa"/>
              <w:start w:w="70" w:type="dxa"/>
              <w:bottom w:w="70" w:type="dxa"/>
              <w:end w:w="70" w:type="dxa"/>
            </w:tcMar>
            <w:vAlign w:val="top"/>
          </w:tcPr>
          <w:p>
            <w:pPr>
              <w:spacing w:after="20" w:line="252" w:lineRule="auto"/>
            </w:pPr>
            <w:r>
              <w:rPr>
                <w:sz w:val="15"/>
              </w:rPr>
              <w:t>User submits a prediction more than one hour before kickoff.</w:t>
            </w:r>
          </w:p>
        </w:tc>
        <w:tc>
          <w:tcPr>
            <w:tcW w:type="dxa" w:w="4176"/>
            <w:tcMar>
              <w:top w:w="70" w:type="dxa"/>
              <w:start w:w="70" w:type="dxa"/>
              <w:bottom w:w="70" w:type="dxa"/>
              <w:end w:w="70" w:type="dxa"/>
            </w:tcMar>
            <w:vAlign w:val="top"/>
          </w:tcPr>
          <w:p>
            <w:pPr>
              <w:spacing w:after="20" w:line="252" w:lineRule="auto"/>
            </w:pPr>
            <w:r>
              <w:rPr>
                <w:sz w:val="15"/>
              </w:rPr>
              <w:t>Prediction saved successfully.</w:t>
            </w:r>
          </w:p>
        </w:tc>
      </w:tr>
      <w:tr>
        <w:tc>
          <w:tcPr>
            <w:tcW w:type="dxa" w:w="2016"/>
            <w:tcMar>
              <w:top w:w="70" w:type="dxa"/>
              <w:start w:w="70" w:type="dxa"/>
              <w:bottom w:w="70" w:type="dxa"/>
              <w:end w:w="70" w:type="dxa"/>
            </w:tcMar>
            <w:vAlign w:val="top"/>
          </w:tcPr>
          <w:p>
            <w:pPr>
              <w:spacing w:after="20" w:line="252" w:lineRule="auto"/>
            </w:pPr>
            <w:r>
              <w:rPr>
                <w:sz w:val="15"/>
              </w:rPr>
              <w:t>Match prediction</w:t>
            </w:r>
          </w:p>
        </w:tc>
        <w:tc>
          <w:tcPr>
            <w:tcW w:type="dxa" w:w="4608"/>
            <w:tcMar>
              <w:top w:w="70" w:type="dxa"/>
              <w:start w:w="70" w:type="dxa"/>
              <w:bottom w:w="70" w:type="dxa"/>
              <w:end w:w="70" w:type="dxa"/>
            </w:tcMar>
            <w:vAlign w:val="top"/>
          </w:tcPr>
          <w:p>
            <w:pPr>
              <w:spacing w:after="20" w:line="252" w:lineRule="auto"/>
            </w:pPr>
            <w:r>
              <w:rPr>
                <w:sz w:val="15"/>
              </w:rPr>
              <w:t>User attempts to edit at exactly kickoff minus 60 minutes.</w:t>
            </w:r>
          </w:p>
        </w:tc>
        <w:tc>
          <w:tcPr>
            <w:tcW w:type="dxa" w:w="4176"/>
            <w:tcMar>
              <w:top w:w="70" w:type="dxa"/>
              <w:start w:w="70" w:type="dxa"/>
              <w:bottom w:w="70" w:type="dxa"/>
              <w:end w:w="70" w:type="dxa"/>
            </w:tcMar>
            <w:vAlign w:val="top"/>
          </w:tcPr>
          <w:p>
            <w:pPr>
              <w:spacing w:after="20" w:line="252" w:lineRule="auto"/>
            </w:pPr>
            <w:r>
              <w:rPr>
                <w:sz w:val="15"/>
              </w:rPr>
              <w:t>Edit rejected because the prediction is locked.</w:t>
            </w:r>
          </w:p>
        </w:tc>
      </w:tr>
      <w:tr>
        <w:tc>
          <w:tcPr>
            <w:tcW w:type="dxa" w:w="2016"/>
            <w:tcMar>
              <w:top w:w="70" w:type="dxa"/>
              <w:start w:w="70" w:type="dxa"/>
              <w:bottom w:w="70" w:type="dxa"/>
              <w:end w:w="70" w:type="dxa"/>
            </w:tcMar>
            <w:vAlign w:val="top"/>
          </w:tcPr>
          <w:p>
            <w:pPr>
              <w:spacing w:after="20" w:line="252" w:lineRule="auto"/>
            </w:pPr>
            <w:r>
              <w:rPr>
                <w:sz w:val="15"/>
              </w:rPr>
              <w:t>Match prediction</w:t>
            </w:r>
          </w:p>
        </w:tc>
        <w:tc>
          <w:tcPr>
            <w:tcW w:type="dxa" w:w="4608"/>
            <w:tcMar>
              <w:top w:w="70" w:type="dxa"/>
              <w:start w:w="70" w:type="dxa"/>
              <w:bottom w:w="70" w:type="dxa"/>
              <w:end w:w="70" w:type="dxa"/>
            </w:tcMar>
            <w:vAlign w:val="top"/>
          </w:tcPr>
          <w:p>
            <w:pPr>
              <w:spacing w:after="20" w:line="252" w:lineRule="auto"/>
            </w:pPr>
            <w:r>
              <w:rPr>
                <w:sz w:val="15"/>
              </w:rPr>
              <w:t>User attempts to edit 59 minutes before kickoff.</w:t>
            </w:r>
          </w:p>
        </w:tc>
        <w:tc>
          <w:tcPr>
            <w:tcW w:type="dxa" w:w="4176"/>
            <w:tcMar>
              <w:top w:w="70" w:type="dxa"/>
              <w:start w:w="70" w:type="dxa"/>
              <w:bottom w:w="70" w:type="dxa"/>
              <w:end w:w="70" w:type="dxa"/>
            </w:tcMar>
            <w:vAlign w:val="top"/>
          </w:tcPr>
          <w:p>
            <w:pPr>
              <w:spacing w:after="20" w:line="252" w:lineRule="auto"/>
            </w:pPr>
            <w:r>
              <w:rPr>
                <w:sz w:val="15"/>
              </w:rPr>
              <w:t>Edit rejected.</w:t>
            </w:r>
          </w:p>
        </w:tc>
      </w:tr>
      <w:tr>
        <w:tc>
          <w:tcPr>
            <w:tcW w:type="dxa" w:w="2016"/>
            <w:tcMar>
              <w:top w:w="70" w:type="dxa"/>
              <w:start w:w="70" w:type="dxa"/>
              <w:bottom w:w="70" w:type="dxa"/>
              <w:end w:w="70" w:type="dxa"/>
            </w:tcMar>
            <w:vAlign w:val="top"/>
          </w:tcPr>
          <w:p>
            <w:pPr>
              <w:spacing w:after="20" w:line="252" w:lineRule="auto"/>
            </w:pPr>
            <w:r>
              <w:rPr>
                <w:sz w:val="15"/>
              </w:rPr>
              <w:t>Match prediction</w:t>
            </w:r>
          </w:p>
        </w:tc>
        <w:tc>
          <w:tcPr>
            <w:tcW w:type="dxa" w:w="4608"/>
            <w:tcMar>
              <w:top w:w="70" w:type="dxa"/>
              <w:start w:w="70" w:type="dxa"/>
              <w:bottom w:w="70" w:type="dxa"/>
              <w:end w:w="70" w:type="dxa"/>
            </w:tcMar>
            <w:vAlign w:val="top"/>
          </w:tcPr>
          <w:p>
            <w:pPr>
              <w:spacing w:after="20" w:line="252" w:lineRule="auto"/>
            </w:pPr>
            <w:r>
              <w:rPr>
                <w:sz w:val="15"/>
              </w:rPr>
              <w:t>User edits 61 minutes before kickoff.</w:t>
            </w:r>
          </w:p>
        </w:tc>
        <w:tc>
          <w:tcPr>
            <w:tcW w:type="dxa" w:w="4176"/>
            <w:tcMar>
              <w:top w:w="70" w:type="dxa"/>
              <w:start w:w="70" w:type="dxa"/>
              <w:bottom w:w="70" w:type="dxa"/>
              <w:end w:w="70" w:type="dxa"/>
            </w:tcMar>
            <w:vAlign w:val="top"/>
          </w:tcPr>
          <w:p>
            <w:pPr>
              <w:spacing w:after="20" w:line="252" w:lineRule="auto"/>
            </w:pPr>
            <w:r>
              <w:rPr>
                <w:sz w:val="15"/>
              </w:rPr>
              <w:t>Edit accepted and audit history preserved.</w:t>
            </w:r>
          </w:p>
        </w:tc>
      </w:tr>
      <w:tr>
        <w:tc>
          <w:tcPr>
            <w:tcW w:type="dxa" w:w="2016"/>
            <w:tcMar>
              <w:top w:w="70" w:type="dxa"/>
              <w:start w:w="70" w:type="dxa"/>
              <w:bottom w:w="70" w:type="dxa"/>
              <w:end w:w="70" w:type="dxa"/>
            </w:tcMar>
            <w:vAlign w:val="top"/>
          </w:tcPr>
          <w:p>
            <w:pPr>
              <w:spacing w:after="20" w:line="252" w:lineRule="auto"/>
            </w:pPr>
            <w:r>
              <w:rPr>
                <w:sz w:val="15"/>
              </w:rPr>
              <w:t>Final predictions</w:t>
            </w:r>
          </w:p>
        </w:tc>
        <w:tc>
          <w:tcPr>
            <w:tcW w:type="dxa" w:w="4608"/>
            <w:tcMar>
              <w:top w:w="70" w:type="dxa"/>
              <w:start w:w="70" w:type="dxa"/>
              <w:bottom w:w="70" w:type="dxa"/>
              <w:end w:w="70" w:type="dxa"/>
            </w:tcMar>
            <w:vAlign w:val="top"/>
          </w:tcPr>
          <w:p>
            <w:pPr>
              <w:spacing w:after="20" w:line="252" w:lineRule="auto"/>
            </w:pPr>
            <w:r>
              <w:rPr>
                <w:sz w:val="15"/>
              </w:rPr>
              <w:t>User submits champion, runner-up, top scorer, and best player before first kickoff.</w:t>
            </w:r>
          </w:p>
        </w:tc>
        <w:tc>
          <w:tcPr>
            <w:tcW w:type="dxa" w:w="4176"/>
            <w:tcMar>
              <w:top w:w="70" w:type="dxa"/>
              <w:start w:w="70" w:type="dxa"/>
              <w:bottom w:w="70" w:type="dxa"/>
              <w:end w:w="70" w:type="dxa"/>
            </w:tcMar>
            <w:vAlign w:val="top"/>
          </w:tcPr>
          <w:p>
            <w:pPr>
              <w:spacing w:after="20" w:line="252" w:lineRule="auto"/>
            </w:pPr>
            <w:r>
              <w:rPr>
                <w:sz w:val="15"/>
              </w:rPr>
              <w:t>Final predictions saved successfully.</w:t>
            </w:r>
          </w:p>
        </w:tc>
      </w:tr>
      <w:tr>
        <w:tc>
          <w:tcPr>
            <w:tcW w:type="dxa" w:w="2016"/>
            <w:tcMar>
              <w:top w:w="70" w:type="dxa"/>
              <w:start w:w="70" w:type="dxa"/>
              <w:bottom w:w="70" w:type="dxa"/>
              <w:end w:w="70" w:type="dxa"/>
            </w:tcMar>
            <w:vAlign w:val="top"/>
          </w:tcPr>
          <w:p>
            <w:pPr>
              <w:spacing w:after="20" w:line="252" w:lineRule="auto"/>
            </w:pPr>
            <w:r>
              <w:rPr>
                <w:sz w:val="15"/>
              </w:rPr>
              <w:t>Final predictions</w:t>
            </w:r>
          </w:p>
        </w:tc>
        <w:tc>
          <w:tcPr>
            <w:tcW w:type="dxa" w:w="4608"/>
            <w:tcMar>
              <w:top w:w="70" w:type="dxa"/>
              <w:start w:w="70" w:type="dxa"/>
              <w:bottom w:w="70" w:type="dxa"/>
              <w:end w:w="70" w:type="dxa"/>
            </w:tcMar>
            <w:vAlign w:val="top"/>
          </w:tcPr>
          <w:p>
            <w:pPr>
              <w:spacing w:after="20" w:line="252" w:lineRule="auto"/>
            </w:pPr>
            <w:r>
              <w:rPr>
                <w:sz w:val="15"/>
              </w:rPr>
              <w:t>User attempts to edit after first kickoff.</w:t>
            </w:r>
          </w:p>
        </w:tc>
        <w:tc>
          <w:tcPr>
            <w:tcW w:type="dxa" w:w="4176"/>
            <w:tcMar>
              <w:top w:w="70" w:type="dxa"/>
              <w:start w:w="70" w:type="dxa"/>
              <w:bottom w:w="70" w:type="dxa"/>
              <w:end w:w="70" w:type="dxa"/>
            </w:tcMar>
            <w:vAlign w:val="top"/>
          </w:tcPr>
          <w:p>
            <w:pPr>
              <w:spacing w:after="20" w:line="252" w:lineRule="auto"/>
            </w:pPr>
            <w:r>
              <w:rPr>
                <w:sz w:val="15"/>
              </w:rPr>
              <w:t>Edit rejected.</w:t>
            </w:r>
          </w:p>
        </w:tc>
      </w:tr>
      <w:tr>
        <w:tc>
          <w:tcPr>
            <w:tcW w:type="dxa" w:w="2016"/>
            <w:tcMar>
              <w:top w:w="70" w:type="dxa"/>
              <w:start w:w="70" w:type="dxa"/>
              <w:bottom w:w="70" w:type="dxa"/>
              <w:end w:w="70" w:type="dxa"/>
            </w:tcMar>
            <w:vAlign w:val="top"/>
          </w:tcPr>
          <w:p>
            <w:pPr>
              <w:spacing w:after="20" w:line="252" w:lineRule="auto"/>
            </w:pPr>
            <w:r>
              <w:rPr>
                <w:sz w:val="15"/>
              </w:rPr>
              <w:t>Scoring</w:t>
            </w:r>
          </w:p>
        </w:tc>
        <w:tc>
          <w:tcPr>
            <w:tcW w:type="dxa" w:w="4608"/>
            <w:tcMar>
              <w:top w:w="70" w:type="dxa"/>
              <w:start w:w="70" w:type="dxa"/>
              <w:bottom w:w="70" w:type="dxa"/>
              <w:end w:w="70" w:type="dxa"/>
            </w:tcMar>
            <w:vAlign w:val="top"/>
          </w:tcPr>
          <w:p>
            <w:pPr>
              <w:spacing w:after="20" w:line="252" w:lineRule="auto"/>
            </w:pPr>
            <w:r>
              <w:rPr>
                <w:sz w:val="15"/>
              </w:rPr>
              <w:t>Predicted score equals official score.</w:t>
            </w:r>
          </w:p>
        </w:tc>
        <w:tc>
          <w:tcPr>
            <w:tcW w:type="dxa" w:w="4176"/>
            <w:tcMar>
              <w:top w:w="70" w:type="dxa"/>
              <w:start w:w="70" w:type="dxa"/>
              <w:bottom w:w="70" w:type="dxa"/>
              <w:end w:w="70" w:type="dxa"/>
            </w:tcMar>
            <w:vAlign w:val="top"/>
          </w:tcPr>
          <w:p>
            <w:pPr>
              <w:spacing w:after="20" w:line="252" w:lineRule="auto"/>
            </w:pPr>
            <w:r>
              <w:rPr>
                <w:sz w:val="15"/>
              </w:rPr>
              <w:t>10 points awarded.</w:t>
            </w:r>
          </w:p>
        </w:tc>
      </w:tr>
      <w:tr>
        <w:tc>
          <w:tcPr>
            <w:tcW w:type="dxa" w:w="2016"/>
            <w:tcMar>
              <w:top w:w="70" w:type="dxa"/>
              <w:start w:w="70" w:type="dxa"/>
              <w:bottom w:w="70" w:type="dxa"/>
              <w:end w:w="70" w:type="dxa"/>
            </w:tcMar>
            <w:vAlign w:val="top"/>
          </w:tcPr>
          <w:p>
            <w:pPr>
              <w:spacing w:after="20" w:line="252" w:lineRule="auto"/>
            </w:pPr>
            <w:r>
              <w:rPr>
                <w:sz w:val="15"/>
              </w:rPr>
              <w:t>Scoring</w:t>
            </w:r>
          </w:p>
        </w:tc>
        <w:tc>
          <w:tcPr>
            <w:tcW w:type="dxa" w:w="4608"/>
            <w:tcMar>
              <w:top w:w="70" w:type="dxa"/>
              <w:start w:w="70" w:type="dxa"/>
              <w:bottom w:w="70" w:type="dxa"/>
              <w:end w:w="70" w:type="dxa"/>
            </w:tcMar>
            <w:vAlign w:val="top"/>
          </w:tcPr>
          <w:p>
            <w:pPr>
              <w:spacing w:after="20" w:line="252" w:lineRule="auto"/>
            </w:pPr>
            <w:r>
              <w:rPr>
                <w:sz w:val="15"/>
              </w:rPr>
              <w:t>Predicted winner/draw is correct but exact score differs.</w:t>
            </w:r>
          </w:p>
        </w:tc>
        <w:tc>
          <w:tcPr>
            <w:tcW w:type="dxa" w:w="4176"/>
            <w:tcMar>
              <w:top w:w="70" w:type="dxa"/>
              <w:start w:w="70" w:type="dxa"/>
              <w:bottom w:w="70" w:type="dxa"/>
              <w:end w:w="70" w:type="dxa"/>
            </w:tcMar>
            <w:vAlign w:val="top"/>
          </w:tcPr>
          <w:p>
            <w:pPr>
              <w:spacing w:after="20" w:line="252" w:lineRule="auto"/>
            </w:pPr>
            <w:r>
              <w:rPr>
                <w:sz w:val="15"/>
              </w:rPr>
              <w:t>5 points awarded.</w:t>
            </w:r>
          </w:p>
        </w:tc>
      </w:tr>
      <w:tr>
        <w:tc>
          <w:tcPr>
            <w:tcW w:type="dxa" w:w="2016"/>
            <w:tcMar>
              <w:top w:w="70" w:type="dxa"/>
              <w:start w:w="70" w:type="dxa"/>
              <w:bottom w:w="70" w:type="dxa"/>
              <w:end w:w="70" w:type="dxa"/>
            </w:tcMar>
            <w:vAlign w:val="top"/>
          </w:tcPr>
          <w:p>
            <w:pPr>
              <w:spacing w:after="20" w:line="252" w:lineRule="auto"/>
            </w:pPr>
            <w:r>
              <w:rPr>
                <w:sz w:val="15"/>
              </w:rPr>
              <w:t>Scoring</w:t>
            </w:r>
          </w:p>
        </w:tc>
        <w:tc>
          <w:tcPr>
            <w:tcW w:type="dxa" w:w="4608"/>
            <w:tcMar>
              <w:top w:w="70" w:type="dxa"/>
              <w:start w:w="70" w:type="dxa"/>
              <w:bottom w:w="70" w:type="dxa"/>
              <w:end w:w="70" w:type="dxa"/>
            </w:tcMar>
            <w:vAlign w:val="top"/>
          </w:tcPr>
          <w:p>
            <w:pPr>
              <w:spacing w:after="20" w:line="252" w:lineRule="auto"/>
            </w:pPr>
            <w:r>
              <w:rPr>
                <w:sz w:val="15"/>
              </w:rPr>
              <w:t>Predicted outcome is incorrect.</w:t>
            </w:r>
          </w:p>
        </w:tc>
        <w:tc>
          <w:tcPr>
            <w:tcW w:type="dxa" w:w="4176"/>
            <w:tcMar>
              <w:top w:w="70" w:type="dxa"/>
              <w:start w:w="70" w:type="dxa"/>
              <w:bottom w:w="70" w:type="dxa"/>
              <w:end w:w="70" w:type="dxa"/>
            </w:tcMar>
            <w:vAlign w:val="top"/>
          </w:tcPr>
          <w:p>
            <w:pPr>
              <w:spacing w:after="20" w:line="252" w:lineRule="auto"/>
            </w:pPr>
            <w:r>
              <w:rPr>
                <w:sz w:val="15"/>
              </w:rPr>
              <w:t>0 points awarded.</w:t>
            </w:r>
          </w:p>
        </w:tc>
      </w:tr>
      <w:tr>
        <w:tc>
          <w:tcPr>
            <w:tcW w:type="dxa" w:w="2016"/>
            <w:tcMar>
              <w:top w:w="70" w:type="dxa"/>
              <w:start w:w="70" w:type="dxa"/>
              <w:bottom w:w="70" w:type="dxa"/>
              <w:end w:w="70" w:type="dxa"/>
            </w:tcMar>
            <w:vAlign w:val="top"/>
          </w:tcPr>
          <w:p>
            <w:pPr>
              <w:spacing w:after="20" w:line="252" w:lineRule="auto"/>
            </w:pPr>
            <w:r>
              <w:rPr>
                <w:sz w:val="15"/>
              </w:rPr>
              <w:t>Recalculation</w:t>
            </w:r>
          </w:p>
        </w:tc>
        <w:tc>
          <w:tcPr>
            <w:tcW w:type="dxa" w:w="4608"/>
            <w:tcMar>
              <w:top w:w="70" w:type="dxa"/>
              <w:start w:w="70" w:type="dxa"/>
              <w:bottom w:w="70" w:type="dxa"/>
              <w:end w:w="70" w:type="dxa"/>
            </w:tcMar>
            <w:vAlign w:val="top"/>
          </w:tcPr>
          <w:p>
            <w:pPr>
              <w:spacing w:after="20" w:line="252" w:lineRule="auto"/>
            </w:pPr>
            <w:r>
              <w:rPr>
                <w:sz w:val="15"/>
              </w:rPr>
              <w:t>Official score is corrected after initial scoring.</w:t>
            </w:r>
          </w:p>
        </w:tc>
        <w:tc>
          <w:tcPr>
            <w:tcW w:type="dxa" w:w="4176"/>
            <w:tcMar>
              <w:top w:w="70" w:type="dxa"/>
              <w:start w:w="70" w:type="dxa"/>
              <w:bottom w:w="70" w:type="dxa"/>
              <w:end w:w="70" w:type="dxa"/>
            </w:tcMar>
            <w:vAlign w:val="top"/>
          </w:tcPr>
          <w:p>
            <w:pPr>
              <w:spacing w:after="20" w:line="252" w:lineRule="auto"/>
            </w:pPr>
            <w:r>
              <w:rPr>
                <w:sz w:val="15"/>
              </w:rPr>
              <w:t>Previous scoring is preserved in audit history and new scoring is calculated.</w:t>
            </w:r>
          </w:p>
        </w:tc>
      </w:tr>
      <w:tr>
        <w:tc>
          <w:tcPr>
            <w:tcW w:type="dxa" w:w="2016"/>
            <w:tcMar>
              <w:top w:w="70" w:type="dxa"/>
              <w:start w:w="70" w:type="dxa"/>
              <w:bottom w:w="70" w:type="dxa"/>
              <w:end w:w="70" w:type="dxa"/>
            </w:tcMar>
            <w:vAlign w:val="top"/>
          </w:tcPr>
          <w:p>
            <w:pPr>
              <w:spacing w:after="20" w:line="252" w:lineRule="auto"/>
            </w:pPr>
            <w:r>
              <w:rPr>
                <w:sz w:val="15"/>
              </w:rPr>
              <w:t>Integration</w:t>
            </w:r>
          </w:p>
        </w:tc>
        <w:tc>
          <w:tcPr>
            <w:tcW w:type="dxa" w:w="4608"/>
            <w:tcMar>
              <w:top w:w="70" w:type="dxa"/>
              <w:start w:w="70" w:type="dxa"/>
              <w:bottom w:w="70" w:type="dxa"/>
              <w:end w:w="70" w:type="dxa"/>
            </w:tcMar>
            <w:vAlign w:val="top"/>
          </w:tcPr>
          <w:p>
            <w:pPr>
              <w:spacing w:after="20" w:line="252" w:lineRule="auto"/>
            </w:pPr>
            <w:r>
              <w:rPr>
                <w:sz w:val="15"/>
              </w:rPr>
              <w:t>Provider API fails temporarily.</w:t>
            </w:r>
          </w:p>
        </w:tc>
        <w:tc>
          <w:tcPr>
            <w:tcW w:type="dxa" w:w="4176"/>
            <w:tcMar>
              <w:top w:w="70" w:type="dxa"/>
              <w:start w:w="70" w:type="dxa"/>
              <w:bottom w:w="70" w:type="dxa"/>
              <w:end w:w="70" w:type="dxa"/>
            </w:tcMar>
            <w:vAlign w:val="top"/>
          </w:tcPr>
          <w:p>
            <w:pPr>
              <w:spacing w:after="20" w:line="252" w:lineRule="auto"/>
            </w:pPr>
            <w:r>
              <w:rPr>
                <w:sz w:val="15"/>
              </w:rPr>
              <w:t>System retries according to policy and alerts administrators if failure persists.</w:t>
            </w:r>
          </w:p>
        </w:tc>
      </w:tr>
      <w:tr>
        <w:tc>
          <w:tcPr>
            <w:tcW w:type="dxa" w:w="2016"/>
            <w:tcMar>
              <w:top w:w="70" w:type="dxa"/>
              <w:start w:w="70" w:type="dxa"/>
              <w:bottom w:w="70" w:type="dxa"/>
              <w:end w:w="70" w:type="dxa"/>
            </w:tcMar>
            <w:vAlign w:val="top"/>
          </w:tcPr>
          <w:p>
            <w:pPr>
              <w:spacing w:after="20" w:line="252" w:lineRule="auto"/>
            </w:pPr>
            <w:r>
              <w:rPr>
                <w:sz w:val="15"/>
              </w:rPr>
              <w:t>Admin</w:t>
            </w:r>
          </w:p>
        </w:tc>
        <w:tc>
          <w:tcPr>
            <w:tcW w:type="dxa" w:w="4608"/>
            <w:tcMar>
              <w:top w:w="70" w:type="dxa"/>
              <w:start w:w="70" w:type="dxa"/>
              <w:bottom w:w="70" w:type="dxa"/>
              <w:end w:w="70" w:type="dxa"/>
            </w:tcMar>
            <w:vAlign w:val="top"/>
          </w:tcPr>
          <w:p>
            <w:pPr>
              <w:spacing w:after="20" w:line="252" w:lineRule="auto"/>
            </w:pPr>
            <w:r>
              <w:rPr>
                <w:sz w:val="15"/>
              </w:rPr>
              <w:t>Administrator manually corrects a score.</w:t>
            </w:r>
          </w:p>
        </w:tc>
        <w:tc>
          <w:tcPr>
            <w:tcW w:type="dxa" w:w="4176"/>
            <w:tcMar>
              <w:top w:w="70" w:type="dxa"/>
              <w:start w:w="70" w:type="dxa"/>
              <w:bottom w:w="70" w:type="dxa"/>
              <w:end w:w="70" w:type="dxa"/>
            </w:tcMar>
            <w:vAlign w:val="top"/>
          </w:tcPr>
          <w:p>
            <w:pPr>
              <w:spacing w:after="20" w:line="252" w:lineRule="auto"/>
            </w:pPr>
            <w:r>
              <w:rPr>
                <w:sz w:val="15"/>
              </w:rPr>
              <w:t>Correction requires reason/source and creates audit log.</w:t>
            </w:r>
          </w:p>
        </w:tc>
      </w:tr>
    </w:tbl>
    <w:p>
      <w:pPr>
        <w:pStyle w:val="Heading2"/>
        <w:spacing w:before="240" w:after="100"/>
      </w:pPr>
      <w:r>
        <w:t>15.2 Acceptance Criteria</w:t>
      </w:r>
    </w:p>
    <w:p>
      <w:pPr>
        <w:pStyle w:val="ListBullet"/>
        <w:spacing w:after="40"/>
      </w:pPr>
      <w:r>
        <w:rPr>
          <w:sz w:val="18"/>
        </w:rPr>
        <w:t>All must-have functional requirements have test evidence.</w:t>
      </w:r>
    </w:p>
    <w:p>
      <w:pPr>
        <w:pStyle w:val="ListBullet"/>
        <w:spacing w:after="40"/>
      </w:pPr>
      <w:r>
        <w:rPr>
          <w:sz w:val="18"/>
        </w:rPr>
        <w:t>All lock-related rules are verified around boundary times, including exactly 60 minutes before kickoff.</w:t>
      </w:r>
    </w:p>
    <w:p>
      <w:pPr>
        <w:pStyle w:val="ListBullet"/>
        <w:spacing w:after="40"/>
      </w:pPr>
      <w:r>
        <w:rPr>
          <w:sz w:val="18"/>
        </w:rPr>
        <w:t>All scoring scenarios are verified using known examples.</w:t>
      </w:r>
    </w:p>
    <w:p>
      <w:pPr>
        <w:pStyle w:val="ListBullet"/>
        <w:spacing w:after="40"/>
      </w:pPr>
      <w:r>
        <w:rPr>
          <w:sz w:val="18"/>
        </w:rPr>
        <w:t>Access with non-approved domains is blocked through both UI and direct API attempts.</w:t>
      </w:r>
    </w:p>
    <w:p>
      <w:pPr>
        <w:pStyle w:val="ListBullet"/>
        <w:spacing w:after="40"/>
      </w:pPr>
      <w:r>
        <w:rPr>
          <w:sz w:val="18"/>
        </w:rPr>
        <w:t>Audit logs are produced for prediction changes, administrative corrections, and recalculations.</w:t>
      </w:r>
    </w:p>
    <w:p>
      <w:pPr>
        <w:pStyle w:val="ListBullet"/>
        <w:spacing w:after="40"/>
      </w:pPr>
      <w:r>
        <w:rPr>
          <w:sz w:val="18"/>
        </w:rPr>
        <w:t>Leaderboard results match independently calculated expected values for a representative data set.</w:t>
      </w:r>
    </w:p>
    <w:p>
      <w:pPr>
        <w:pStyle w:val="ListBullet"/>
        <w:spacing w:after="40"/>
      </w:pPr>
      <w:r>
        <w:rPr>
          <w:sz w:val="18"/>
        </w:rPr>
        <w:t>Manual fallback procedures are tested before the tournament starts.</w:t>
      </w:r>
    </w:p>
    <w:p>
      <w:pPr>
        <w:pStyle w:val="ListBullet"/>
        <w:spacing w:after="40"/>
      </w:pPr>
      <w:r>
        <w:rPr>
          <w:sz w:val="18"/>
        </w:rPr>
        <w:t>The selected implementation platform passes security and operational readiness review.</w:t>
      </w:r>
    </w:p>
    <w:p>
      <w:pPr>
        <w:pStyle w:val="Heading1"/>
        <w:spacing w:before="240" w:after="100"/>
      </w:pPr>
      <w:r>
        <w:t>16. Delivery Roadmap</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2880"/>
            <w:shd w:fill="1F4E79"/>
            <w:tcMar>
              <w:top w:w="80" w:type="dxa"/>
              <w:start w:w="80" w:type="dxa"/>
              <w:bottom w:w="80" w:type="dxa"/>
              <w:end w:w="80" w:type="dxa"/>
            </w:tcMar>
            <w:vAlign w:val="center"/>
          </w:tcPr>
          <w:p>
            <w:pPr>
              <w:jc w:val="center"/>
            </w:pPr>
            <w:r>
              <w:rPr>
                <w:b/>
                <w:color w:val="FFFFFF"/>
                <w:sz w:val="16"/>
              </w:rPr>
              <w:t>Phase</w:t>
            </w:r>
          </w:p>
        </w:tc>
        <w:tc>
          <w:tcPr>
            <w:tcW w:type="dxa" w:w="4752"/>
            <w:shd w:fill="1F4E79"/>
            <w:tcMar>
              <w:top w:w="80" w:type="dxa"/>
              <w:start w:w="80" w:type="dxa"/>
              <w:bottom w:w="80" w:type="dxa"/>
              <w:end w:w="80" w:type="dxa"/>
            </w:tcMar>
            <w:vAlign w:val="center"/>
          </w:tcPr>
          <w:p>
            <w:pPr>
              <w:jc w:val="center"/>
            </w:pPr>
            <w:r>
              <w:rPr>
                <w:b/>
                <w:color w:val="FFFFFF"/>
                <w:sz w:val="16"/>
              </w:rPr>
              <w:t>Focus</w:t>
            </w:r>
          </w:p>
        </w:tc>
        <w:tc>
          <w:tcPr>
            <w:tcW w:type="dxa" w:w="3024"/>
            <w:shd w:fill="1F4E79"/>
            <w:tcMar>
              <w:top w:w="80" w:type="dxa"/>
              <w:start w:w="80" w:type="dxa"/>
              <w:bottom w:w="80" w:type="dxa"/>
              <w:end w:w="80" w:type="dxa"/>
            </w:tcMar>
            <w:vAlign w:val="center"/>
          </w:tcPr>
          <w:p>
            <w:pPr>
              <w:jc w:val="center"/>
            </w:pPr>
            <w:r>
              <w:rPr>
                <w:b/>
                <w:color w:val="FFFFFF"/>
                <w:sz w:val="16"/>
              </w:rPr>
              <w:t>Exit outcome</w:t>
            </w:r>
          </w:p>
        </w:tc>
      </w:tr>
      <w:tr>
        <w:tc>
          <w:tcPr>
            <w:tcW w:type="dxa" w:w="2880"/>
            <w:tcMar>
              <w:top w:w="70" w:type="dxa"/>
              <w:start w:w="70" w:type="dxa"/>
              <w:bottom w:w="70" w:type="dxa"/>
              <w:end w:w="70" w:type="dxa"/>
            </w:tcMar>
            <w:vAlign w:val="top"/>
          </w:tcPr>
          <w:p>
            <w:pPr>
              <w:spacing w:after="20" w:line="252" w:lineRule="auto"/>
            </w:pPr>
            <w:r>
              <w:rPr>
                <w:sz w:val="16"/>
              </w:rPr>
              <w:t>Phase 0 - Decisions and governance</w:t>
            </w:r>
          </w:p>
        </w:tc>
        <w:tc>
          <w:tcPr>
            <w:tcW w:type="dxa" w:w="4752"/>
            <w:tcMar>
              <w:top w:w="70" w:type="dxa"/>
              <w:start w:w="70" w:type="dxa"/>
              <w:bottom w:w="70" w:type="dxa"/>
              <w:end w:w="70" w:type="dxa"/>
            </w:tcMar>
            <w:vAlign w:val="top"/>
          </w:tcPr>
          <w:p>
            <w:pPr>
              <w:spacing w:after="20" w:line="252" w:lineRule="auto"/>
            </w:pPr>
            <w:r>
              <w:rPr>
                <w:sz w:val="16"/>
              </w:rPr>
              <w:t>Confirm domains, official rules, score basis, tie-breakers, privacy visibility, data provider strategy, and implementation approach.</w:t>
            </w:r>
          </w:p>
        </w:tc>
        <w:tc>
          <w:tcPr>
            <w:tcW w:type="dxa" w:w="3024"/>
            <w:tcMar>
              <w:top w:w="70" w:type="dxa"/>
              <w:start w:w="70" w:type="dxa"/>
              <w:bottom w:w="70" w:type="dxa"/>
              <w:end w:w="70" w:type="dxa"/>
            </w:tcMar>
            <w:vAlign w:val="top"/>
          </w:tcPr>
          <w:p>
            <w:pPr>
              <w:spacing w:after="20" w:line="252" w:lineRule="auto"/>
            </w:pPr>
            <w:r>
              <w:rPr>
                <w:sz w:val="16"/>
              </w:rPr>
              <w:t>Approved architecture decision records and product backlog baseline.</w:t>
            </w:r>
          </w:p>
        </w:tc>
      </w:tr>
      <w:tr>
        <w:tc>
          <w:tcPr>
            <w:tcW w:type="dxa" w:w="2880"/>
            <w:tcMar>
              <w:top w:w="70" w:type="dxa"/>
              <w:start w:w="70" w:type="dxa"/>
              <w:bottom w:w="70" w:type="dxa"/>
              <w:end w:w="70" w:type="dxa"/>
            </w:tcMar>
            <w:vAlign w:val="top"/>
          </w:tcPr>
          <w:p>
            <w:pPr>
              <w:spacing w:after="20" w:line="252" w:lineRule="auto"/>
            </w:pPr>
            <w:r>
              <w:rPr>
                <w:sz w:val="16"/>
              </w:rPr>
              <w:t>Phase 1 - Foundation</w:t>
            </w:r>
          </w:p>
        </w:tc>
        <w:tc>
          <w:tcPr>
            <w:tcW w:type="dxa" w:w="4752"/>
            <w:tcMar>
              <w:top w:w="70" w:type="dxa"/>
              <w:start w:w="70" w:type="dxa"/>
              <w:bottom w:w="70" w:type="dxa"/>
              <w:end w:w="70" w:type="dxa"/>
            </w:tcMar>
            <w:vAlign w:val="top"/>
          </w:tcPr>
          <w:p>
            <w:pPr>
              <w:spacing w:after="20" w:line="252" w:lineRule="auto"/>
            </w:pPr>
            <w:r>
              <w:rPr>
                <w:sz w:val="16"/>
              </w:rPr>
              <w:t>Build identity integration, participant profile, tournament configuration, match catalog, and prediction storage.</w:t>
            </w:r>
          </w:p>
        </w:tc>
        <w:tc>
          <w:tcPr>
            <w:tcW w:type="dxa" w:w="3024"/>
            <w:tcMar>
              <w:top w:w="70" w:type="dxa"/>
              <w:start w:w="70" w:type="dxa"/>
              <w:bottom w:w="70" w:type="dxa"/>
              <w:end w:w="70" w:type="dxa"/>
            </w:tcMar>
            <w:vAlign w:val="top"/>
          </w:tcPr>
          <w:p>
            <w:pPr>
              <w:spacing w:after="20" w:line="252" w:lineRule="auto"/>
            </w:pPr>
            <w:r>
              <w:rPr>
                <w:sz w:val="16"/>
              </w:rPr>
              <w:t>Eligible users can access and submit/edit predictions in a controlled test environment.</w:t>
            </w:r>
          </w:p>
        </w:tc>
      </w:tr>
      <w:tr>
        <w:tc>
          <w:tcPr>
            <w:tcW w:type="dxa" w:w="2880"/>
            <w:tcMar>
              <w:top w:w="70" w:type="dxa"/>
              <w:start w:w="70" w:type="dxa"/>
              <w:bottom w:w="70" w:type="dxa"/>
              <w:end w:w="70" w:type="dxa"/>
            </w:tcMar>
            <w:vAlign w:val="top"/>
          </w:tcPr>
          <w:p>
            <w:pPr>
              <w:spacing w:after="20" w:line="252" w:lineRule="auto"/>
            </w:pPr>
            <w:r>
              <w:rPr>
                <w:sz w:val="16"/>
              </w:rPr>
              <w:t>Phase 2 - Rules and scoring</w:t>
            </w:r>
          </w:p>
        </w:tc>
        <w:tc>
          <w:tcPr>
            <w:tcW w:type="dxa" w:w="4752"/>
            <w:tcMar>
              <w:top w:w="70" w:type="dxa"/>
              <w:start w:w="70" w:type="dxa"/>
              <w:bottom w:w="70" w:type="dxa"/>
              <w:end w:w="70" w:type="dxa"/>
            </w:tcMar>
            <w:vAlign w:val="top"/>
          </w:tcPr>
          <w:p>
            <w:pPr>
              <w:spacing w:after="20" w:line="252" w:lineRule="auto"/>
            </w:pPr>
            <w:r>
              <w:rPr>
                <w:sz w:val="16"/>
              </w:rPr>
              <w:t>Implement lock rules, final prediction lock, scoring engine, leaderboard, and audit trail.</w:t>
            </w:r>
          </w:p>
        </w:tc>
        <w:tc>
          <w:tcPr>
            <w:tcW w:type="dxa" w:w="3024"/>
            <w:tcMar>
              <w:top w:w="70" w:type="dxa"/>
              <w:start w:w="70" w:type="dxa"/>
              <w:bottom w:w="70" w:type="dxa"/>
              <w:end w:w="70" w:type="dxa"/>
            </w:tcMar>
            <w:vAlign w:val="top"/>
          </w:tcPr>
          <w:p>
            <w:pPr>
              <w:spacing w:after="20" w:line="252" w:lineRule="auto"/>
            </w:pPr>
            <w:r>
              <w:rPr>
                <w:sz w:val="16"/>
              </w:rPr>
              <w:t>Scoring and locks pass boundary tests.</w:t>
            </w:r>
          </w:p>
        </w:tc>
      </w:tr>
      <w:tr>
        <w:tc>
          <w:tcPr>
            <w:tcW w:type="dxa" w:w="2880"/>
            <w:tcMar>
              <w:top w:w="70" w:type="dxa"/>
              <w:start w:w="70" w:type="dxa"/>
              <w:bottom w:w="70" w:type="dxa"/>
              <w:end w:w="70" w:type="dxa"/>
            </w:tcMar>
            <w:vAlign w:val="top"/>
          </w:tcPr>
          <w:p>
            <w:pPr>
              <w:spacing w:after="20" w:line="252" w:lineRule="auto"/>
            </w:pPr>
            <w:r>
              <w:rPr>
                <w:sz w:val="16"/>
              </w:rPr>
              <w:t>Phase 3 - Data integration</w:t>
            </w:r>
          </w:p>
        </w:tc>
        <w:tc>
          <w:tcPr>
            <w:tcW w:type="dxa" w:w="4752"/>
            <w:tcMar>
              <w:top w:w="70" w:type="dxa"/>
              <w:start w:w="70" w:type="dxa"/>
              <w:bottom w:w="70" w:type="dxa"/>
              <w:end w:w="70" w:type="dxa"/>
            </w:tcMar>
            <w:vAlign w:val="top"/>
          </w:tcPr>
          <w:p>
            <w:pPr>
              <w:spacing w:after="20" w:line="252" w:lineRule="auto"/>
            </w:pPr>
            <w:r>
              <w:rPr>
                <w:sz w:val="16"/>
              </w:rPr>
              <w:t>Implement provider abstraction, schedule import, result synchronization, retries, and admin review workflow.</w:t>
            </w:r>
          </w:p>
        </w:tc>
        <w:tc>
          <w:tcPr>
            <w:tcW w:type="dxa" w:w="3024"/>
            <w:tcMar>
              <w:top w:w="70" w:type="dxa"/>
              <w:start w:w="70" w:type="dxa"/>
              <w:bottom w:w="70" w:type="dxa"/>
              <w:end w:w="70" w:type="dxa"/>
            </w:tcMar>
            <w:vAlign w:val="top"/>
          </w:tcPr>
          <w:p>
            <w:pPr>
              <w:spacing w:after="20" w:line="252" w:lineRule="auto"/>
            </w:pPr>
            <w:r>
              <w:rPr>
                <w:sz w:val="16"/>
              </w:rPr>
              <w:t>Fixtures and scores can be synchronized and corrected.</w:t>
            </w:r>
          </w:p>
        </w:tc>
      </w:tr>
      <w:tr>
        <w:tc>
          <w:tcPr>
            <w:tcW w:type="dxa" w:w="2880"/>
            <w:tcMar>
              <w:top w:w="70" w:type="dxa"/>
              <w:start w:w="70" w:type="dxa"/>
              <w:bottom w:w="70" w:type="dxa"/>
              <w:end w:w="70" w:type="dxa"/>
            </w:tcMar>
            <w:vAlign w:val="top"/>
          </w:tcPr>
          <w:p>
            <w:pPr>
              <w:spacing w:after="20" w:line="252" w:lineRule="auto"/>
            </w:pPr>
            <w:r>
              <w:rPr>
                <w:sz w:val="16"/>
              </w:rPr>
              <w:t>Phase 4 - UX polish and engagement</w:t>
            </w:r>
          </w:p>
        </w:tc>
        <w:tc>
          <w:tcPr>
            <w:tcW w:type="dxa" w:w="4752"/>
            <w:tcMar>
              <w:top w:w="70" w:type="dxa"/>
              <w:start w:w="70" w:type="dxa"/>
              <w:bottom w:w="70" w:type="dxa"/>
              <w:end w:w="70" w:type="dxa"/>
            </w:tcMar>
            <w:vAlign w:val="top"/>
          </w:tcPr>
          <w:p>
            <w:pPr>
              <w:spacing w:after="20" w:line="252" w:lineRule="auto"/>
            </w:pPr>
            <w:r>
              <w:rPr>
                <w:sz w:val="16"/>
              </w:rPr>
              <w:t>Improve dashboard, mobile experience, reminders, explanations, and leaderboard views.</w:t>
            </w:r>
          </w:p>
        </w:tc>
        <w:tc>
          <w:tcPr>
            <w:tcW w:type="dxa" w:w="3024"/>
            <w:tcMar>
              <w:top w:w="70" w:type="dxa"/>
              <w:start w:w="70" w:type="dxa"/>
              <w:bottom w:w="70" w:type="dxa"/>
              <w:end w:w="70" w:type="dxa"/>
            </w:tcMar>
            <w:vAlign w:val="top"/>
          </w:tcPr>
          <w:p>
            <w:pPr>
              <w:spacing w:after="20" w:line="252" w:lineRule="auto"/>
            </w:pPr>
            <w:r>
              <w:rPr>
                <w:sz w:val="16"/>
              </w:rPr>
              <w:t>Pilot users can participate with minimal guidance.</w:t>
            </w:r>
          </w:p>
        </w:tc>
      </w:tr>
      <w:tr>
        <w:tc>
          <w:tcPr>
            <w:tcW w:type="dxa" w:w="2880"/>
            <w:tcMar>
              <w:top w:w="70" w:type="dxa"/>
              <w:start w:w="70" w:type="dxa"/>
              <w:bottom w:w="70" w:type="dxa"/>
              <w:end w:w="70" w:type="dxa"/>
            </w:tcMar>
            <w:vAlign w:val="top"/>
          </w:tcPr>
          <w:p>
            <w:pPr>
              <w:spacing w:after="20" w:line="252" w:lineRule="auto"/>
            </w:pPr>
            <w:r>
              <w:rPr>
                <w:sz w:val="16"/>
              </w:rPr>
              <w:t>Phase 5 - Operational readiness</w:t>
            </w:r>
          </w:p>
        </w:tc>
        <w:tc>
          <w:tcPr>
            <w:tcW w:type="dxa" w:w="4752"/>
            <w:tcMar>
              <w:top w:w="70" w:type="dxa"/>
              <w:start w:w="70" w:type="dxa"/>
              <w:bottom w:w="70" w:type="dxa"/>
              <w:end w:w="70" w:type="dxa"/>
            </w:tcMar>
            <w:vAlign w:val="top"/>
          </w:tcPr>
          <w:p>
            <w:pPr>
              <w:spacing w:after="20" w:line="252" w:lineRule="auto"/>
            </w:pPr>
            <w:r>
              <w:rPr>
                <w:sz w:val="16"/>
              </w:rPr>
              <w:t>Prepare runbooks, monitoring, alerts, support model, load testing, and tournament rehearsal.</w:t>
            </w:r>
          </w:p>
        </w:tc>
        <w:tc>
          <w:tcPr>
            <w:tcW w:type="dxa" w:w="3024"/>
            <w:tcMar>
              <w:top w:w="70" w:type="dxa"/>
              <w:start w:w="70" w:type="dxa"/>
              <w:bottom w:w="70" w:type="dxa"/>
              <w:end w:w="70" w:type="dxa"/>
            </w:tcMar>
            <w:vAlign w:val="top"/>
          </w:tcPr>
          <w:p>
            <w:pPr>
              <w:spacing w:after="20" w:line="252" w:lineRule="auto"/>
            </w:pPr>
            <w:r>
              <w:rPr>
                <w:sz w:val="16"/>
              </w:rPr>
              <w:t>Go-live readiness approved.</w:t>
            </w:r>
          </w:p>
        </w:tc>
      </w:tr>
      <w:tr>
        <w:tc>
          <w:tcPr>
            <w:tcW w:type="dxa" w:w="2880"/>
            <w:tcMar>
              <w:top w:w="70" w:type="dxa"/>
              <w:start w:w="70" w:type="dxa"/>
              <w:bottom w:w="70" w:type="dxa"/>
              <w:end w:w="70" w:type="dxa"/>
            </w:tcMar>
            <w:vAlign w:val="top"/>
          </w:tcPr>
          <w:p>
            <w:pPr>
              <w:spacing w:after="20" w:line="252" w:lineRule="auto"/>
            </w:pPr>
            <w:r>
              <w:rPr>
                <w:sz w:val="16"/>
              </w:rPr>
              <w:t>Phase 6 - Tournament operations</w:t>
            </w:r>
          </w:p>
        </w:tc>
        <w:tc>
          <w:tcPr>
            <w:tcW w:type="dxa" w:w="4752"/>
            <w:tcMar>
              <w:top w:w="70" w:type="dxa"/>
              <w:start w:w="70" w:type="dxa"/>
              <w:bottom w:w="70" w:type="dxa"/>
              <w:end w:w="70" w:type="dxa"/>
            </w:tcMar>
            <w:vAlign w:val="top"/>
          </w:tcPr>
          <w:p>
            <w:pPr>
              <w:spacing w:after="20" w:line="252" w:lineRule="auto"/>
            </w:pPr>
            <w:r>
              <w:rPr>
                <w:sz w:val="16"/>
              </w:rPr>
              <w:t>Monitor matches, scores, leaderboards, support requests, and issue corrections as needed.</w:t>
            </w:r>
          </w:p>
        </w:tc>
        <w:tc>
          <w:tcPr>
            <w:tcW w:type="dxa" w:w="3024"/>
            <w:tcMar>
              <w:top w:w="70" w:type="dxa"/>
              <w:start w:w="70" w:type="dxa"/>
              <w:bottom w:w="70" w:type="dxa"/>
              <w:end w:w="70" w:type="dxa"/>
            </w:tcMar>
            <w:vAlign w:val="top"/>
          </w:tcPr>
          <w:p>
            <w:pPr>
              <w:spacing w:after="20" w:line="252" w:lineRule="auto"/>
            </w:pPr>
            <w:r>
              <w:rPr>
                <w:sz w:val="16"/>
              </w:rPr>
              <w:t>Stable tournament experience.</w:t>
            </w:r>
          </w:p>
        </w:tc>
      </w:tr>
      <w:tr>
        <w:tc>
          <w:tcPr>
            <w:tcW w:type="dxa" w:w="2880"/>
            <w:tcMar>
              <w:top w:w="70" w:type="dxa"/>
              <w:start w:w="70" w:type="dxa"/>
              <w:bottom w:w="70" w:type="dxa"/>
              <w:end w:w="70" w:type="dxa"/>
            </w:tcMar>
            <w:vAlign w:val="top"/>
          </w:tcPr>
          <w:p>
            <w:pPr>
              <w:spacing w:after="20" w:line="252" w:lineRule="auto"/>
            </w:pPr>
            <w:r>
              <w:rPr>
                <w:sz w:val="16"/>
              </w:rPr>
              <w:t>Phase 7 - Closure and retrospective</w:t>
            </w:r>
          </w:p>
        </w:tc>
        <w:tc>
          <w:tcPr>
            <w:tcW w:type="dxa" w:w="4752"/>
            <w:tcMar>
              <w:top w:w="70" w:type="dxa"/>
              <w:start w:w="70" w:type="dxa"/>
              <w:bottom w:w="70" w:type="dxa"/>
              <w:end w:w="70" w:type="dxa"/>
            </w:tcMar>
            <w:vAlign w:val="top"/>
          </w:tcPr>
          <w:p>
            <w:pPr>
              <w:spacing w:after="20" w:line="252" w:lineRule="auto"/>
            </w:pPr>
            <w:r>
              <w:rPr>
                <w:sz w:val="16"/>
              </w:rPr>
              <w:t>Finalize results, archive data, collect feedback, and document improvements for future tournaments.</w:t>
            </w:r>
          </w:p>
        </w:tc>
        <w:tc>
          <w:tcPr>
            <w:tcW w:type="dxa" w:w="3024"/>
            <w:tcMar>
              <w:top w:w="70" w:type="dxa"/>
              <w:start w:w="70" w:type="dxa"/>
              <w:bottom w:w="70" w:type="dxa"/>
              <w:end w:w="70" w:type="dxa"/>
            </w:tcMar>
            <w:vAlign w:val="top"/>
          </w:tcPr>
          <w:p>
            <w:pPr>
              <w:spacing w:after="20" w:line="252" w:lineRule="auto"/>
            </w:pPr>
            <w:r>
              <w:rPr>
                <w:sz w:val="16"/>
              </w:rPr>
              <w:t>Official winner published and lessons learned captured.</w:t>
            </w:r>
          </w:p>
        </w:tc>
      </w:tr>
    </w:tbl>
    <w:p>
      <w:pPr>
        <w:pStyle w:val="Heading2"/>
        <w:spacing w:before="240" w:after="100"/>
      </w:pPr>
      <w:r>
        <w:t>16.1 Suggested MVP Definition</w:t>
      </w:r>
    </w:p>
    <w:p>
      <w:pPr>
        <w:pStyle w:val="ListBullet"/>
        <w:spacing w:after="40"/>
      </w:pPr>
      <w:r>
        <w:rPr>
          <w:sz w:val="18"/>
        </w:rPr>
        <w:t>Corporate-domain access only.</w:t>
      </w:r>
    </w:p>
    <w:p>
      <w:pPr>
        <w:pStyle w:val="ListBullet"/>
        <w:spacing w:after="40"/>
      </w:pPr>
      <w:r>
        <w:rPr>
          <w:sz w:val="18"/>
        </w:rPr>
        <w:t>Participant dashboard with upcoming matches.</w:t>
      </w:r>
    </w:p>
    <w:p>
      <w:pPr>
        <w:pStyle w:val="ListBullet"/>
        <w:spacing w:after="40"/>
      </w:pPr>
      <w:r>
        <w:rPr>
          <w:sz w:val="18"/>
        </w:rPr>
        <w:t>Match prediction creation and update with one-hour lock rule.</w:t>
      </w:r>
    </w:p>
    <w:p>
      <w:pPr>
        <w:pStyle w:val="ListBullet"/>
        <w:spacing w:after="40"/>
      </w:pPr>
      <w:r>
        <w:rPr>
          <w:sz w:val="18"/>
        </w:rPr>
        <w:t>Final tournament predictions with tournament-start lock rule.</w:t>
      </w:r>
    </w:p>
    <w:p>
      <w:pPr>
        <w:pStyle w:val="ListBullet"/>
        <w:spacing w:after="40"/>
      </w:pPr>
      <w:r>
        <w:rPr>
          <w:sz w:val="18"/>
        </w:rPr>
        <w:t>Manual or semi-automated match result entry if integration is not production-ready yet.</w:t>
      </w:r>
    </w:p>
    <w:p>
      <w:pPr>
        <w:pStyle w:val="ListBullet"/>
        <w:spacing w:after="40"/>
      </w:pPr>
      <w:r>
        <w:rPr>
          <w:sz w:val="18"/>
        </w:rPr>
        <w:t>Scoring engine for match and final predictions.</w:t>
      </w:r>
    </w:p>
    <w:p>
      <w:pPr>
        <w:pStyle w:val="ListBullet"/>
        <w:spacing w:after="40"/>
      </w:pPr>
      <w:r>
        <w:rPr>
          <w:sz w:val="18"/>
        </w:rPr>
        <w:t>Leaderboard and personal breakdown.</w:t>
      </w:r>
    </w:p>
    <w:p>
      <w:pPr>
        <w:pStyle w:val="ListBullet"/>
        <w:spacing w:after="40"/>
      </w:pPr>
      <w:r>
        <w:rPr>
          <w:sz w:val="18"/>
        </w:rPr>
        <w:t>Basic administration for match data, results, recalculation, and audit review.</w:t>
      </w:r>
    </w:p>
    <w:p>
      <w:pPr>
        <w:pStyle w:val="Heading2"/>
        <w:spacing w:before="240" w:after="100"/>
      </w:pPr>
      <w:r>
        <w:t>16.2 Post-MVP Enhancements</w:t>
      </w:r>
    </w:p>
    <w:p>
      <w:pPr>
        <w:pStyle w:val="ListBullet"/>
        <w:spacing w:after="40"/>
      </w:pPr>
      <w:r>
        <w:rPr>
          <w:sz w:val="18"/>
        </w:rPr>
        <w:t>Automated provider synchronization with multiple provider fallback.</w:t>
      </w:r>
    </w:p>
    <w:p>
      <w:pPr>
        <w:pStyle w:val="ListBullet"/>
        <w:spacing w:after="40"/>
      </w:pPr>
      <w:r>
        <w:rPr>
          <w:sz w:val="18"/>
        </w:rPr>
        <w:t>Notification reminders for missing predictions.</w:t>
      </w:r>
    </w:p>
    <w:p>
      <w:pPr>
        <w:pStyle w:val="ListBullet"/>
        <w:spacing w:after="40"/>
      </w:pPr>
      <w:r>
        <w:rPr>
          <w:sz w:val="18"/>
        </w:rPr>
        <w:t>Office/team leagues if approved by privacy and data governance.</w:t>
      </w:r>
    </w:p>
    <w:p>
      <w:pPr>
        <w:pStyle w:val="ListBullet"/>
        <w:spacing w:after="40"/>
      </w:pPr>
      <w:r>
        <w:rPr>
          <w:sz w:val="18"/>
        </w:rPr>
        <w:t>Badges and achievement system.</w:t>
      </w:r>
    </w:p>
    <w:p>
      <w:pPr>
        <w:pStyle w:val="ListBullet"/>
        <w:spacing w:after="40"/>
      </w:pPr>
      <w:r>
        <w:rPr>
          <w:sz w:val="18"/>
        </w:rPr>
        <w:t>Advanced analytics dashboard for engagement and tournament insights.</w:t>
      </w:r>
    </w:p>
    <w:p>
      <w:pPr>
        <w:pStyle w:val="ListBullet"/>
        <w:spacing w:after="40"/>
      </w:pPr>
      <w:r>
        <w:rPr>
          <w:sz w:val="18"/>
        </w:rPr>
        <w:t>Multi-language UI.</w:t>
      </w:r>
    </w:p>
    <w:p>
      <w:pPr>
        <w:pStyle w:val="ListBullet"/>
        <w:spacing w:after="40"/>
      </w:pPr>
      <w:r>
        <w:rPr>
          <w:sz w:val="18"/>
        </w:rPr>
        <w:t>Reusable tournament template for future competitions.</w:t>
      </w:r>
    </w:p>
    <w:p>
      <w:pPr>
        <w:pStyle w:val="Heading1"/>
        <w:spacing w:before="240" w:after="100"/>
      </w:pPr>
      <w:r>
        <w:t>17. Risks, Mitigations, and Open Decisions</w:t>
      </w:r>
    </w:p>
    <w:p>
      <w:pPr>
        <w:pStyle w:val="Heading2"/>
        <w:spacing w:before="240" w:after="100"/>
      </w:pPr>
      <w:r>
        <w:t>17.1 Risk Register</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074"/>
        <w:gridCol w:w="2074"/>
        <w:gridCol w:w="2074"/>
        <w:gridCol w:w="2074"/>
        <w:gridCol w:w="2074"/>
      </w:tblGrid>
      <w:tr>
        <w:trPr>
          <w:tblHeader w:val="true"/>
        </w:trPr>
        <w:tc>
          <w:tcPr>
            <w:tcW w:type="dxa" w:w="1008"/>
            <w:shd w:fill="1F4E79"/>
            <w:tcMar>
              <w:top w:w="80" w:type="dxa"/>
              <w:start w:w="80" w:type="dxa"/>
              <w:bottom w:w="80" w:type="dxa"/>
              <w:end w:w="80" w:type="dxa"/>
            </w:tcMar>
            <w:vAlign w:val="center"/>
          </w:tcPr>
          <w:p>
            <w:pPr>
              <w:jc w:val="center"/>
            </w:pPr>
            <w:r>
              <w:rPr>
                <w:b/>
                <w:color w:val="FFFFFF"/>
                <w:sz w:val="14"/>
              </w:rPr>
              <w:t>ID</w:t>
            </w:r>
          </w:p>
        </w:tc>
        <w:tc>
          <w:tcPr>
            <w:tcW w:type="dxa" w:w="2160"/>
            <w:shd w:fill="1F4E79"/>
            <w:tcMar>
              <w:top w:w="80" w:type="dxa"/>
              <w:start w:w="80" w:type="dxa"/>
              <w:bottom w:w="80" w:type="dxa"/>
              <w:end w:w="80" w:type="dxa"/>
            </w:tcMar>
            <w:vAlign w:val="center"/>
          </w:tcPr>
          <w:p>
            <w:pPr>
              <w:jc w:val="center"/>
            </w:pPr>
            <w:r>
              <w:rPr>
                <w:b/>
                <w:color w:val="FFFFFF"/>
                <w:sz w:val="14"/>
              </w:rPr>
              <w:t>Risk</w:t>
            </w:r>
          </w:p>
        </w:tc>
        <w:tc>
          <w:tcPr>
            <w:tcW w:type="dxa" w:w="3240"/>
            <w:shd w:fill="1F4E79"/>
            <w:tcMar>
              <w:top w:w="80" w:type="dxa"/>
              <w:start w:w="80" w:type="dxa"/>
              <w:bottom w:w="80" w:type="dxa"/>
              <w:end w:w="80" w:type="dxa"/>
            </w:tcMar>
            <w:vAlign w:val="center"/>
          </w:tcPr>
          <w:p>
            <w:pPr>
              <w:jc w:val="center"/>
            </w:pPr>
            <w:r>
              <w:rPr>
                <w:b/>
                <w:color w:val="FFFFFF"/>
                <w:sz w:val="14"/>
              </w:rPr>
              <w:t>Description</w:t>
            </w:r>
          </w:p>
        </w:tc>
        <w:tc>
          <w:tcPr>
            <w:tcW w:type="dxa" w:w="3528"/>
            <w:shd w:fill="1F4E79"/>
            <w:tcMar>
              <w:top w:w="80" w:type="dxa"/>
              <w:start w:w="80" w:type="dxa"/>
              <w:bottom w:w="80" w:type="dxa"/>
              <w:end w:w="80" w:type="dxa"/>
            </w:tcMar>
            <w:vAlign w:val="center"/>
          </w:tcPr>
          <w:p>
            <w:pPr>
              <w:jc w:val="center"/>
            </w:pPr>
            <w:r>
              <w:rPr>
                <w:b/>
                <w:color w:val="FFFFFF"/>
                <w:sz w:val="14"/>
              </w:rPr>
              <w:t>Mitigation</w:t>
            </w:r>
          </w:p>
        </w:tc>
        <w:tc>
          <w:tcPr>
            <w:tcW w:type="dxa" w:w="864"/>
            <w:shd w:fill="1F4E79"/>
            <w:tcMar>
              <w:top w:w="80" w:type="dxa"/>
              <w:start w:w="80" w:type="dxa"/>
              <w:bottom w:w="80" w:type="dxa"/>
              <w:end w:w="80" w:type="dxa"/>
            </w:tcMar>
            <w:vAlign w:val="center"/>
          </w:tcPr>
          <w:p>
            <w:pPr>
              <w:jc w:val="center"/>
            </w:pPr>
            <w:r>
              <w:rPr>
                <w:b/>
                <w:color w:val="FFFFFF"/>
                <w:sz w:val="14"/>
              </w:rPr>
              <w:t>Level</w:t>
            </w:r>
          </w:p>
        </w:tc>
      </w:tr>
      <w:tr>
        <w:tc>
          <w:tcPr>
            <w:tcW w:type="dxa" w:w="1008"/>
            <w:tcMar>
              <w:top w:w="70" w:type="dxa"/>
              <w:start w:w="70" w:type="dxa"/>
              <w:bottom w:w="70" w:type="dxa"/>
              <w:end w:w="70" w:type="dxa"/>
            </w:tcMar>
            <w:vAlign w:val="top"/>
          </w:tcPr>
          <w:p>
            <w:pPr>
              <w:spacing w:after="20" w:line="252" w:lineRule="auto"/>
            </w:pPr>
            <w:r>
              <w:rPr>
                <w:sz w:val="14"/>
              </w:rPr>
              <w:t>R-001</w:t>
            </w:r>
          </w:p>
        </w:tc>
        <w:tc>
          <w:tcPr>
            <w:tcW w:type="dxa" w:w="2160"/>
            <w:tcMar>
              <w:top w:w="70" w:type="dxa"/>
              <w:start w:w="70" w:type="dxa"/>
              <w:bottom w:w="70" w:type="dxa"/>
              <w:end w:w="70" w:type="dxa"/>
            </w:tcMar>
            <w:vAlign w:val="top"/>
          </w:tcPr>
          <w:p>
            <w:pPr>
              <w:spacing w:after="20" w:line="252" w:lineRule="auto"/>
            </w:pPr>
            <w:r>
              <w:rPr>
                <w:sz w:val="14"/>
              </w:rPr>
              <w:t>External data provider limitations</w:t>
            </w:r>
          </w:p>
        </w:tc>
        <w:tc>
          <w:tcPr>
            <w:tcW w:type="dxa" w:w="3240"/>
            <w:tcMar>
              <w:top w:w="70" w:type="dxa"/>
              <w:start w:w="70" w:type="dxa"/>
              <w:bottom w:w="70" w:type="dxa"/>
              <w:end w:w="70" w:type="dxa"/>
            </w:tcMar>
            <w:vAlign w:val="top"/>
          </w:tcPr>
          <w:p>
            <w:pPr>
              <w:spacing w:after="20" w:line="252" w:lineRule="auto"/>
            </w:pPr>
            <w:r>
              <w:rPr>
                <w:sz w:val="14"/>
              </w:rPr>
              <w:t>Free provider may have delayed scores, coverage gaps, or rate limits.</w:t>
            </w:r>
          </w:p>
        </w:tc>
        <w:tc>
          <w:tcPr>
            <w:tcW w:type="dxa" w:w="3528"/>
            <w:tcMar>
              <w:top w:w="70" w:type="dxa"/>
              <w:start w:w="70" w:type="dxa"/>
              <w:bottom w:w="70" w:type="dxa"/>
              <w:end w:w="70" w:type="dxa"/>
            </w:tcMar>
            <w:vAlign w:val="top"/>
          </w:tcPr>
          <w:p>
            <w:pPr>
              <w:spacing w:after="20" w:line="252" w:lineRule="auto"/>
            </w:pPr>
            <w:r>
              <w:rPr>
                <w:sz w:val="14"/>
              </w:rPr>
              <w:t>Use provider abstraction, caching, manual fallback, and pre-launch provider validation.</w:t>
            </w:r>
          </w:p>
        </w:tc>
        <w:tc>
          <w:tcPr>
            <w:tcW w:type="dxa" w:w="864"/>
            <w:tcMar>
              <w:top w:w="70" w:type="dxa"/>
              <w:start w:w="70" w:type="dxa"/>
              <w:bottom w:w="70" w:type="dxa"/>
              <w:end w:w="70" w:type="dxa"/>
            </w:tcMar>
            <w:vAlign w:val="top"/>
          </w:tcPr>
          <w:p>
            <w:pPr>
              <w:spacing w:after="20" w:line="252" w:lineRule="auto"/>
            </w:pPr>
            <w:r>
              <w:rPr>
                <w:sz w:val="14"/>
              </w:rPr>
              <w:t>High</w:t>
            </w:r>
          </w:p>
        </w:tc>
      </w:tr>
      <w:tr>
        <w:tc>
          <w:tcPr>
            <w:tcW w:type="dxa" w:w="1008"/>
            <w:tcMar>
              <w:top w:w="70" w:type="dxa"/>
              <w:start w:w="70" w:type="dxa"/>
              <w:bottom w:w="70" w:type="dxa"/>
              <w:end w:w="70" w:type="dxa"/>
            </w:tcMar>
            <w:vAlign w:val="top"/>
          </w:tcPr>
          <w:p>
            <w:pPr>
              <w:spacing w:after="20" w:line="252" w:lineRule="auto"/>
            </w:pPr>
            <w:r>
              <w:rPr>
                <w:sz w:val="14"/>
              </w:rPr>
              <w:t>R-002</w:t>
            </w:r>
          </w:p>
        </w:tc>
        <w:tc>
          <w:tcPr>
            <w:tcW w:type="dxa" w:w="2160"/>
            <w:tcMar>
              <w:top w:w="70" w:type="dxa"/>
              <w:start w:w="70" w:type="dxa"/>
              <w:bottom w:w="70" w:type="dxa"/>
              <w:end w:w="70" w:type="dxa"/>
            </w:tcMar>
            <w:vAlign w:val="top"/>
          </w:tcPr>
          <w:p>
            <w:pPr>
              <w:spacing w:after="20" w:line="252" w:lineRule="auto"/>
            </w:pPr>
            <w:r>
              <w:rPr>
                <w:sz w:val="14"/>
              </w:rPr>
              <w:t>Ambiguous scoring rules</w:t>
            </w:r>
          </w:p>
        </w:tc>
        <w:tc>
          <w:tcPr>
            <w:tcW w:type="dxa" w:w="3240"/>
            <w:tcMar>
              <w:top w:w="70" w:type="dxa"/>
              <w:start w:w="70" w:type="dxa"/>
              <w:bottom w:w="70" w:type="dxa"/>
              <w:end w:w="70" w:type="dxa"/>
            </w:tcMar>
            <w:vAlign w:val="top"/>
          </w:tcPr>
          <w:p>
            <w:pPr>
              <w:spacing w:after="20" w:line="252" w:lineRule="auto"/>
            </w:pPr>
            <w:r>
              <w:rPr>
                <w:sz w:val="14"/>
              </w:rPr>
              <w:t>Knockout matches, extra time, penalties, and top scorer ties may create disputes.</w:t>
            </w:r>
          </w:p>
        </w:tc>
        <w:tc>
          <w:tcPr>
            <w:tcW w:type="dxa" w:w="3528"/>
            <w:tcMar>
              <w:top w:w="70" w:type="dxa"/>
              <w:start w:w="70" w:type="dxa"/>
              <w:bottom w:w="70" w:type="dxa"/>
              <w:end w:w="70" w:type="dxa"/>
            </w:tcMar>
            <w:vAlign w:val="top"/>
          </w:tcPr>
          <w:p>
            <w:pPr>
              <w:spacing w:after="20" w:line="252" w:lineRule="auto"/>
            </w:pPr>
            <w:r>
              <w:rPr>
                <w:sz w:val="14"/>
              </w:rPr>
              <w:t>Approve detailed scoring policy before development completion.</w:t>
            </w:r>
          </w:p>
        </w:tc>
        <w:tc>
          <w:tcPr>
            <w:tcW w:type="dxa" w:w="864"/>
            <w:tcMar>
              <w:top w:w="70" w:type="dxa"/>
              <w:start w:w="70" w:type="dxa"/>
              <w:bottom w:w="70" w:type="dxa"/>
              <w:end w:w="70" w:type="dxa"/>
            </w:tcMar>
            <w:vAlign w:val="top"/>
          </w:tcPr>
          <w:p>
            <w:pPr>
              <w:spacing w:after="20" w:line="252" w:lineRule="auto"/>
            </w:pPr>
            <w:r>
              <w:rPr>
                <w:sz w:val="14"/>
              </w:rPr>
              <w:t>High</w:t>
            </w:r>
          </w:p>
        </w:tc>
      </w:tr>
      <w:tr>
        <w:tc>
          <w:tcPr>
            <w:tcW w:type="dxa" w:w="1008"/>
            <w:tcMar>
              <w:top w:w="70" w:type="dxa"/>
              <w:start w:w="70" w:type="dxa"/>
              <w:bottom w:w="70" w:type="dxa"/>
              <w:end w:w="70" w:type="dxa"/>
            </w:tcMar>
            <w:vAlign w:val="top"/>
          </w:tcPr>
          <w:p>
            <w:pPr>
              <w:spacing w:after="20" w:line="252" w:lineRule="auto"/>
            </w:pPr>
            <w:r>
              <w:rPr>
                <w:sz w:val="14"/>
              </w:rPr>
              <w:t>R-003</w:t>
            </w:r>
          </w:p>
        </w:tc>
        <w:tc>
          <w:tcPr>
            <w:tcW w:type="dxa" w:w="2160"/>
            <w:tcMar>
              <w:top w:w="70" w:type="dxa"/>
              <w:start w:w="70" w:type="dxa"/>
              <w:bottom w:w="70" w:type="dxa"/>
              <w:end w:w="70" w:type="dxa"/>
            </w:tcMar>
            <w:vAlign w:val="top"/>
          </w:tcPr>
          <w:p>
            <w:pPr>
              <w:spacing w:after="20" w:line="252" w:lineRule="auto"/>
            </w:pPr>
            <w:r>
              <w:rPr>
                <w:sz w:val="14"/>
              </w:rPr>
              <w:t>Late schedule changes</w:t>
            </w:r>
          </w:p>
        </w:tc>
        <w:tc>
          <w:tcPr>
            <w:tcW w:type="dxa" w:w="3240"/>
            <w:tcMar>
              <w:top w:w="70" w:type="dxa"/>
              <w:start w:w="70" w:type="dxa"/>
              <w:bottom w:w="70" w:type="dxa"/>
              <w:end w:w="70" w:type="dxa"/>
            </w:tcMar>
            <w:vAlign w:val="top"/>
          </w:tcPr>
          <w:p>
            <w:pPr>
              <w:spacing w:after="20" w:line="252" w:lineRule="auto"/>
            </w:pPr>
            <w:r>
              <w:rPr>
                <w:sz w:val="14"/>
              </w:rPr>
              <w:t>Kickoff time changes may affect lock windows and user trust.</w:t>
            </w:r>
          </w:p>
        </w:tc>
        <w:tc>
          <w:tcPr>
            <w:tcW w:type="dxa" w:w="3528"/>
            <w:tcMar>
              <w:top w:w="70" w:type="dxa"/>
              <w:start w:w="70" w:type="dxa"/>
              <w:bottom w:w="70" w:type="dxa"/>
              <w:end w:w="70" w:type="dxa"/>
            </w:tcMar>
            <w:vAlign w:val="top"/>
          </w:tcPr>
          <w:p>
            <w:pPr>
              <w:spacing w:after="20" w:line="252" w:lineRule="auto"/>
            </w:pPr>
            <w:r>
              <w:rPr>
                <w:sz w:val="14"/>
              </w:rPr>
              <w:t>Track schedule versions, alert admins, and communicate changes clearly.</w:t>
            </w:r>
          </w:p>
        </w:tc>
        <w:tc>
          <w:tcPr>
            <w:tcW w:type="dxa" w:w="864"/>
            <w:tcMar>
              <w:top w:w="70" w:type="dxa"/>
              <w:start w:w="70" w:type="dxa"/>
              <w:bottom w:w="70" w:type="dxa"/>
              <w:end w:w="70" w:type="dxa"/>
            </w:tcMar>
            <w:vAlign w:val="top"/>
          </w:tcPr>
          <w:p>
            <w:pPr>
              <w:spacing w:after="20" w:line="252" w:lineRule="auto"/>
            </w:pPr>
            <w:r>
              <w:rPr>
                <w:sz w:val="14"/>
              </w:rPr>
              <w:t>Medium</w:t>
            </w:r>
          </w:p>
        </w:tc>
      </w:tr>
      <w:tr>
        <w:tc>
          <w:tcPr>
            <w:tcW w:type="dxa" w:w="1008"/>
            <w:tcMar>
              <w:top w:w="70" w:type="dxa"/>
              <w:start w:w="70" w:type="dxa"/>
              <w:bottom w:w="70" w:type="dxa"/>
              <w:end w:w="70" w:type="dxa"/>
            </w:tcMar>
            <w:vAlign w:val="top"/>
          </w:tcPr>
          <w:p>
            <w:pPr>
              <w:spacing w:after="20" w:line="252" w:lineRule="auto"/>
            </w:pPr>
            <w:r>
              <w:rPr>
                <w:sz w:val="14"/>
              </w:rPr>
              <w:t>R-004</w:t>
            </w:r>
          </w:p>
        </w:tc>
        <w:tc>
          <w:tcPr>
            <w:tcW w:type="dxa" w:w="2160"/>
            <w:tcMar>
              <w:top w:w="70" w:type="dxa"/>
              <w:start w:w="70" w:type="dxa"/>
              <w:bottom w:w="70" w:type="dxa"/>
              <w:end w:w="70" w:type="dxa"/>
            </w:tcMar>
            <w:vAlign w:val="top"/>
          </w:tcPr>
          <w:p>
            <w:pPr>
              <w:spacing w:after="20" w:line="252" w:lineRule="auto"/>
            </w:pPr>
            <w:r>
              <w:rPr>
                <w:sz w:val="14"/>
              </w:rPr>
              <w:t>Unauthorized access</w:t>
            </w:r>
          </w:p>
        </w:tc>
        <w:tc>
          <w:tcPr>
            <w:tcW w:type="dxa" w:w="3240"/>
            <w:tcMar>
              <w:top w:w="70" w:type="dxa"/>
              <w:start w:w="70" w:type="dxa"/>
              <w:bottom w:w="70" w:type="dxa"/>
              <w:end w:w="70" w:type="dxa"/>
            </w:tcMar>
            <w:vAlign w:val="top"/>
          </w:tcPr>
          <w:p>
            <w:pPr>
              <w:spacing w:after="20" w:line="252" w:lineRule="auto"/>
            </w:pPr>
            <w:r>
              <w:rPr>
                <w:sz w:val="14"/>
              </w:rPr>
              <w:t>External users could attempt to sign in or call APIs directly.</w:t>
            </w:r>
          </w:p>
        </w:tc>
        <w:tc>
          <w:tcPr>
            <w:tcW w:type="dxa" w:w="3528"/>
            <w:tcMar>
              <w:top w:w="70" w:type="dxa"/>
              <w:start w:w="70" w:type="dxa"/>
              <w:bottom w:w="70" w:type="dxa"/>
              <w:end w:w="70" w:type="dxa"/>
            </w:tcMar>
            <w:vAlign w:val="top"/>
          </w:tcPr>
          <w:p>
            <w:pPr>
              <w:spacing w:after="20" w:line="252" w:lineRule="auto"/>
            </w:pPr>
            <w:r>
              <w:rPr>
                <w:sz w:val="14"/>
              </w:rPr>
              <w:t>Enforce domain/tenant eligibility at identity, application, and API layers.</w:t>
            </w:r>
          </w:p>
        </w:tc>
        <w:tc>
          <w:tcPr>
            <w:tcW w:type="dxa" w:w="864"/>
            <w:tcMar>
              <w:top w:w="70" w:type="dxa"/>
              <w:start w:w="70" w:type="dxa"/>
              <w:bottom w:w="70" w:type="dxa"/>
              <w:end w:w="70" w:type="dxa"/>
            </w:tcMar>
            <w:vAlign w:val="top"/>
          </w:tcPr>
          <w:p>
            <w:pPr>
              <w:spacing w:after="20" w:line="252" w:lineRule="auto"/>
            </w:pPr>
            <w:r>
              <w:rPr>
                <w:sz w:val="14"/>
              </w:rPr>
              <w:t>High</w:t>
            </w:r>
          </w:p>
        </w:tc>
      </w:tr>
      <w:tr>
        <w:tc>
          <w:tcPr>
            <w:tcW w:type="dxa" w:w="1008"/>
            <w:tcMar>
              <w:top w:w="70" w:type="dxa"/>
              <w:start w:w="70" w:type="dxa"/>
              <w:bottom w:w="70" w:type="dxa"/>
              <w:end w:w="70" w:type="dxa"/>
            </w:tcMar>
            <w:vAlign w:val="top"/>
          </w:tcPr>
          <w:p>
            <w:pPr>
              <w:spacing w:after="20" w:line="252" w:lineRule="auto"/>
            </w:pPr>
            <w:r>
              <w:rPr>
                <w:sz w:val="14"/>
              </w:rPr>
              <w:t>R-005</w:t>
            </w:r>
          </w:p>
        </w:tc>
        <w:tc>
          <w:tcPr>
            <w:tcW w:type="dxa" w:w="2160"/>
            <w:tcMar>
              <w:top w:w="70" w:type="dxa"/>
              <w:start w:w="70" w:type="dxa"/>
              <w:bottom w:w="70" w:type="dxa"/>
              <w:end w:w="70" w:type="dxa"/>
            </w:tcMar>
            <w:vAlign w:val="top"/>
          </w:tcPr>
          <w:p>
            <w:pPr>
              <w:spacing w:after="20" w:line="252" w:lineRule="auto"/>
            </w:pPr>
            <w:r>
              <w:rPr>
                <w:sz w:val="14"/>
              </w:rPr>
              <w:t>Traffic spikes</w:t>
            </w:r>
          </w:p>
        </w:tc>
        <w:tc>
          <w:tcPr>
            <w:tcW w:type="dxa" w:w="3240"/>
            <w:tcMar>
              <w:top w:w="70" w:type="dxa"/>
              <w:start w:w="70" w:type="dxa"/>
              <w:bottom w:w="70" w:type="dxa"/>
              <w:end w:w="70" w:type="dxa"/>
            </w:tcMar>
            <w:vAlign w:val="top"/>
          </w:tcPr>
          <w:p>
            <w:pPr>
              <w:spacing w:after="20" w:line="252" w:lineRule="auto"/>
            </w:pPr>
            <w:r>
              <w:rPr>
                <w:sz w:val="14"/>
              </w:rPr>
              <w:t>Users may submit predictions shortly before lock deadlines.</w:t>
            </w:r>
          </w:p>
        </w:tc>
        <w:tc>
          <w:tcPr>
            <w:tcW w:type="dxa" w:w="3528"/>
            <w:tcMar>
              <w:top w:w="70" w:type="dxa"/>
              <w:start w:w="70" w:type="dxa"/>
              <w:bottom w:w="70" w:type="dxa"/>
              <w:end w:w="70" w:type="dxa"/>
            </w:tcMar>
            <w:vAlign w:val="top"/>
          </w:tcPr>
          <w:p>
            <w:pPr>
              <w:spacing w:after="20" w:line="252" w:lineRule="auto"/>
            </w:pPr>
            <w:r>
              <w:rPr>
                <w:sz w:val="14"/>
              </w:rPr>
              <w:t>Optimize write path, scale critical components, and test peak loads.</w:t>
            </w:r>
          </w:p>
        </w:tc>
        <w:tc>
          <w:tcPr>
            <w:tcW w:type="dxa" w:w="864"/>
            <w:tcMar>
              <w:top w:w="70" w:type="dxa"/>
              <w:start w:w="70" w:type="dxa"/>
              <w:bottom w:w="70" w:type="dxa"/>
              <w:end w:w="70" w:type="dxa"/>
            </w:tcMar>
            <w:vAlign w:val="top"/>
          </w:tcPr>
          <w:p>
            <w:pPr>
              <w:spacing w:after="20" w:line="252" w:lineRule="auto"/>
            </w:pPr>
            <w:r>
              <w:rPr>
                <w:sz w:val="14"/>
              </w:rPr>
              <w:t>Medium</w:t>
            </w:r>
          </w:p>
        </w:tc>
      </w:tr>
      <w:tr>
        <w:tc>
          <w:tcPr>
            <w:tcW w:type="dxa" w:w="1008"/>
            <w:tcMar>
              <w:top w:w="70" w:type="dxa"/>
              <w:start w:w="70" w:type="dxa"/>
              <w:bottom w:w="70" w:type="dxa"/>
              <w:end w:w="70" w:type="dxa"/>
            </w:tcMar>
            <w:vAlign w:val="top"/>
          </w:tcPr>
          <w:p>
            <w:pPr>
              <w:spacing w:after="20" w:line="252" w:lineRule="auto"/>
            </w:pPr>
            <w:r>
              <w:rPr>
                <w:sz w:val="14"/>
              </w:rPr>
              <w:t>R-006</w:t>
            </w:r>
          </w:p>
        </w:tc>
        <w:tc>
          <w:tcPr>
            <w:tcW w:type="dxa" w:w="2160"/>
            <w:tcMar>
              <w:top w:w="70" w:type="dxa"/>
              <w:start w:w="70" w:type="dxa"/>
              <w:bottom w:w="70" w:type="dxa"/>
              <w:end w:w="70" w:type="dxa"/>
            </w:tcMar>
            <w:vAlign w:val="top"/>
          </w:tcPr>
          <w:p>
            <w:pPr>
              <w:spacing w:after="20" w:line="252" w:lineRule="auto"/>
            </w:pPr>
            <w:r>
              <w:rPr>
                <w:sz w:val="14"/>
              </w:rPr>
              <w:t>Leaderboard disputes</w:t>
            </w:r>
          </w:p>
        </w:tc>
        <w:tc>
          <w:tcPr>
            <w:tcW w:type="dxa" w:w="3240"/>
            <w:tcMar>
              <w:top w:w="70" w:type="dxa"/>
              <w:start w:w="70" w:type="dxa"/>
              <w:bottom w:w="70" w:type="dxa"/>
              <w:end w:w="70" w:type="dxa"/>
            </w:tcMar>
            <w:vAlign w:val="top"/>
          </w:tcPr>
          <w:p>
            <w:pPr>
              <w:spacing w:after="20" w:line="252" w:lineRule="auto"/>
            </w:pPr>
            <w:r>
              <w:rPr>
                <w:sz w:val="14"/>
              </w:rPr>
              <w:t>Users may question points or ranking tie-breakers.</w:t>
            </w:r>
          </w:p>
        </w:tc>
        <w:tc>
          <w:tcPr>
            <w:tcW w:type="dxa" w:w="3528"/>
            <w:tcMar>
              <w:top w:w="70" w:type="dxa"/>
              <w:start w:w="70" w:type="dxa"/>
              <w:bottom w:w="70" w:type="dxa"/>
              <w:end w:w="70" w:type="dxa"/>
            </w:tcMar>
            <w:vAlign w:val="top"/>
          </w:tcPr>
          <w:p>
            <w:pPr>
              <w:spacing w:after="20" w:line="252" w:lineRule="auto"/>
            </w:pPr>
            <w:r>
              <w:rPr>
                <w:sz w:val="14"/>
              </w:rPr>
              <w:t>Show transparent breakdowns and retain audit evidence.</w:t>
            </w:r>
          </w:p>
        </w:tc>
        <w:tc>
          <w:tcPr>
            <w:tcW w:type="dxa" w:w="864"/>
            <w:tcMar>
              <w:top w:w="70" w:type="dxa"/>
              <w:start w:w="70" w:type="dxa"/>
              <w:bottom w:w="70" w:type="dxa"/>
              <w:end w:w="70" w:type="dxa"/>
            </w:tcMar>
            <w:vAlign w:val="top"/>
          </w:tcPr>
          <w:p>
            <w:pPr>
              <w:spacing w:after="20" w:line="252" w:lineRule="auto"/>
            </w:pPr>
            <w:r>
              <w:rPr>
                <w:sz w:val="14"/>
              </w:rPr>
              <w:t>Medium</w:t>
            </w:r>
          </w:p>
        </w:tc>
      </w:tr>
      <w:tr>
        <w:tc>
          <w:tcPr>
            <w:tcW w:type="dxa" w:w="1008"/>
            <w:tcMar>
              <w:top w:w="70" w:type="dxa"/>
              <w:start w:w="70" w:type="dxa"/>
              <w:bottom w:w="70" w:type="dxa"/>
              <w:end w:w="70" w:type="dxa"/>
            </w:tcMar>
            <w:vAlign w:val="top"/>
          </w:tcPr>
          <w:p>
            <w:pPr>
              <w:spacing w:after="20" w:line="252" w:lineRule="auto"/>
            </w:pPr>
            <w:r>
              <w:rPr>
                <w:sz w:val="14"/>
              </w:rPr>
              <w:t>R-007</w:t>
            </w:r>
          </w:p>
        </w:tc>
        <w:tc>
          <w:tcPr>
            <w:tcW w:type="dxa" w:w="2160"/>
            <w:tcMar>
              <w:top w:w="70" w:type="dxa"/>
              <w:start w:w="70" w:type="dxa"/>
              <w:bottom w:w="70" w:type="dxa"/>
              <w:end w:w="70" w:type="dxa"/>
            </w:tcMar>
            <w:vAlign w:val="top"/>
          </w:tcPr>
          <w:p>
            <w:pPr>
              <w:spacing w:after="20" w:line="252" w:lineRule="auto"/>
            </w:pPr>
            <w:r>
              <w:rPr>
                <w:sz w:val="14"/>
              </w:rPr>
              <w:t>Over-customization</w:t>
            </w:r>
          </w:p>
        </w:tc>
        <w:tc>
          <w:tcPr>
            <w:tcW w:type="dxa" w:w="3240"/>
            <w:tcMar>
              <w:top w:w="70" w:type="dxa"/>
              <w:start w:w="70" w:type="dxa"/>
              <w:bottom w:w="70" w:type="dxa"/>
              <w:end w:w="70" w:type="dxa"/>
            </w:tcMar>
            <w:vAlign w:val="top"/>
          </w:tcPr>
          <w:p>
            <w:pPr>
              <w:spacing w:after="20" w:line="252" w:lineRule="auto"/>
            </w:pPr>
            <w:r>
              <w:rPr>
                <w:sz w:val="14"/>
              </w:rPr>
              <w:t>Too many engagement features may delay MVP.</w:t>
            </w:r>
          </w:p>
        </w:tc>
        <w:tc>
          <w:tcPr>
            <w:tcW w:type="dxa" w:w="3528"/>
            <w:tcMar>
              <w:top w:w="70" w:type="dxa"/>
              <w:start w:w="70" w:type="dxa"/>
              <w:bottom w:w="70" w:type="dxa"/>
              <w:end w:w="70" w:type="dxa"/>
            </w:tcMar>
            <w:vAlign w:val="top"/>
          </w:tcPr>
          <w:p>
            <w:pPr>
              <w:spacing w:after="20" w:line="252" w:lineRule="auto"/>
            </w:pPr>
            <w:r>
              <w:rPr>
                <w:sz w:val="14"/>
              </w:rPr>
              <w:t>Deliver core prediction and scoring first; defer enhancements.</w:t>
            </w:r>
          </w:p>
        </w:tc>
        <w:tc>
          <w:tcPr>
            <w:tcW w:type="dxa" w:w="864"/>
            <w:tcMar>
              <w:top w:w="70" w:type="dxa"/>
              <w:start w:w="70" w:type="dxa"/>
              <w:bottom w:w="70" w:type="dxa"/>
              <w:end w:w="70" w:type="dxa"/>
            </w:tcMar>
            <w:vAlign w:val="top"/>
          </w:tcPr>
          <w:p>
            <w:pPr>
              <w:spacing w:after="20" w:line="252" w:lineRule="auto"/>
            </w:pPr>
            <w:r>
              <w:rPr>
                <w:sz w:val="14"/>
              </w:rPr>
              <w:t>Medium</w:t>
            </w:r>
          </w:p>
        </w:tc>
      </w:tr>
      <w:tr>
        <w:tc>
          <w:tcPr>
            <w:tcW w:type="dxa" w:w="1008"/>
            <w:tcMar>
              <w:top w:w="70" w:type="dxa"/>
              <w:start w:w="70" w:type="dxa"/>
              <w:bottom w:w="70" w:type="dxa"/>
              <w:end w:w="70" w:type="dxa"/>
            </w:tcMar>
            <w:vAlign w:val="top"/>
          </w:tcPr>
          <w:p>
            <w:pPr>
              <w:spacing w:after="20" w:line="252" w:lineRule="auto"/>
            </w:pPr>
            <w:r>
              <w:rPr>
                <w:sz w:val="14"/>
              </w:rPr>
              <w:t>R-008</w:t>
            </w:r>
          </w:p>
        </w:tc>
        <w:tc>
          <w:tcPr>
            <w:tcW w:type="dxa" w:w="2160"/>
            <w:tcMar>
              <w:top w:w="70" w:type="dxa"/>
              <w:start w:w="70" w:type="dxa"/>
              <w:bottom w:w="70" w:type="dxa"/>
              <w:end w:w="70" w:type="dxa"/>
            </w:tcMar>
            <w:vAlign w:val="top"/>
          </w:tcPr>
          <w:p>
            <w:pPr>
              <w:spacing w:after="20" w:line="252" w:lineRule="auto"/>
            </w:pPr>
            <w:r>
              <w:rPr>
                <w:sz w:val="14"/>
              </w:rPr>
              <w:t>Single technology lock-in too early</w:t>
            </w:r>
          </w:p>
        </w:tc>
        <w:tc>
          <w:tcPr>
            <w:tcW w:type="dxa" w:w="3240"/>
            <w:tcMar>
              <w:top w:w="70" w:type="dxa"/>
              <w:start w:w="70" w:type="dxa"/>
              <w:bottom w:w="70" w:type="dxa"/>
              <w:end w:w="70" w:type="dxa"/>
            </w:tcMar>
            <w:vAlign w:val="top"/>
          </w:tcPr>
          <w:p>
            <w:pPr>
              <w:spacing w:after="20" w:line="252" w:lineRule="auto"/>
            </w:pPr>
            <w:r>
              <w:rPr>
                <w:sz w:val="14"/>
              </w:rPr>
              <w:t>Prematurely choosing a platform may limit scalability or maintainability.</w:t>
            </w:r>
          </w:p>
        </w:tc>
        <w:tc>
          <w:tcPr>
            <w:tcW w:type="dxa" w:w="3528"/>
            <w:tcMar>
              <w:top w:w="70" w:type="dxa"/>
              <w:start w:w="70" w:type="dxa"/>
              <w:bottom w:w="70" w:type="dxa"/>
              <w:end w:w="70" w:type="dxa"/>
            </w:tcMar>
            <w:vAlign w:val="top"/>
          </w:tcPr>
          <w:p>
            <w:pPr>
              <w:spacing w:after="20" w:line="252" w:lineRule="auto"/>
            </w:pPr>
            <w:r>
              <w:rPr>
                <w:sz w:val="14"/>
              </w:rPr>
              <w:t>Evaluate implementation options separately using objective criteria.</w:t>
            </w:r>
          </w:p>
        </w:tc>
        <w:tc>
          <w:tcPr>
            <w:tcW w:type="dxa" w:w="864"/>
            <w:tcMar>
              <w:top w:w="70" w:type="dxa"/>
              <w:start w:w="70" w:type="dxa"/>
              <w:bottom w:w="70" w:type="dxa"/>
              <w:end w:w="70" w:type="dxa"/>
            </w:tcMar>
            <w:vAlign w:val="top"/>
          </w:tcPr>
          <w:p>
            <w:pPr>
              <w:spacing w:after="20" w:line="252" w:lineRule="auto"/>
            </w:pPr>
            <w:r>
              <w:rPr>
                <w:sz w:val="14"/>
              </w:rPr>
              <w:t>Medium</w:t>
            </w:r>
          </w:p>
        </w:tc>
      </w:tr>
    </w:tbl>
    <w:p>
      <w:pPr>
        <w:pStyle w:val="Heading2"/>
        <w:spacing w:before="240" w:after="100"/>
      </w:pPr>
      <w:r>
        <w:t>17.2 Open Decisions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92"/>
        <w:gridCol w:w="2592"/>
        <w:gridCol w:w="2592"/>
        <w:gridCol w:w="2592"/>
      </w:tblGrid>
      <w:tr>
        <w:trPr>
          <w:tblHeader w:val="true"/>
        </w:trPr>
        <w:tc>
          <w:tcPr>
            <w:tcW w:type="dxa" w:w="1080"/>
            <w:shd w:fill="1F4E79"/>
            <w:tcMar>
              <w:top w:w="80" w:type="dxa"/>
              <w:start w:w="80" w:type="dxa"/>
              <w:bottom w:w="80" w:type="dxa"/>
              <w:end w:w="80" w:type="dxa"/>
            </w:tcMar>
            <w:vAlign w:val="center"/>
          </w:tcPr>
          <w:p>
            <w:pPr>
              <w:jc w:val="center"/>
            </w:pPr>
            <w:r>
              <w:rPr>
                <w:b/>
                <w:color w:val="FFFFFF"/>
                <w:sz w:val="15"/>
              </w:rPr>
              <w:t>ID</w:t>
            </w:r>
          </w:p>
        </w:tc>
        <w:tc>
          <w:tcPr>
            <w:tcW w:type="dxa" w:w="2592"/>
            <w:shd w:fill="1F4E79"/>
            <w:tcMar>
              <w:top w:w="80" w:type="dxa"/>
              <w:start w:w="80" w:type="dxa"/>
              <w:bottom w:w="80" w:type="dxa"/>
              <w:end w:w="80" w:type="dxa"/>
            </w:tcMar>
            <w:vAlign w:val="center"/>
          </w:tcPr>
          <w:p>
            <w:pPr>
              <w:jc w:val="center"/>
            </w:pPr>
            <w:r>
              <w:rPr>
                <w:b/>
                <w:color w:val="FFFFFF"/>
                <w:sz w:val="15"/>
              </w:rPr>
              <w:t>Decision</w:t>
            </w:r>
          </w:p>
        </w:tc>
        <w:tc>
          <w:tcPr>
            <w:tcW w:type="dxa" w:w="5328"/>
            <w:shd w:fill="1F4E79"/>
            <w:tcMar>
              <w:top w:w="80" w:type="dxa"/>
              <w:start w:w="80" w:type="dxa"/>
              <w:bottom w:w="80" w:type="dxa"/>
              <w:end w:w="80" w:type="dxa"/>
            </w:tcMar>
            <w:vAlign w:val="center"/>
          </w:tcPr>
          <w:p>
            <w:pPr>
              <w:jc w:val="center"/>
            </w:pPr>
            <w:r>
              <w:rPr>
                <w:b/>
                <w:color w:val="FFFFFF"/>
                <w:sz w:val="15"/>
              </w:rPr>
              <w:t>Question</w:t>
            </w:r>
          </w:p>
        </w:tc>
        <w:tc>
          <w:tcPr>
            <w:tcW w:type="dxa" w:w="1728"/>
            <w:shd w:fill="1F4E79"/>
            <w:tcMar>
              <w:top w:w="80" w:type="dxa"/>
              <w:start w:w="80" w:type="dxa"/>
              <w:bottom w:w="80" w:type="dxa"/>
              <w:end w:w="80" w:type="dxa"/>
            </w:tcMar>
            <w:vAlign w:val="center"/>
          </w:tcPr>
          <w:p>
            <w:pPr>
              <w:jc w:val="center"/>
            </w:pPr>
            <w:r>
              <w:rPr>
                <w:b/>
                <w:color w:val="FFFFFF"/>
                <w:sz w:val="15"/>
              </w:rPr>
              <w:t>Owner</w:t>
            </w:r>
          </w:p>
        </w:tc>
      </w:tr>
      <w:tr>
        <w:tc>
          <w:tcPr>
            <w:tcW w:type="dxa" w:w="1080"/>
            <w:tcMar>
              <w:top w:w="70" w:type="dxa"/>
              <w:start w:w="70" w:type="dxa"/>
              <w:bottom w:w="70" w:type="dxa"/>
              <w:end w:w="70" w:type="dxa"/>
            </w:tcMar>
            <w:vAlign w:val="top"/>
          </w:tcPr>
          <w:p>
            <w:pPr>
              <w:spacing w:after="20" w:line="252" w:lineRule="auto"/>
            </w:pPr>
            <w:r>
              <w:rPr>
                <w:sz w:val="15"/>
              </w:rPr>
              <w:t>OD-001</w:t>
            </w:r>
          </w:p>
        </w:tc>
        <w:tc>
          <w:tcPr>
            <w:tcW w:type="dxa" w:w="2592"/>
            <w:tcMar>
              <w:top w:w="70" w:type="dxa"/>
              <w:start w:w="70" w:type="dxa"/>
              <w:bottom w:w="70" w:type="dxa"/>
              <w:end w:w="70" w:type="dxa"/>
            </w:tcMar>
            <w:vAlign w:val="top"/>
          </w:tcPr>
          <w:p>
            <w:pPr>
              <w:spacing w:after="20" w:line="252" w:lineRule="auto"/>
            </w:pPr>
            <w:r>
              <w:rPr>
                <w:sz w:val="15"/>
              </w:rPr>
              <w:t>Approved email domains</w:t>
            </w:r>
          </w:p>
        </w:tc>
        <w:tc>
          <w:tcPr>
            <w:tcW w:type="dxa" w:w="5328"/>
            <w:tcMar>
              <w:top w:w="70" w:type="dxa"/>
              <w:start w:w="70" w:type="dxa"/>
              <w:bottom w:w="70" w:type="dxa"/>
              <w:end w:w="70" w:type="dxa"/>
            </w:tcMar>
            <w:vAlign w:val="top"/>
          </w:tcPr>
          <w:p>
            <w:pPr>
              <w:spacing w:after="20" w:line="252" w:lineRule="auto"/>
            </w:pPr>
            <w:r>
              <w:rPr>
                <w:sz w:val="15"/>
              </w:rPr>
              <w:t>What exact Nortal domains or identity tenants are eligible?</w:t>
            </w:r>
          </w:p>
        </w:tc>
        <w:tc>
          <w:tcPr>
            <w:tcW w:type="dxa" w:w="1728"/>
            <w:tcMar>
              <w:top w:w="70" w:type="dxa"/>
              <w:start w:w="70" w:type="dxa"/>
              <w:bottom w:w="70" w:type="dxa"/>
              <w:end w:w="70" w:type="dxa"/>
            </w:tcMar>
            <w:vAlign w:val="top"/>
          </w:tcPr>
          <w:p>
            <w:pPr>
              <w:spacing w:after="20" w:line="252" w:lineRule="auto"/>
            </w:pPr>
            <w:r>
              <w:rPr>
                <w:sz w:val="15"/>
              </w:rPr>
              <w:t>Security / business sponsor</w:t>
            </w:r>
          </w:p>
        </w:tc>
      </w:tr>
      <w:tr>
        <w:tc>
          <w:tcPr>
            <w:tcW w:type="dxa" w:w="1080"/>
            <w:tcMar>
              <w:top w:w="70" w:type="dxa"/>
              <w:start w:w="70" w:type="dxa"/>
              <w:bottom w:w="70" w:type="dxa"/>
              <w:end w:w="70" w:type="dxa"/>
            </w:tcMar>
            <w:vAlign w:val="top"/>
          </w:tcPr>
          <w:p>
            <w:pPr>
              <w:spacing w:after="20" w:line="252" w:lineRule="auto"/>
            </w:pPr>
            <w:r>
              <w:rPr>
                <w:sz w:val="15"/>
              </w:rPr>
              <w:t>OD-002</w:t>
            </w:r>
          </w:p>
        </w:tc>
        <w:tc>
          <w:tcPr>
            <w:tcW w:type="dxa" w:w="2592"/>
            <w:tcMar>
              <w:top w:w="70" w:type="dxa"/>
              <w:start w:w="70" w:type="dxa"/>
              <w:bottom w:w="70" w:type="dxa"/>
              <w:end w:w="70" w:type="dxa"/>
            </w:tcMar>
            <w:vAlign w:val="top"/>
          </w:tcPr>
          <w:p>
            <w:pPr>
              <w:spacing w:after="20" w:line="252" w:lineRule="auto"/>
            </w:pPr>
            <w:r>
              <w:rPr>
                <w:sz w:val="15"/>
              </w:rPr>
              <w:t>Official score basis</w:t>
            </w:r>
          </w:p>
        </w:tc>
        <w:tc>
          <w:tcPr>
            <w:tcW w:type="dxa" w:w="5328"/>
            <w:tcMar>
              <w:top w:w="70" w:type="dxa"/>
              <w:start w:w="70" w:type="dxa"/>
              <w:bottom w:w="70" w:type="dxa"/>
              <w:end w:w="70" w:type="dxa"/>
            </w:tcMar>
            <w:vAlign w:val="top"/>
          </w:tcPr>
          <w:p>
            <w:pPr>
              <w:spacing w:after="20" w:line="252" w:lineRule="auto"/>
            </w:pPr>
            <w:r>
              <w:rPr>
                <w:sz w:val="15"/>
              </w:rPr>
              <w:t>For knockout matches, should predictions be evaluated on regular time, extra time included, or another official score basis?</w:t>
            </w:r>
          </w:p>
        </w:tc>
        <w:tc>
          <w:tcPr>
            <w:tcW w:type="dxa" w:w="1728"/>
            <w:tcMar>
              <w:top w:w="70" w:type="dxa"/>
              <w:start w:w="70" w:type="dxa"/>
              <w:bottom w:w="70" w:type="dxa"/>
              <w:end w:w="70" w:type="dxa"/>
            </w:tcMar>
            <w:vAlign w:val="top"/>
          </w:tcPr>
          <w:p>
            <w:pPr>
              <w:spacing w:after="20" w:line="252" w:lineRule="auto"/>
            </w:pPr>
            <w:r>
              <w:rPr>
                <w:sz w:val="15"/>
              </w:rPr>
              <w:t>Business sponsor / rules owner</w:t>
            </w:r>
          </w:p>
        </w:tc>
      </w:tr>
      <w:tr>
        <w:tc>
          <w:tcPr>
            <w:tcW w:type="dxa" w:w="1080"/>
            <w:tcMar>
              <w:top w:w="70" w:type="dxa"/>
              <w:start w:w="70" w:type="dxa"/>
              <w:bottom w:w="70" w:type="dxa"/>
              <w:end w:w="70" w:type="dxa"/>
            </w:tcMar>
            <w:vAlign w:val="top"/>
          </w:tcPr>
          <w:p>
            <w:pPr>
              <w:spacing w:after="20" w:line="252" w:lineRule="auto"/>
            </w:pPr>
            <w:r>
              <w:rPr>
                <w:sz w:val="15"/>
              </w:rPr>
              <w:t>OD-003</w:t>
            </w:r>
          </w:p>
        </w:tc>
        <w:tc>
          <w:tcPr>
            <w:tcW w:type="dxa" w:w="2592"/>
            <w:tcMar>
              <w:top w:w="70" w:type="dxa"/>
              <w:start w:w="70" w:type="dxa"/>
              <w:bottom w:w="70" w:type="dxa"/>
              <w:end w:w="70" w:type="dxa"/>
            </w:tcMar>
            <w:vAlign w:val="top"/>
          </w:tcPr>
          <w:p>
            <w:pPr>
              <w:spacing w:after="20" w:line="252" w:lineRule="auto"/>
            </w:pPr>
            <w:r>
              <w:rPr>
                <w:sz w:val="15"/>
              </w:rPr>
              <w:t>Penalty shootouts</w:t>
            </w:r>
          </w:p>
        </w:tc>
        <w:tc>
          <w:tcPr>
            <w:tcW w:type="dxa" w:w="5328"/>
            <w:tcMar>
              <w:top w:w="70" w:type="dxa"/>
              <w:start w:w="70" w:type="dxa"/>
              <w:bottom w:w="70" w:type="dxa"/>
              <w:end w:w="70" w:type="dxa"/>
            </w:tcMar>
            <w:vAlign w:val="top"/>
          </w:tcPr>
          <w:p>
            <w:pPr>
              <w:spacing w:after="20" w:line="252" w:lineRule="auto"/>
            </w:pPr>
            <w:r>
              <w:rPr>
                <w:sz w:val="15"/>
              </w:rPr>
              <w:t>Are penalty shootout scores excluded from score prediction?</w:t>
            </w:r>
          </w:p>
        </w:tc>
        <w:tc>
          <w:tcPr>
            <w:tcW w:type="dxa" w:w="1728"/>
            <w:tcMar>
              <w:top w:w="70" w:type="dxa"/>
              <w:start w:w="70" w:type="dxa"/>
              <w:bottom w:w="70" w:type="dxa"/>
              <w:end w:w="70" w:type="dxa"/>
            </w:tcMar>
            <w:vAlign w:val="top"/>
          </w:tcPr>
          <w:p>
            <w:pPr>
              <w:spacing w:after="20" w:line="252" w:lineRule="auto"/>
            </w:pPr>
            <w:r>
              <w:rPr>
                <w:sz w:val="15"/>
              </w:rPr>
              <w:t>Business sponsor / rules owner</w:t>
            </w:r>
          </w:p>
        </w:tc>
      </w:tr>
      <w:tr>
        <w:tc>
          <w:tcPr>
            <w:tcW w:type="dxa" w:w="1080"/>
            <w:tcMar>
              <w:top w:w="70" w:type="dxa"/>
              <w:start w:w="70" w:type="dxa"/>
              <w:bottom w:w="70" w:type="dxa"/>
              <w:end w:w="70" w:type="dxa"/>
            </w:tcMar>
            <w:vAlign w:val="top"/>
          </w:tcPr>
          <w:p>
            <w:pPr>
              <w:spacing w:after="20" w:line="252" w:lineRule="auto"/>
            </w:pPr>
            <w:r>
              <w:rPr>
                <w:sz w:val="15"/>
              </w:rPr>
              <w:t>OD-004</w:t>
            </w:r>
          </w:p>
        </w:tc>
        <w:tc>
          <w:tcPr>
            <w:tcW w:type="dxa" w:w="2592"/>
            <w:tcMar>
              <w:top w:w="70" w:type="dxa"/>
              <w:start w:w="70" w:type="dxa"/>
              <w:bottom w:w="70" w:type="dxa"/>
              <w:end w:w="70" w:type="dxa"/>
            </w:tcMar>
            <w:vAlign w:val="top"/>
          </w:tcPr>
          <w:p>
            <w:pPr>
              <w:spacing w:after="20" w:line="252" w:lineRule="auto"/>
            </w:pPr>
            <w:r>
              <w:rPr>
                <w:sz w:val="15"/>
              </w:rPr>
              <w:t>Top scorer ties</w:t>
            </w:r>
          </w:p>
        </w:tc>
        <w:tc>
          <w:tcPr>
            <w:tcW w:type="dxa" w:w="5328"/>
            <w:tcMar>
              <w:top w:w="70" w:type="dxa"/>
              <w:start w:w="70" w:type="dxa"/>
              <w:bottom w:w="70" w:type="dxa"/>
              <w:end w:w="70" w:type="dxa"/>
            </w:tcMar>
            <w:vAlign w:val="top"/>
          </w:tcPr>
          <w:p>
            <w:pPr>
              <w:spacing w:after="20" w:line="252" w:lineRule="auto"/>
            </w:pPr>
            <w:r>
              <w:rPr>
                <w:sz w:val="15"/>
              </w:rPr>
              <w:t>If multiple players share top scorer status, should all be accepted?</w:t>
            </w:r>
          </w:p>
        </w:tc>
        <w:tc>
          <w:tcPr>
            <w:tcW w:type="dxa" w:w="1728"/>
            <w:tcMar>
              <w:top w:w="70" w:type="dxa"/>
              <w:start w:w="70" w:type="dxa"/>
              <w:bottom w:w="70" w:type="dxa"/>
              <w:end w:w="70" w:type="dxa"/>
            </w:tcMar>
            <w:vAlign w:val="top"/>
          </w:tcPr>
          <w:p>
            <w:pPr>
              <w:spacing w:after="20" w:line="252" w:lineRule="auto"/>
            </w:pPr>
            <w:r>
              <w:rPr>
                <w:sz w:val="15"/>
              </w:rPr>
              <w:t>Business sponsor / rules owner</w:t>
            </w:r>
          </w:p>
        </w:tc>
      </w:tr>
      <w:tr>
        <w:tc>
          <w:tcPr>
            <w:tcW w:type="dxa" w:w="1080"/>
            <w:tcMar>
              <w:top w:w="70" w:type="dxa"/>
              <w:start w:w="70" w:type="dxa"/>
              <w:bottom w:w="70" w:type="dxa"/>
              <w:end w:w="70" w:type="dxa"/>
            </w:tcMar>
            <w:vAlign w:val="top"/>
          </w:tcPr>
          <w:p>
            <w:pPr>
              <w:spacing w:after="20" w:line="252" w:lineRule="auto"/>
            </w:pPr>
            <w:r>
              <w:rPr>
                <w:sz w:val="15"/>
              </w:rPr>
              <w:t>OD-005</w:t>
            </w:r>
          </w:p>
        </w:tc>
        <w:tc>
          <w:tcPr>
            <w:tcW w:type="dxa" w:w="2592"/>
            <w:tcMar>
              <w:top w:w="70" w:type="dxa"/>
              <w:start w:w="70" w:type="dxa"/>
              <w:bottom w:w="70" w:type="dxa"/>
              <w:end w:w="70" w:type="dxa"/>
            </w:tcMar>
            <w:vAlign w:val="top"/>
          </w:tcPr>
          <w:p>
            <w:pPr>
              <w:spacing w:after="20" w:line="252" w:lineRule="auto"/>
            </w:pPr>
            <w:r>
              <w:rPr>
                <w:sz w:val="15"/>
              </w:rPr>
              <w:t>Best player source</w:t>
            </w:r>
          </w:p>
        </w:tc>
        <w:tc>
          <w:tcPr>
            <w:tcW w:type="dxa" w:w="5328"/>
            <w:tcMar>
              <w:top w:w="70" w:type="dxa"/>
              <w:start w:w="70" w:type="dxa"/>
              <w:bottom w:w="70" w:type="dxa"/>
              <w:end w:w="70" w:type="dxa"/>
            </w:tcMar>
            <w:vAlign w:val="top"/>
          </w:tcPr>
          <w:p>
            <w:pPr>
              <w:spacing w:after="20" w:line="252" w:lineRule="auto"/>
            </w:pPr>
            <w:r>
              <w:rPr>
                <w:sz w:val="15"/>
              </w:rPr>
              <w:t>Which official source determines the best player?</w:t>
            </w:r>
          </w:p>
        </w:tc>
        <w:tc>
          <w:tcPr>
            <w:tcW w:type="dxa" w:w="1728"/>
            <w:tcMar>
              <w:top w:w="70" w:type="dxa"/>
              <w:start w:w="70" w:type="dxa"/>
              <w:bottom w:w="70" w:type="dxa"/>
              <w:end w:w="70" w:type="dxa"/>
            </w:tcMar>
            <w:vAlign w:val="top"/>
          </w:tcPr>
          <w:p>
            <w:pPr>
              <w:spacing w:after="20" w:line="252" w:lineRule="auto"/>
            </w:pPr>
            <w:r>
              <w:rPr>
                <w:sz w:val="15"/>
              </w:rPr>
              <w:t>Business sponsor / admin owner</w:t>
            </w:r>
          </w:p>
        </w:tc>
      </w:tr>
      <w:tr>
        <w:tc>
          <w:tcPr>
            <w:tcW w:type="dxa" w:w="1080"/>
            <w:tcMar>
              <w:top w:w="70" w:type="dxa"/>
              <w:start w:w="70" w:type="dxa"/>
              <w:bottom w:w="70" w:type="dxa"/>
              <w:end w:w="70" w:type="dxa"/>
            </w:tcMar>
            <w:vAlign w:val="top"/>
          </w:tcPr>
          <w:p>
            <w:pPr>
              <w:spacing w:after="20" w:line="252" w:lineRule="auto"/>
            </w:pPr>
            <w:r>
              <w:rPr>
                <w:sz w:val="15"/>
              </w:rPr>
              <w:t>OD-006</w:t>
            </w:r>
          </w:p>
        </w:tc>
        <w:tc>
          <w:tcPr>
            <w:tcW w:type="dxa" w:w="2592"/>
            <w:tcMar>
              <w:top w:w="70" w:type="dxa"/>
              <w:start w:w="70" w:type="dxa"/>
              <w:bottom w:w="70" w:type="dxa"/>
              <w:end w:w="70" w:type="dxa"/>
            </w:tcMar>
            <w:vAlign w:val="top"/>
          </w:tcPr>
          <w:p>
            <w:pPr>
              <w:spacing w:after="20" w:line="252" w:lineRule="auto"/>
            </w:pPr>
            <w:r>
              <w:rPr>
                <w:sz w:val="15"/>
              </w:rPr>
              <w:t>Leaderboard visibility</w:t>
            </w:r>
          </w:p>
        </w:tc>
        <w:tc>
          <w:tcPr>
            <w:tcW w:type="dxa" w:w="5328"/>
            <w:tcMar>
              <w:top w:w="70" w:type="dxa"/>
              <w:start w:w="70" w:type="dxa"/>
              <w:bottom w:w="70" w:type="dxa"/>
              <w:end w:w="70" w:type="dxa"/>
            </w:tcMar>
            <w:vAlign w:val="top"/>
          </w:tcPr>
          <w:p>
            <w:pPr>
              <w:spacing w:after="20" w:line="252" w:lineRule="auto"/>
            </w:pPr>
            <w:r>
              <w:rPr>
                <w:sz w:val="15"/>
              </w:rPr>
              <w:t>Can all participants see all names, or should visibility be limited?</w:t>
            </w:r>
          </w:p>
        </w:tc>
        <w:tc>
          <w:tcPr>
            <w:tcW w:type="dxa" w:w="1728"/>
            <w:tcMar>
              <w:top w:w="70" w:type="dxa"/>
              <w:start w:w="70" w:type="dxa"/>
              <w:bottom w:w="70" w:type="dxa"/>
              <w:end w:w="70" w:type="dxa"/>
            </w:tcMar>
            <w:vAlign w:val="top"/>
          </w:tcPr>
          <w:p>
            <w:pPr>
              <w:spacing w:after="20" w:line="252" w:lineRule="auto"/>
            </w:pPr>
            <w:r>
              <w:rPr>
                <w:sz w:val="15"/>
              </w:rPr>
              <w:t>Privacy / business sponsor</w:t>
            </w:r>
          </w:p>
        </w:tc>
      </w:tr>
      <w:tr>
        <w:tc>
          <w:tcPr>
            <w:tcW w:type="dxa" w:w="1080"/>
            <w:tcMar>
              <w:top w:w="70" w:type="dxa"/>
              <w:start w:w="70" w:type="dxa"/>
              <w:bottom w:w="70" w:type="dxa"/>
              <w:end w:w="70" w:type="dxa"/>
            </w:tcMar>
            <w:vAlign w:val="top"/>
          </w:tcPr>
          <w:p>
            <w:pPr>
              <w:spacing w:after="20" w:line="252" w:lineRule="auto"/>
            </w:pPr>
            <w:r>
              <w:rPr>
                <w:sz w:val="15"/>
              </w:rPr>
              <w:t>OD-007</w:t>
            </w:r>
          </w:p>
        </w:tc>
        <w:tc>
          <w:tcPr>
            <w:tcW w:type="dxa" w:w="2592"/>
            <w:tcMar>
              <w:top w:w="70" w:type="dxa"/>
              <w:start w:w="70" w:type="dxa"/>
              <w:bottom w:w="70" w:type="dxa"/>
              <w:end w:w="70" w:type="dxa"/>
            </w:tcMar>
            <w:vAlign w:val="top"/>
          </w:tcPr>
          <w:p>
            <w:pPr>
              <w:spacing w:after="20" w:line="252" w:lineRule="auto"/>
            </w:pPr>
            <w:r>
              <w:rPr>
                <w:sz w:val="15"/>
              </w:rPr>
              <w:t>Implementation approach</w:t>
            </w:r>
          </w:p>
        </w:tc>
        <w:tc>
          <w:tcPr>
            <w:tcW w:type="dxa" w:w="5328"/>
            <w:tcMar>
              <w:top w:w="70" w:type="dxa"/>
              <w:start w:w="70" w:type="dxa"/>
              <w:bottom w:w="70" w:type="dxa"/>
              <w:end w:w="70" w:type="dxa"/>
            </w:tcMar>
            <w:vAlign w:val="top"/>
          </w:tcPr>
          <w:p>
            <w:pPr>
              <w:spacing w:after="20" w:line="252" w:lineRule="auto"/>
            </w:pPr>
            <w:r>
              <w:rPr>
                <w:sz w:val="15"/>
              </w:rPr>
              <w:t>Which technology stack or platform will be selected after evaluating options?</w:t>
            </w:r>
          </w:p>
        </w:tc>
        <w:tc>
          <w:tcPr>
            <w:tcW w:type="dxa" w:w="1728"/>
            <w:tcMar>
              <w:top w:w="70" w:type="dxa"/>
              <w:start w:w="70" w:type="dxa"/>
              <w:bottom w:w="70" w:type="dxa"/>
              <w:end w:w="70" w:type="dxa"/>
            </w:tcMar>
            <w:vAlign w:val="top"/>
          </w:tcPr>
          <w:p>
            <w:pPr>
              <w:spacing w:after="20" w:line="252" w:lineRule="auto"/>
            </w:pPr>
            <w:r>
              <w:rPr>
                <w:sz w:val="15"/>
              </w:rPr>
              <w:t>Architecture board / engineering</w:t>
            </w:r>
          </w:p>
        </w:tc>
      </w:tr>
      <w:tr>
        <w:tc>
          <w:tcPr>
            <w:tcW w:type="dxa" w:w="1080"/>
            <w:tcMar>
              <w:top w:w="70" w:type="dxa"/>
              <w:start w:w="70" w:type="dxa"/>
              <w:bottom w:w="70" w:type="dxa"/>
              <w:end w:w="70" w:type="dxa"/>
            </w:tcMar>
            <w:vAlign w:val="top"/>
          </w:tcPr>
          <w:p>
            <w:pPr>
              <w:spacing w:after="20" w:line="252" w:lineRule="auto"/>
            </w:pPr>
            <w:r>
              <w:rPr>
                <w:sz w:val="15"/>
              </w:rPr>
              <w:t>OD-008</w:t>
            </w:r>
          </w:p>
        </w:tc>
        <w:tc>
          <w:tcPr>
            <w:tcW w:type="dxa" w:w="2592"/>
            <w:tcMar>
              <w:top w:w="70" w:type="dxa"/>
              <w:start w:w="70" w:type="dxa"/>
              <w:bottom w:w="70" w:type="dxa"/>
              <w:end w:w="70" w:type="dxa"/>
            </w:tcMar>
            <w:vAlign w:val="top"/>
          </w:tcPr>
          <w:p>
            <w:pPr>
              <w:spacing w:after="20" w:line="252" w:lineRule="auto"/>
            </w:pPr>
            <w:r>
              <w:rPr>
                <w:sz w:val="15"/>
              </w:rPr>
              <w:t>Notification channels</w:t>
            </w:r>
          </w:p>
        </w:tc>
        <w:tc>
          <w:tcPr>
            <w:tcW w:type="dxa" w:w="5328"/>
            <w:tcMar>
              <w:top w:w="70" w:type="dxa"/>
              <w:start w:w="70" w:type="dxa"/>
              <w:bottom w:w="70" w:type="dxa"/>
              <w:end w:w="70" w:type="dxa"/>
            </w:tcMar>
            <w:vAlign w:val="top"/>
          </w:tcPr>
          <w:p>
            <w:pPr>
              <w:spacing w:after="20" w:line="252" w:lineRule="auto"/>
            </w:pPr>
            <w:r>
              <w:rPr>
                <w:sz w:val="15"/>
              </w:rPr>
              <w:t>Which internal channels are approved for reminders and announcements?</w:t>
            </w:r>
          </w:p>
        </w:tc>
        <w:tc>
          <w:tcPr>
            <w:tcW w:type="dxa" w:w="1728"/>
            <w:tcMar>
              <w:top w:w="70" w:type="dxa"/>
              <w:start w:w="70" w:type="dxa"/>
              <w:bottom w:w="70" w:type="dxa"/>
              <w:end w:w="70" w:type="dxa"/>
            </w:tcMar>
            <w:vAlign w:val="top"/>
          </w:tcPr>
          <w:p>
            <w:pPr>
              <w:spacing w:after="20" w:line="252" w:lineRule="auto"/>
            </w:pPr>
            <w:r>
              <w:rPr>
                <w:sz w:val="15"/>
              </w:rPr>
              <w:t>Business sponsor / communications</w:t>
            </w:r>
          </w:p>
        </w:tc>
      </w:tr>
    </w:tbl>
    <w:p>
      <w:pPr>
        <w:pStyle w:val="Heading1"/>
        <w:spacing w:before="240" w:after="100"/>
      </w:pPr>
      <w:r>
        <w:t>18. Glossary and References</w:t>
      </w:r>
    </w:p>
    <w:p>
      <w:pPr>
        <w:pStyle w:val="Heading2"/>
        <w:spacing w:before="240" w:after="100"/>
      </w:pPr>
      <w:r>
        <w:t>18.1 Glossary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84"/>
        <w:gridCol w:w="5184"/>
      </w:tblGrid>
      <w:tr>
        <w:trPr>
          <w:tblHeader w:val="true"/>
        </w:trPr>
        <w:tc>
          <w:tcPr>
            <w:tcW w:type="dxa" w:w="2880"/>
            <w:shd w:fill="1F4E79"/>
            <w:tcMar>
              <w:top w:w="80" w:type="dxa"/>
              <w:start w:w="80" w:type="dxa"/>
              <w:bottom w:w="80" w:type="dxa"/>
              <w:end w:w="80" w:type="dxa"/>
            </w:tcMar>
            <w:vAlign w:val="center"/>
          </w:tcPr>
          <w:p>
            <w:pPr>
              <w:jc w:val="center"/>
            </w:pPr>
            <w:r>
              <w:rPr>
                <w:b/>
                <w:color w:val="FFFFFF"/>
                <w:sz w:val="16"/>
              </w:rPr>
              <w:t>Term</w:t>
            </w:r>
          </w:p>
        </w:tc>
        <w:tc>
          <w:tcPr>
            <w:tcW w:type="dxa" w:w="7776"/>
            <w:shd w:fill="1F4E79"/>
            <w:tcMar>
              <w:top w:w="80" w:type="dxa"/>
              <w:start w:w="80" w:type="dxa"/>
              <w:bottom w:w="80" w:type="dxa"/>
              <w:end w:w="80" w:type="dxa"/>
            </w:tcMar>
            <w:vAlign w:val="center"/>
          </w:tcPr>
          <w:p>
            <w:pPr>
              <w:jc w:val="center"/>
            </w:pPr>
            <w:r>
              <w:rPr>
                <w:b/>
                <w:color w:val="FFFFFF"/>
                <w:sz w:val="16"/>
              </w:rPr>
              <w:t>Definition</w:t>
            </w:r>
          </w:p>
        </w:tc>
      </w:tr>
      <w:tr>
        <w:tc>
          <w:tcPr>
            <w:tcW w:type="dxa" w:w="2880"/>
            <w:tcMar>
              <w:top w:w="70" w:type="dxa"/>
              <w:start w:w="70" w:type="dxa"/>
              <w:bottom w:w="70" w:type="dxa"/>
              <w:end w:w="70" w:type="dxa"/>
            </w:tcMar>
            <w:vAlign w:val="top"/>
          </w:tcPr>
          <w:p>
            <w:pPr>
              <w:spacing w:after="20" w:line="252" w:lineRule="auto"/>
            </w:pPr>
            <w:r>
              <w:rPr>
                <w:sz w:val="16"/>
              </w:rPr>
              <w:t>Approved domain</w:t>
            </w:r>
          </w:p>
        </w:tc>
        <w:tc>
          <w:tcPr>
            <w:tcW w:type="dxa" w:w="7776"/>
            <w:tcMar>
              <w:top w:w="70" w:type="dxa"/>
              <w:start w:w="70" w:type="dxa"/>
              <w:bottom w:w="70" w:type="dxa"/>
              <w:end w:w="70" w:type="dxa"/>
            </w:tcMar>
            <w:vAlign w:val="top"/>
          </w:tcPr>
          <w:p>
            <w:pPr>
              <w:spacing w:after="20" w:line="252" w:lineRule="auto"/>
            </w:pPr>
            <w:r>
              <w:rPr>
                <w:sz w:val="16"/>
              </w:rPr>
              <w:t>An email domain or identity tenant formally allowed to access the application.</w:t>
            </w:r>
          </w:p>
        </w:tc>
      </w:tr>
      <w:tr>
        <w:tc>
          <w:tcPr>
            <w:tcW w:type="dxa" w:w="2880"/>
            <w:tcMar>
              <w:top w:w="70" w:type="dxa"/>
              <w:start w:w="70" w:type="dxa"/>
              <w:bottom w:w="70" w:type="dxa"/>
              <w:end w:w="70" w:type="dxa"/>
            </w:tcMar>
            <w:vAlign w:val="top"/>
          </w:tcPr>
          <w:p>
            <w:pPr>
              <w:spacing w:after="20" w:line="252" w:lineRule="auto"/>
            </w:pPr>
            <w:r>
              <w:rPr>
                <w:sz w:val="16"/>
              </w:rPr>
              <w:t>Canonical time</w:t>
            </w:r>
          </w:p>
        </w:tc>
        <w:tc>
          <w:tcPr>
            <w:tcW w:type="dxa" w:w="7776"/>
            <w:tcMar>
              <w:top w:w="70" w:type="dxa"/>
              <w:start w:w="70" w:type="dxa"/>
              <w:bottom w:w="70" w:type="dxa"/>
              <w:end w:w="70" w:type="dxa"/>
            </w:tcMar>
            <w:vAlign w:val="top"/>
          </w:tcPr>
          <w:p>
            <w:pPr>
              <w:spacing w:after="20" w:line="252" w:lineRule="auto"/>
            </w:pPr>
            <w:r>
              <w:rPr>
                <w:sz w:val="16"/>
              </w:rPr>
              <w:t>The normalized time standard used by the system to calculate deadlines, typically UTC.</w:t>
            </w:r>
          </w:p>
        </w:tc>
      </w:tr>
      <w:tr>
        <w:tc>
          <w:tcPr>
            <w:tcW w:type="dxa" w:w="2880"/>
            <w:tcMar>
              <w:top w:w="70" w:type="dxa"/>
              <w:start w:w="70" w:type="dxa"/>
              <w:bottom w:w="70" w:type="dxa"/>
              <w:end w:w="70" w:type="dxa"/>
            </w:tcMar>
            <w:vAlign w:val="top"/>
          </w:tcPr>
          <w:p>
            <w:pPr>
              <w:spacing w:after="20" w:line="252" w:lineRule="auto"/>
            </w:pPr>
            <w:r>
              <w:rPr>
                <w:sz w:val="16"/>
              </w:rPr>
              <w:t>Exact score</w:t>
            </w:r>
          </w:p>
        </w:tc>
        <w:tc>
          <w:tcPr>
            <w:tcW w:type="dxa" w:w="7776"/>
            <w:tcMar>
              <w:top w:w="70" w:type="dxa"/>
              <w:start w:w="70" w:type="dxa"/>
              <w:bottom w:w="70" w:type="dxa"/>
              <w:end w:w="70" w:type="dxa"/>
            </w:tcMar>
            <w:vAlign w:val="top"/>
          </w:tcPr>
          <w:p>
            <w:pPr>
              <w:spacing w:after="20" w:line="252" w:lineRule="auto"/>
            </w:pPr>
            <w:r>
              <w:rPr>
                <w:sz w:val="16"/>
              </w:rPr>
              <w:t>A prediction where both team scores exactly match the official score.</w:t>
            </w:r>
          </w:p>
        </w:tc>
      </w:tr>
      <w:tr>
        <w:tc>
          <w:tcPr>
            <w:tcW w:type="dxa" w:w="2880"/>
            <w:tcMar>
              <w:top w:w="70" w:type="dxa"/>
              <w:start w:w="70" w:type="dxa"/>
              <w:bottom w:w="70" w:type="dxa"/>
              <w:end w:w="70" w:type="dxa"/>
            </w:tcMar>
            <w:vAlign w:val="top"/>
          </w:tcPr>
          <w:p>
            <w:pPr>
              <w:spacing w:after="20" w:line="252" w:lineRule="auto"/>
            </w:pPr>
            <w:r>
              <w:rPr>
                <w:sz w:val="16"/>
              </w:rPr>
              <w:t>Correct outcome</w:t>
            </w:r>
          </w:p>
        </w:tc>
        <w:tc>
          <w:tcPr>
            <w:tcW w:type="dxa" w:w="7776"/>
            <w:tcMar>
              <w:top w:w="70" w:type="dxa"/>
              <w:start w:w="70" w:type="dxa"/>
              <w:bottom w:w="70" w:type="dxa"/>
              <w:end w:w="70" w:type="dxa"/>
            </w:tcMar>
            <w:vAlign w:val="top"/>
          </w:tcPr>
          <w:p>
            <w:pPr>
              <w:spacing w:after="20" w:line="252" w:lineRule="auto"/>
            </w:pPr>
            <w:r>
              <w:rPr>
                <w:sz w:val="16"/>
              </w:rPr>
              <w:t>A prediction where the user correctly predicts the winner or draw, but not the exact score.</w:t>
            </w:r>
          </w:p>
        </w:tc>
      </w:tr>
      <w:tr>
        <w:tc>
          <w:tcPr>
            <w:tcW w:type="dxa" w:w="2880"/>
            <w:tcMar>
              <w:top w:w="70" w:type="dxa"/>
              <w:start w:w="70" w:type="dxa"/>
              <w:bottom w:w="70" w:type="dxa"/>
              <w:end w:w="70" w:type="dxa"/>
            </w:tcMar>
            <w:vAlign w:val="top"/>
          </w:tcPr>
          <w:p>
            <w:pPr>
              <w:spacing w:after="20" w:line="252" w:lineRule="auto"/>
            </w:pPr>
            <w:r>
              <w:rPr>
                <w:sz w:val="16"/>
              </w:rPr>
              <w:t>Final predictions</w:t>
            </w:r>
          </w:p>
        </w:tc>
        <w:tc>
          <w:tcPr>
            <w:tcW w:type="dxa" w:w="7776"/>
            <w:tcMar>
              <w:top w:w="70" w:type="dxa"/>
              <w:start w:w="70" w:type="dxa"/>
              <w:bottom w:w="70" w:type="dxa"/>
              <w:end w:w="70" w:type="dxa"/>
            </w:tcMar>
            <w:vAlign w:val="top"/>
          </w:tcPr>
          <w:p>
            <w:pPr>
              <w:spacing w:after="20" w:line="252" w:lineRule="auto"/>
            </w:pPr>
            <w:r>
              <w:rPr>
                <w:sz w:val="16"/>
              </w:rPr>
              <w:t>Predictions for champion, runner-up, top scorer, and best player.</w:t>
            </w:r>
          </w:p>
        </w:tc>
      </w:tr>
      <w:tr>
        <w:tc>
          <w:tcPr>
            <w:tcW w:type="dxa" w:w="2880"/>
            <w:tcMar>
              <w:top w:w="70" w:type="dxa"/>
              <w:start w:w="70" w:type="dxa"/>
              <w:bottom w:w="70" w:type="dxa"/>
              <w:end w:w="70" w:type="dxa"/>
            </w:tcMar>
            <w:vAlign w:val="top"/>
          </w:tcPr>
          <w:p>
            <w:pPr>
              <w:spacing w:after="20" w:line="252" w:lineRule="auto"/>
            </w:pPr>
            <w:r>
              <w:rPr>
                <w:sz w:val="16"/>
              </w:rPr>
              <w:t>Lock window</w:t>
            </w:r>
          </w:p>
        </w:tc>
        <w:tc>
          <w:tcPr>
            <w:tcW w:type="dxa" w:w="7776"/>
            <w:tcMar>
              <w:top w:w="70" w:type="dxa"/>
              <w:start w:w="70" w:type="dxa"/>
              <w:bottom w:w="70" w:type="dxa"/>
              <w:end w:w="70" w:type="dxa"/>
            </w:tcMar>
            <w:vAlign w:val="top"/>
          </w:tcPr>
          <w:p>
            <w:pPr>
              <w:spacing w:after="20" w:line="252" w:lineRule="auto"/>
            </w:pPr>
            <w:r>
              <w:rPr>
                <w:sz w:val="16"/>
              </w:rPr>
              <w:t>The period before a match when predictions can no longer be created or edited. The baseline is one hour before kickoff.</w:t>
            </w:r>
          </w:p>
        </w:tc>
      </w:tr>
      <w:tr>
        <w:tc>
          <w:tcPr>
            <w:tcW w:type="dxa" w:w="2880"/>
            <w:tcMar>
              <w:top w:w="70" w:type="dxa"/>
              <w:start w:w="70" w:type="dxa"/>
              <w:bottom w:w="70" w:type="dxa"/>
              <w:end w:w="70" w:type="dxa"/>
            </w:tcMar>
            <w:vAlign w:val="top"/>
          </w:tcPr>
          <w:p>
            <w:pPr>
              <w:spacing w:after="20" w:line="252" w:lineRule="auto"/>
            </w:pPr>
            <w:r>
              <w:rPr>
                <w:sz w:val="16"/>
              </w:rPr>
              <w:t>Provider abstraction</w:t>
            </w:r>
          </w:p>
        </w:tc>
        <w:tc>
          <w:tcPr>
            <w:tcW w:type="dxa" w:w="7776"/>
            <w:tcMar>
              <w:top w:w="70" w:type="dxa"/>
              <w:start w:w="70" w:type="dxa"/>
              <w:bottom w:w="70" w:type="dxa"/>
              <w:end w:w="70" w:type="dxa"/>
            </w:tcMar>
            <w:vAlign w:val="top"/>
          </w:tcPr>
          <w:p>
            <w:pPr>
              <w:spacing w:after="20" w:line="252" w:lineRule="auto"/>
            </w:pPr>
            <w:r>
              <w:rPr>
                <w:sz w:val="16"/>
              </w:rPr>
              <w:t>A design pattern where the application consumes normalized internal data instead of directly depending on one external provider schema.</w:t>
            </w:r>
          </w:p>
        </w:tc>
      </w:tr>
      <w:tr>
        <w:tc>
          <w:tcPr>
            <w:tcW w:type="dxa" w:w="2880"/>
            <w:tcMar>
              <w:top w:w="70" w:type="dxa"/>
              <w:start w:w="70" w:type="dxa"/>
              <w:bottom w:w="70" w:type="dxa"/>
              <w:end w:w="70" w:type="dxa"/>
            </w:tcMar>
            <w:vAlign w:val="top"/>
          </w:tcPr>
          <w:p>
            <w:pPr>
              <w:spacing w:after="20" w:line="252" w:lineRule="auto"/>
            </w:pPr>
            <w:r>
              <w:rPr>
                <w:sz w:val="16"/>
              </w:rPr>
              <w:t>Recalculation</w:t>
            </w:r>
          </w:p>
        </w:tc>
        <w:tc>
          <w:tcPr>
            <w:tcW w:type="dxa" w:w="7776"/>
            <w:tcMar>
              <w:top w:w="70" w:type="dxa"/>
              <w:start w:w="70" w:type="dxa"/>
              <w:bottom w:w="70" w:type="dxa"/>
              <w:end w:w="70" w:type="dxa"/>
            </w:tcMar>
            <w:vAlign w:val="top"/>
          </w:tcPr>
          <w:p>
            <w:pPr>
              <w:spacing w:after="20" w:line="252" w:lineRule="auto"/>
            </w:pPr>
            <w:r>
              <w:rPr>
                <w:sz w:val="16"/>
              </w:rPr>
              <w:t>The process of recalculating points after official results or rules inputs change.</w:t>
            </w:r>
          </w:p>
        </w:tc>
      </w:tr>
    </w:tbl>
    <w:p>
      <w:pPr>
        <w:pStyle w:val="Heading2"/>
        <w:spacing w:before="240" w:after="100"/>
      </w:pPr>
      <w:r>
        <w:t>18.2 References</w:t>
      </w:r>
    </w:p>
    <w:p>
      <w:pPr>
        <w:pStyle w:val="ListBullet"/>
        <w:spacing w:after="40"/>
      </w:pPr>
      <w:r>
        <w:rPr>
          <w:sz w:val="17"/>
        </w:rPr>
        <w:t xml:space="preserve">FIFA World Cup 2026 official match schedule and fixtures: </w:t>
      </w:r>
      <w:hyperlink r:id="rId11">
        <w:r>
          <w:rPr>
            <w:color w:val="0563C1"/>
            <w:u w:val="single"/>
          </w:rPr>
          <w:t>https://www.fifa.com/en/tournaments/mens/worldcup/canadamexicousa2026/articles/match-schedule-fixtures-results-teams-stadiums</w:t>
        </w:r>
      </w:hyperlink>
    </w:p>
    <w:p>
      <w:pPr>
        <w:pStyle w:val="ListBullet"/>
        <w:spacing w:after="40"/>
      </w:pPr>
      <w:r>
        <w:rPr>
          <w:sz w:val="17"/>
        </w:rPr>
        <w:t xml:space="preserve">football-data.org API Quickstart and v4 documentation: </w:t>
      </w:r>
      <w:hyperlink r:id="rId12">
        <w:r>
          <w:rPr>
            <w:color w:val="0563C1"/>
            <w:u w:val="single"/>
          </w:rPr>
          <w:t>https://www.football-data.org/documentation/quickstart</w:t>
        </w:r>
      </w:hyperlink>
    </w:p>
    <w:p>
      <w:pPr>
        <w:pStyle w:val="ListBullet"/>
        <w:spacing w:after="40"/>
      </w:pPr>
      <w:r>
        <w:rPr>
          <w:sz w:val="17"/>
        </w:rPr>
        <w:t xml:space="preserve">football-data.org API Reference - Competition and Match resources: </w:t>
      </w:r>
      <w:hyperlink r:id="rId13">
        <w:r>
          <w:rPr>
            <w:color w:val="0563C1"/>
            <w:u w:val="single"/>
          </w:rPr>
          <w:t>https://www.football-data.org/documentation/api</w:t>
        </w:r>
      </w:hyperlink>
    </w:p>
    <w:p>
      <w:pPr>
        <w:pStyle w:val="ListBullet"/>
        <w:spacing w:after="40"/>
      </w:pPr>
      <w:r>
        <w:rPr>
          <w:sz w:val="17"/>
        </w:rPr>
        <w:t xml:space="preserve">football-data.org v4 Competition Resource documentation: </w:t>
      </w:r>
      <w:hyperlink r:id="rId14">
        <w:r>
          <w:rPr>
            <w:color w:val="0563C1"/>
            <w:u w:val="single"/>
          </w:rPr>
          <w:t>https://docs.football-data.org/general/v4/competition.html</w:t>
        </w:r>
      </w:hyperlink>
    </w:p>
    <w:p>
      <w:pPr>
        <w:pStyle w:val="ListBullet"/>
        <w:spacing w:after="40"/>
      </w:pPr>
      <w:r>
        <w:rPr>
          <w:sz w:val="17"/>
        </w:rPr>
        <w:t xml:space="preserve">football-data.org v4 Match Resource documentation: </w:t>
      </w:r>
      <w:hyperlink r:id="rId15">
        <w:r>
          <w:rPr>
            <w:color w:val="0563C1"/>
            <w:u w:val="single"/>
          </w:rPr>
          <w:t>https://docs.football-data.org/general/v4/match.html</w:t>
        </w:r>
      </w:hyperlink>
    </w:p>
    <w:p>
      <w:pPr>
        <w:pStyle w:val="ListBullet"/>
        <w:spacing w:after="40"/>
      </w:pPr>
      <w:r>
        <w:rPr>
          <w:sz w:val="17"/>
        </w:rPr>
        <w:t xml:space="preserve">football-data.org Pricing: </w:t>
      </w:r>
      <w:hyperlink r:id="rId16">
        <w:r>
          <w:rPr>
            <w:color w:val="0563C1"/>
            <w:u w:val="single"/>
          </w:rPr>
          <w:t>https://www.football-data.org/pricing</w:t>
        </w:r>
      </w:hyperlink>
    </w:p>
    <w:p>
      <w:pPr>
        <w:pStyle w:val="ListBullet"/>
        <w:spacing w:after="40"/>
      </w:pPr>
      <w:r>
        <w:rPr>
          <w:sz w:val="17"/>
        </w:rPr>
        <w:t xml:space="preserve">football-data.org Coverage: </w:t>
      </w:r>
      <w:hyperlink r:id="rId17">
        <w:r>
          <w:rPr>
            <w:color w:val="0563C1"/>
            <w:u w:val="single"/>
          </w:rPr>
          <w:t>https://www.football-data.org/coverage</w:t>
        </w:r>
      </w:hyperlink>
    </w:p>
    <w:p>
      <w:r>
        <w:br w:type="page"/>
      </w:r>
    </w:p>
    <w:p>
      <w:pPr>
        <w:pStyle w:val="Heading1"/>
        <w:spacing w:before="240" w:after="100"/>
      </w:pPr>
      <w:r>
        <w:t>Appendix A - Requirements Traceability Matrix</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3312"/>
            <w:shd w:fill="1F4E79"/>
            <w:tcMar>
              <w:top w:w="80" w:type="dxa"/>
              <w:start w:w="80" w:type="dxa"/>
              <w:bottom w:w="80" w:type="dxa"/>
              <w:end w:w="80" w:type="dxa"/>
            </w:tcMar>
            <w:vAlign w:val="center"/>
          </w:tcPr>
          <w:p>
            <w:pPr>
              <w:jc w:val="center"/>
            </w:pPr>
            <w:r>
              <w:rPr>
                <w:b/>
                <w:color w:val="FFFFFF"/>
                <w:sz w:val="15"/>
              </w:rPr>
              <w:t>Business need</w:t>
            </w:r>
          </w:p>
        </w:tc>
        <w:tc>
          <w:tcPr>
            <w:tcW w:type="dxa" w:w="3744"/>
            <w:shd w:fill="1F4E79"/>
            <w:tcMar>
              <w:top w:w="80" w:type="dxa"/>
              <w:start w:w="80" w:type="dxa"/>
              <w:bottom w:w="80" w:type="dxa"/>
              <w:end w:w="80" w:type="dxa"/>
            </w:tcMar>
            <w:vAlign w:val="center"/>
          </w:tcPr>
          <w:p>
            <w:pPr>
              <w:jc w:val="center"/>
            </w:pPr>
            <w:r>
              <w:rPr>
                <w:b/>
                <w:color w:val="FFFFFF"/>
                <w:sz w:val="15"/>
              </w:rPr>
              <w:t>Mapped requirements/sections</w:t>
            </w:r>
          </w:p>
        </w:tc>
        <w:tc>
          <w:tcPr>
            <w:tcW w:type="dxa" w:w="3600"/>
            <w:shd w:fill="1F4E79"/>
            <w:tcMar>
              <w:top w:w="80" w:type="dxa"/>
              <w:start w:w="80" w:type="dxa"/>
              <w:bottom w:w="80" w:type="dxa"/>
              <w:end w:w="80" w:type="dxa"/>
            </w:tcMar>
            <w:vAlign w:val="center"/>
          </w:tcPr>
          <w:p>
            <w:pPr>
              <w:jc w:val="center"/>
            </w:pPr>
            <w:r>
              <w:rPr>
                <w:b/>
                <w:color w:val="FFFFFF"/>
                <w:sz w:val="15"/>
              </w:rPr>
              <w:t>Architectural support</w:t>
            </w:r>
          </w:p>
        </w:tc>
      </w:tr>
      <w:tr>
        <w:tc>
          <w:tcPr>
            <w:tcW w:type="dxa" w:w="3312"/>
            <w:tcMar>
              <w:top w:w="70" w:type="dxa"/>
              <w:start w:w="70" w:type="dxa"/>
              <w:bottom w:w="70" w:type="dxa"/>
              <w:end w:w="70" w:type="dxa"/>
            </w:tcMar>
            <w:vAlign w:val="top"/>
          </w:tcPr>
          <w:p>
            <w:pPr>
              <w:spacing w:after="20" w:line="252" w:lineRule="auto"/>
            </w:pPr>
            <w:r>
              <w:rPr>
                <w:sz w:val="15"/>
              </w:rPr>
              <w:t>Access restricted to Nortal domain</w:t>
            </w:r>
          </w:p>
        </w:tc>
        <w:tc>
          <w:tcPr>
            <w:tcW w:type="dxa" w:w="3744"/>
            <w:tcMar>
              <w:top w:w="70" w:type="dxa"/>
              <w:start w:w="70" w:type="dxa"/>
              <w:bottom w:w="70" w:type="dxa"/>
              <w:end w:w="70" w:type="dxa"/>
            </w:tcMar>
            <w:vAlign w:val="top"/>
          </w:tcPr>
          <w:p>
            <w:pPr>
              <w:spacing w:after="20" w:line="252" w:lineRule="auto"/>
            </w:pPr>
            <w:r>
              <w:rPr>
                <w:sz w:val="15"/>
              </w:rPr>
              <w:t>FR-001, FR-002, Security 11.1, Domain Model 11.2</w:t>
            </w:r>
          </w:p>
        </w:tc>
        <w:tc>
          <w:tcPr>
            <w:tcW w:type="dxa" w:w="3600"/>
            <w:tcMar>
              <w:top w:w="70" w:type="dxa"/>
              <w:start w:w="70" w:type="dxa"/>
              <w:bottom w:w="70" w:type="dxa"/>
              <w:end w:w="70" w:type="dxa"/>
            </w:tcMar>
            <w:vAlign w:val="top"/>
          </w:tcPr>
          <w:p>
            <w:pPr>
              <w:spacing w:after="20" w:line="252" w:lineRule="auto"/>
            </w:pPr>
            <w:r>
              <w:rPr>
                <w:sz w:val="15"/>
              </w:rPr>
              <w:t>Identity boundary, application/API authorization, audit log</w:t>
            </w:r>
          </w:p>
        </w:tc>
      </w:tr>
      <w:tr>
        <w:tc>
          <w:tcPr>
            <w:tcW w:type="dxa" w:w="3312"/>
            <w:tcMar>
              <w:top w:w="70" w:type="dxa"/>
              <w:start w:w="70" w:type="dxa"/>
              <w:bottom w:w="70" w:type="dxa"/>
              <w:end w:w="70" w:type="dxa"/>
            </w:tcMar>
            <w:vAlign w:val="top"/>
          </w:tcPr>
          <w:p>
            <w:pPr>
              <w:spacing w:after="20" w:line="252" w:lineRule="auto"/>
            </w:pPr>
            <w:r>
              <w:rPr>
                <w:sz w:val="15"/>
              </w:rPr>
              <w:t>Users can create multiple match predictions</w:t>
            </w:r>
          </w:p>
        </w:tc>
        <w:tc>
          <w:tcPr>
            <w:tcW w:type="dxa" w:w="3744"/>
            <w:tcMar>
              <w:top w:w="70" w:type="dxa"/>
              <w:start w:w="70" w:type="dxa"/>
              <w:bottom w:w="70" w:type="dxa"/>
              <w:end w:w="70" w:type="dxa"/>
            </w:tcMar>
            <w:vAlign w:val="top"/>
          </w:tcPr>
          <w:p>
            <w:pPr>
              <w:spacing w:after="20" w:line="252" w:lineRule="auto"/>
            </w:pPr>
            <w:r>
              <w:rPr>
                <w:sz w:val="15"/>
              </w:rPr>
              <w:t>FR-005, FR-006</w:t>
            </w:r>
          </w:p>
        </w:tc>
        <w:tc>
          <w:tcPr>
            <w:tcW w:type="dxa" w:w="3600"/>
            <w:tcMar>
              <w:top w:w="70" w:type="dxa"/>
              <w:start w:w="70" w:type="dxa"/>
              <w:bottom w:w="70" w:type="dxa"/>
              <w:end w:w="70" w:type="dxa"/>
            </w:tcMar>
            <w:vAlign w:val="top"/>
          </w:tcPr>
          <w:p>
            <w:pPr>
              <w:spacing w:after="20" w:line="252" w:lineRule="auto"/>
            </w:pPr>
            <w:r>
              <w:rPr>
                <w:sz w:val="15"/>
              </w:rPr>
              <w:t>Prediction management, match catalog</w:t>
            </w:r>
          </w:p>
        </w:tc>
      </w:tr>
      <w:tr>
        <w:tc>
          <w:tcPr>
            <w:tcW w:type="dxa" w:w="3312"/>
            <w:tcMar>
              <w:top w:w="70" w:type="dxa"/>
              <w:start w:w="70" w:type="dxa"/>
              <w:bottom w:w="70" w:type="dxa"/>
              <w:end w:w="70" w:type="dxa"/>
            </w:tcMar>
            <w:vAlign w:val="top"/>
          </w:tcPr>
          <w:p>
            <w:pPr>
              <w:spacing w:after="20" w:line="252" w:lineRule="auto"/>
            </w:pPr>
            <w:r>
              <w:rPr>
                <w:sz w:val="15"/>
              </w:rPr>
              <w:t>Users can edit match predictions if more than one hour remains</w:t>
            </w:r>
          </w:p>
        </w:tc>
        <w:tc>
          <w:tcPr>
            <w:tcW w:type="dxa" w:w="3744"/>
            <w:tcMar>
              <w:top w:w="70" w:type="dxa"/>
              <w:start w:w="70" w:type="dxa"/>
              <w:bottom w:w="70" w:type="dxa"/>
              <w:end w:w="70" w:type="dxa"/>
            </w:tcMar>
            <w:vAlign w:val="top"/>
          </w:tcPr>
          <w:p>
            <w:pPr>
              <w:spacing w:after="20" w:line="252" w:lineRule="auto"/>
            </w:pPr>
            <w:r>
              <w:rPr>
                <w:sz w:val="15"/>
              </w:rPr>
              <w:t>FR-007, FR-008, BR-LOCK-002</w:t>
            </w:r>
          </w:p>
        </w:tc>
        <w:tc>
          <w:tcPr>
            <w:tcW w:type="dxa" w:w="3600"/>
            <w:tcMar>
              <w:top w:w="70" w:type="dxa"/>
              <w:start w:w="70" w:type="dxa"/>
              <w:bottom w:w="70" w:type="dxa"/>
              <w:end w:w="70" w:type="dxa"/>
            </w:tcMar>
            <w:vAlign w:val="top"/>
          </w:tcPr>
          <w:p>
            <w:pPr>
              <w:spacing w:after="20" w:line="252" w:lineRule="auto"/>
            </w:pPr>
            <w:r>
              <w:rPr>
                <w:sz w:val="15"/>
              </w:rPr>
              <w:t>Business rules layer, canonical time</w:t>
            </w:r>
          </w:p>
        </w:tc>
      </w:tr>
      <w:tr>
        <w:tc>
          <w:tcPr>
            <w:tcW w:type="dxa" w:w="3312"/>
            <w:tcMar>
              <w:top w:w="70" w:type="dxa"/>
              <w:start w:w="70" w:type="dxa"/>
              <w:bottom w:w="70" w:type="dxa"/>
              <w:end w:w="70" w:type="dxa"/>
            </w:tcMar>
            <w:vAlign w:val="top"/>
          </w:tcPr>
          <w:p>
            <w:pPr>
              <w:spacing w:after="20" w:line="252" w:lineRule="auto"/>
            </w:pPr>
            <w:r>
              <w:rPr>
                <w:sz w:val="15"/>
              </w:rPr>
              <w:t>Users cannot edit within one hour of kickoff</w:t>
            </w:r>
          </w:p>
        </w:tc>
        <w:tc>
          <w:tcPr>
            <w:tcW w:type="dxa" w:w="3744"/>
            <w:tcMar>
              <w:top w:w="70" w:type="dxa"/>
              <w:start w:w="70" w:type="dxa"/>
              <w:bottom w:w="70" w:type="dxa"/>
              <w:end w:w="70" w:type="dxa"/>
            </w:tcMar>
            <w:vAlign w:val="top"/>
          </w:tcPr>
          <w:p>
            <w:pPr>
              <w:spacing w:after="20" w:line="252" w:lineRule="auto"/>
            </w:pPr>
            <w:r>
              <w:rPr>
                <w:sz w:val="15"/>
              </w:rPr>
              <w:t>FR-008, BR-LOCK-003</w:t>
            </w:r>
          </w:p>
        </w:tc>
        <w:tc>
          <w:tcPr>
            <w:tcW w:type="dxa" w:w="3600"/>
            <w:tcMar>
              <w:top w:w="70" w:type="dxa"/>
              <w:start w:w="70" w:type="dxa"/>
              <w:bottom w:w="70" w:type="dxa"/>
              <w:end w:w="70" w:type="dxa"/>
            </w:tcMar>
            <w:vAlign w:val="top"/>
          </w:tcPr>
          <w:p>
            <w:pPr>
              <w:spacing w:after="20" w:line="252" w:lineRule="auto"/>
            </w:pPr>
            <w:r>
              <w:rPr>
                <w:sz w:val="15"/>
              </w:rPr>
              <w:t>Server-side lock validation</w:t>
            </w:r>
          </w:p>
        </w:tc>
      </w:tr>
      <w:tr>
        <w:tc>
          <w:tcPr>
            <w:tcW w:type="dxa" w:w="3312"/>
            <w:tcMar>
              <w:top w:w="70" w:type="dxa"/>
              <w:start w:w="70" w:type="dxa"/>
              <w:bottom w:w="70" w:type="dxa"/>
              <w:end w:w="70" w:type="dxa"/>
            </w:tcMar>
            <w:vAlign w:val="top"/>
          </w:tcPr>
          <w:p>
            <w:pPr>
              <w:spacing w:after="20" w:line="252" w:lineRule="auto"/>
            </w:pPr>
            <w:r>
              <w:rPr>
                <w:sz w:val="15"/>
              </w:rPr>
              <w:t>Final predictions before first match only</w:t>
            </w:r>
          </w:p>
        </w:tc>
        <w:tc>
          <w:tcPr>
            <w:tcW w:type="dxa" w:w="3744"/>
            <w:tcMar>
              <w:top w:w="70" w:type="dxa"/>
              <w:start w:w="70" w:type="dxa"/>
              <w:bottom w:w="70" w:type="dxa"/>
              <w:end w:w="70" w:type="dxa"/>
            </w:tcMar>
            <w:vAlign w:val="top"/>
          </w:tcPr>
          <w:p>
            <w:pPr>
              <w:spacing w:after="20" w:line="252" w:lineRule="auto"/>
            </w:pPr>
            <w:r>
              <w:rPr>
                <w:sz w:val="15"/>
              </w:rPr>
              <w:t>FR-009, FR-010, BR-LOCK-005</w:t>
            </w:r>
          </w:p>
        </w:tc>
        <w:tc>
          <w:tcPr>
            <w:tcW w:type="dxa" w:w="3600"/>
            <w:tcMar>
              <w:top w:w="70" w:type="dxa"/>
              <w:start w:w="70" w:type="dxa"/>
              <w:bottom w:w="70" w:type="dxa"/>
              <w:end w:w="70" w:type="dxa"/>
            </w:tcMar>
            <w:vAlign w:val="top"/>
          </w:tcPr>
          <w:p>
            <w:pPr>
              <w:spacing w:after="20" w:line="252" w:lineRule="auto"/>
            </w:pPr>
            <w:r>
              <w:rPr>
                <w:sz w:val="15"/>
              </w:rPr>
              <w:t>Final prediction module, tournament configuration</w:t>
            </w:r>
          </w:p>
        </w:tc>
      </w:tr>
      <w:tr>
        <w:tc>
          <w:tcPr>
            <w:tcW w:type="dxa" w:w="3312"/>
            <w:tcMar>
              <w:top w:w="70" w:type="dxa"/>
              <w:start w:w="70" w:type="dxa"/>
              <w:bottom w:w="70" w:type="dxa"/>
              <w:end w:w="70" w:type="dxa"/>
            </w:tcMar>
            <w:vAlign w:val="top"/>
          </w:tcPr>
          <w:p>
            <w:pPr>
              <w:spacing w:after="20" w:line="252" w:lineRule="auto"/>
            </w:pPr>
            <w:r>
              <w:rPr>
                <w:sz w:val="15"/>
              </w:rPr>
              <w:t>Exact score = 10 points</w:t>
            </w:r>
          </w:p>
        </w:tc>
        <w:tc>
          <w:tcPr>
            <w:tcW w:type="dxa" w:w="3744"/>
            <w:tcMar>
              <w:top w:w="70" w:type="dxa"/>
              <w:start w:w="70" w:type="dxa"/>
              <w:bottom w:w="70" w:type="dxa"/>
              <w:end w:w="70" w:type="dxa"/>
            </w:tcMar>
            <w:vAlign w:val="top"/>
          </w:tcPr>
          <w:p>
            <w:pPr>
              <w:spacing w:after="20" w:line="252" w:lineRule="auto"/>
            </w:pPr>
            <w:r>
              <w:rPr>
                <w:sz w:val="15"/>
              </w:rPr>
              <w:t>FR-011, Scoring 7.2</w:t>
            </w:r>
          </w:p>
        </w:tc>
        <w:tc>
          <w:tcPr>
            <w:tcW w:type="dxa" w:w="3600"/>
            <w:tcMar>
              <w:top w:w="70" w:type="dxa"/>
              <w:start w:w="70" w:type="dxa"/>
              <w:bottom w:w="70" w:type="dxa"/>
              <w:end w:w="70" w:type="dxa"/>
            </w:tcMar>
            <w:vAlign w:val="top"/>
          </w:tcPr>
          <w:p>
            <w:pPr>
              <w:spacing w:after="20" w:line="252" w:lineRule="auto"/>
            </w:pPr>
            <w:r>
              <w:rPr>
                <w:sz w:val="15"/>
              </w:rPr>
              <w:t>Scoring engine</w:t>
            </w:r>
          </w:p>
        </w:tc>
      </w:tr>
      <w:tr>
        <w:tc>
          <w:tcPr>
            <w:tcW w:type="dxa" w:w="3312"/>
            <w:tcMar>
              <w:top w:w="70" w:type="dxa"/>
              <w:start w:w="70" w:type="dxa"/>
              <w:bottom w:w="70" w:type="dxa"/>
              <w:end w:w="70" w:type="dxa"/>
            </w:tcMar>
            <w:vAlign w:val="top"/>
          </w:tcPr>
          <w:p>
            <w:pPr>
              <w:spacing w:after="20" w:line="252" w:lineRule="auto"/>
            </w:pPr>
            <w:r>
              <w:rPr>
                <w:sz w:val="15"/>
              </w:rPr>
              <w:t>Correct winner/draw = 5 points</w:t>
            </w:r>
          </w:p>
        </w:tc>
        <w:tc>
          <w:tcPr>
            <w:tcW w:type="dxa" w:w="3744"/>
            <w:tcMar>
              <w:top w:w="70" w:type="dxa"/>
              <w:start w:w="70" w:type="dxa"/>
              <w:bottom w:w="70" w:type="dxa"/>
              <w:end w:w="70" w:type="dxa"/>
            </w:tcMar>
            <w:vAlign w:val="top"/>
          </w:tcPr>
          <w:p>
            <w:pPr>
              <w:spacing w:after="20" w:line="252" w:lineRule="auto"/>
            </w:pPr>
            <w:r>
              <w:rPr>
                <w:sz w:val="15"/>
              </w:rPr>
              <w:t>FR-011, Scoring 7.2</w:t>
            </w:r>
          </w:p>
        </w:tc>
        <w:tc>
          <w:tcPr>
            <w:tcW w:type="dxa" w:w="3600"/>
            <w:tcMar>
              <w:top w:w="70" w:type="dxa"/>
              <w:start w:w="70" w:type="dxa"/>
              <w:bottom w:w="70" w:type="dxa"/>
              <w:end w:w="70" w:type="dxa"/>
            </w:tcMar>
            <w:vAlign w:val="top"/>
          </w:tcPr>
          <w:p>
            <w:pPr>
              <w:spacing w:after="20" w:line="252" w:lineRule="auto"/>
            </w:pPr>
            <w:r>
              <w:rPr>
                <w:sz w:val="15"/>
              </w:rPr>
              <w:t>Scoring engine</w:t>
            </w:r>
          </w:p>
        </w:tc>
      </w:tr>
      <w:tr>
        <w:tc>
          <w:tcPr>
            <w:tcW w:type="dxa" w:w="3312"/>
            <w:tcMar>
              <w:top w:w="70" w:type="dxa"/>
              <w:start w:w="70" w:type="dxa"/>
              <w:bottom w:w="70" w:type="dxa"/>
              <w:end w:w="70" w:type="dxa"/>
            </w:tcMar>
            <w:vAlign w:val="top"/>
          </w:tcPr>
          <w:p>
            <w:pPr>
              <w:spacing w:after="20" w:line="252" w:lineRule="auto"/>
            </w:pPr>
            <w:r>
              <w:rPr>
                <w:sz w:val="15"/>
              </w:rPr>
              <w:t>Incorrect prediction = 0 points</w:t>
            </w:r>
          </w:p>
        </w:tc>
        <w:tc>
          <w:tcPr>
            <w:tcW w:type="dxa" w:w="3744"/>
            <w:tcMar>
              <w:top w:w="70" w:type="dxa"/>
              <w:start w:w="70" w:type="dxa"/>
              <w:bottom w:w="70" w:type="dxa"/>
              <w:end w:w="70" w:type="dxa"/>
            </w:tcMar>
            <w:vAlign w:val="top"/>
          </w:tcPr>
          <w:p>
            <w:pPr>
              <w:spacing w:after="20" w:line="252" w:lineRule="auto"/>
            </w:pPr>
            <w:r>
              <w:rPr>
                <w:sz w:val="15"/>
              </w:rPr>
              <w:t>FR-011, Scoring 7.2</w:t>
            </w:r>
          </w:p>
        </w:tc>
        <w:tc>
          <w:tcPr>
            <w:tcW w:type="dxa" w:w="3600"/>
            <w:tcMar>
              <w:top w:w="70" w:type="dxa"/>
              <w:start w:w="70" w:type="dxa"/>
              <w:bottom w:w="70" w:type="dxa"/>
              <w:end w:w="70" w:type="dxa"/>
            </w:tcMar>
            <w:vAlign w:val="top"/>
          </w:tcPr>
          <w:p>
            <w:pPr>
              <w:spacing w:after="20" w:line="252" w:lineRule="auto"/>
            </w:pPr>
            <w:r>
              <w:rPr>
                <w:sz w:val="15"/>
              </w:rPr>
              <w:t>Scoring engine</w:t>
            </w:r>
          </w:p>
        </w:tc>
      </w:tr>
      <w:tr>
        <w:tc>
          <w:tcPr>
            <w:tcW w:type="dxa" w:w="3312"/>
            <w:tcMar>
              <w:top w:w="70" w:type="dxa"/>
              <w:start w:w="70" w:type="dxa"/>
              <w:bottom w:w="70" w:type="dxa"/>
              <w:end w:w="70" w:type="dxa"/>
            </w:tcMar>
            <w:vAlign w:val="top"/>
          </w:tcPr>
          <w:p>
            <w:pPr>
              <w:spacing w:after="20" w:line="252" w:lineRule="auto"/>
            </w:pPr>
            <w:r>
              <w:rPr>
                <w:sz w:val="15"/>
              </w:rPr>
              <w:t>Final prediction item = 20 points</w:t>
            </w:r>
          </w:p>
        </w:tc>
        <w:tc>
          <w:tcPr>
            <w:tcW w:type="dxa" w:w="3744"/>
            <w:tcMar>
              <w:top w:w="70" w:type="dxa"/>
              <w:start w:w="70" w:type="dxa"/>
              <w:bottom w:w="70" w:type="dxa"/>
              <w:end w:w="70" w:type="dxa"/>
            </w:tcMar>
            <w:vAlign w:val="top"/>
          </w:tcPr>
          <w:p>
            <w:pPr>
              <w:spacing w:after="20" w:line="252" w:lineRule="auto"/>
            </w:pPr>
            <w:r>
              <w:rPr>
                <w:sz w:val="15"/>
              </w:rPr>
              <w:t>FR-012, Scoring 7.3</w:t>
            </w:r>
          </w:p>
        </w:tc>
        <w:tc>
          <w:tcPr>
            <w:tcW w:type="dxa" w:w="3600"/>
            <w:tcMar>
              <w:top w:w="70" w:type="dxa"/>
              <w:start w:w="70" w:type="dxa"/>
              <w:bottom w:w="70" w:type="dxa"/>
              <w:end w:w="70" w:type="dxa"/>
            </w:tcMar>
            <w:vAlign w:val="top"/>
          </w:tcPr>
          <w:p>
            <w:pPr>
              <w:spacing w:after="20" w:line="252" w:lineRule="auto"/>
            </w:pPr>
            <w:r>
              <w:rPr>
                <w:sz w:val="15"/>
              </w:rPr>
              <w:t>Scoring engine, final awards data</w:t>
            </w:r>
          </w:p>
        </w:tc>
      </w:tr>
      <w:tr>
        <w:tc>
          <w:tcPr>
            <w:tcW w:type="dxa" w:w="3312"/>
            <w:tcMar>
              <w:top w:w="70" w:type="dxa"/>
              <w:start w:w="70" w:type="dxa"/>
              <w:bottom w:w="70" w:type="dxa"/>
              <w:end w:w="70" w:type="dxa"/>
            </w:tcMar>
            <w:vAlign w:val="top"/>
          </w:tcPr>
          <w:p>
            <w:pPr>
              <w:spacing w:after="20" w:line="252" w:lineRule="auto"/>
            </w:pPr>
            <w:r>
              <w:rPr>
                <w:sz w:val="15"/>
              </w:rPr>
              <w:t>Automated match data updates</w:t>
            </w:r>
          </w:p>
        </w:tc>
        <w:tc>
          <w:tcPr>
            <w:tcW w:type="dxa" w:w="3744"/>
            <w:tcMar>
              <w:top w:w="70" w:type="dxa"/>
              <w:start w:w="70" w:type="dxa"/>
              <w:bottom w:w="70" w:type="dxa"/>
              <w:end w:w="70" w:type="dxa"/>
            </w:tcMar>
            <w:vAlign w:val="top"/>
          </w:tcPr>
          <w:p>
            <w:pPr>
              <w:spacing w:after="20" w:line="252" w:lineRule="auto"/>
            </w:pPr>
            <w:r>
              <w:rPr>
                <w:sz w:val="15"/>
              </w:rPr>
              <w:t>FR-017, Integration 10</w:t>
            </w:r>
          </w:p>
        </w:tc>
        <w:tc>
          <w:tcPr>
            <w:tcW w:type="dxa" w:w="3600"/>
            <w:tcMar>
              <w:top w:w="70" w:type="dxa"/>
              <w:start w:w="70" w:type="dxa"/>
              <w:bottom w:w="70" w:type="dxa"/>
              <w:end w:w="70" w:type="dxa"/>
            </w:tcMar>
            <w:vAlign w:val="top"/>
          </w:tcPr>
          <w:p>
            <w:pPr>
              <w:spacing w:after="20" w:line="252" w:lineRule="auto"/>
            </w:pPr>
            <w:r>
              <w:rPr>
                <w:sz w:val="15"/>
              </w:rPr>
              <w:t>Integration layer, provider abstraction</w:t>
            </w:r>
          </w:p>
        </w:tc>
      </w:tr>
      <w:tr>
        <w:tc>
          <w:tcPr>
            <w:tcW w:type="dxa" w:w="3312"/>
            <w:tcMar>
              <w:top w:w="70" w:type="dxa"/>
              <w:start w:w="70" w:type="dxa"/>
              <w:bottom w:w="70" w:type="dxa"/>
              <w:end w:w="70" w:type="dxa"/>
            </w:tcMar>
            <w:vAlign w:val="top"/>
          </w:tcPr>
          <w:p>
            <w:pPr>
              <w:spacing w:after="20" w:line="252" w:lineRule="auto"/>
            </w:pPr>
            <w:r>
              <w:rPr>
                <w:sz w:val="15"/>
              </w:rPr>
              <w:t>Detailed auditability</w:t>
            </w:r>
          </w:p>
        </w:tc>
        <w:tc>
          <w:tcPr>
            <w:tcW w:type="dxa" w:w="3744"/>
            <w:tcMar>
              <w:top w:w="70" w:type="dxa"/>
              <w:start w:w="70" w:type="dxa"/>
              <w:bottom w:w="70" w:type="dxa"/>
              <w:end w:w="70" w:type="dxa"/>
            </w:tcMar>
            <w:vAlign w:val="top"/>
          </w:tcPr>
          <w:p>
            <w:pPr>
              <w:spacing w:after="20" w:line="252" w:lineRule="auto"/>
            </w:pPr>
            <w:r>
              <w:rPr>
                <w:sz w:val="15"/>
              </w:rPr>
              <w:t>FR-018, Security 11.1, Data Architecture 9</w:t>
            </w:r>
          </w:p>
        </w:tc>
        <w:tc>
          <w:tcPr>
            <w:tcW w:type="dxa" w:w="3600"/>
            <w:tcMar>
              <w:top w:w="70" w:type="dxa"/>
              <w:start w:w="70" w:type="dxa"/>
              <w:bottom w:w="70" w:type="dxa"/>
              <w:end w:w="70" w:type="dxa"/>
            </w:tcMar>
            <w:vAlign w:val="top"/>
          </w:tcPr>
          <w:p>
            <w:pPr>
              <w:spacing w:after="20" w:line="252" w:lineRule="auto"/>
            </w:pPr>
            <w:r>
              <w:rPr>
                <w:sz w:val="15"/>
              </w:rPr>
              <w:t>Audit log, score events, integration runs</w:t>
            </w:r>
          </w:p>
        </w:tc>
      </w:tr>
      <w:tr>
        <w:tc>
          <w:tcPr>
            <w:tcW w:type="dxa" w:w="3312"/>
            <w:tcMar>
              <w:top w:w="70" w:type="dxa"/>
              <w:start w:w="70" w:type="dxa"/>
              <w:bottom w:w="70" w:type="dxa"/>
              <w:end w:w="70" w:type="dxa"/>
            </w:tcMar>
            <w:vAlign w:val="top"/>
          </w:tcPr>
          <w:p>
            <w:pPr>
              <w:spacing w:after="20" w:line="252" w:lineRule="auto"/>
            </w:pPr>
            <w:r>
              <w:rPr>
                <w:sz w:val="15"/>
              </w:rPr>
              <w:t>Technology-agnostic architecture</w:t>
            </w:r>
          </w:p>
        </w:tc>
        <w:tc>
          <w:tcPr>
            <w:tcW w:type="dxa" w:w="3744"/>
            <w:tcMar>
              <w:top w:w="70" w:type="dxa"/>
              <w:start w:w="70" w:type="dxa"/>
              <w:bottom w:w="70" w:type="dxa"/>
              <w:end w:w="70" w:type="dxa"/>
            </w:tcMar>
            <w:vAlign w:val="top"/>
          </w:tcPr>
          <w:p>
            <w:pPr>
              <w:spacing w:after="20" w:line="252" w:lineRule="auto"/>
            </w:pPr>
            <w:r>
              <w:rPr>
                <w:sz w:val="15"/>
              </w:rPr>
              <w:t>Architecture Principles 3, Patterns 8.3</w:t>
            </w:r>
          </w:p>
        </w:tc>
        <w:tc>
          <w:tcPr>
            <w:tcW w:type="dxa" w:w="3600"/>
            <w:tcMar>
              <w:top w:w="70" w:type="dxa"/>
              <w:start w:w="70" w:type="dxa"/>
              <w:bottom w:w="70" w:type="dxa"/>
              <w:end w:w="70" w:type="dxa"/>
            </w:tcMar>
            <w:vAlign w:val="top"/>
          </w:tcPr>
          <w:p>
            <w:pPr>
              <w:spacing w:after="20" w:line="252" w:lineRule="auto"/>
            </w:pPr>
            <w:r>
              <w:rPr>
                <w:sz w:val="15"/>
              </w:rPr>
              <w:t>Capability-based design and architecture decision process</w:t>
            </w:r>
          </w:p>
        </w:tc>
      </w:tr>
    </w:tbl>
    <w:p>
      <w:pPr>
        <w:pStyle w:val="Heading1"/>
        <w:spacing w:before="240" w:after="100"/>
      </w:pPr>
      <w:r>
        <w:t>Appendix B - Implementation Option Evaluation Scorecard</w:t>
      </w:r>
    </w:p>
    <w:p>
      <w:pPr>
        <w:keepLines w:val="0"/>
        <w:spacing w:after="120"/>
      </w:pPr>
      <w:r>
        <w:rPr>
          <w:b w:val="0"/>
          <w:i w:val="0"/>
        </w:rPr>
        <w:t>The following scorecard can be used later to compare implementation options without embedding a technology decision into this high-level architecture.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rPr>
          <w:tblHeader w:val="true"/>
        </w:trPr>
        <w:tc>
          <w:tcPr>
            <w:tcW w:type="dxa" w:w="3024"/>
            <w:shd w:fill="1F4E79"/>
            <w:tcMar>
              <w:top w:w="80" w:type="dxa"/>
              <w:start w:w="80" w:type="dxa"/>
              <w:bottom w:w="80" w:type="dxa"/>
              <w:end w:w="80" w:type="dxa"/>
            </w:tcMar>
            <w:vAlign w:val="center"/>
          </w:tcPr>
          <w:p>
            <w:pPr>
              <w:jc w:val="center"/>
            </w:pPr>
            <w:r>
              <w:rPr>
                <w:b/>
                <w:color w:val="FFFFFF"/>
                <w:sz w:val="16"/>
              </w:rPr>
              <w:t>Criterion</w:t>
            </w:r>
          </w:p>
        </w:tc>
        <w:tc>
          <w:tcPr>
            <w:tcW w:type="dxa" w:w="6624"/>
            <w:shd w:fill="1F4E79"/>
            <w:tcMar>
              <w:top w:w="80" w:type="dxa"/>
              <w:start w:w="80" w:type="dxa"/>
              <w:bottom w:w="80" w:type="dxa"/>
              <w:end w:w="80" w:type="dxa"/>
            </w:tcMar>
            <w:vAlign w:val="center"/>
          </w:tcPr>
          <w:p>
            <w:pPr>
              <w:jc w:val="center"/>
            </w:pPr>
            <w:r>
              <w:rPr>
                <w:b/>
                <w:color w:val="FFFFFF"/>
                <w:sz w:val="16"/>
              </w:rPr>
              <w:t>Evaluation question</w:t>
            </w:r>
          </w:p>
        </w:tc>
        <w:tc>
          <w:tcPr>
            <w:tcW w:type="dxa" w:w="1152"/>
            <w:shd w:fill="1F4E79"/>
            <w:tcMar>
              <w:top w:w="80" w:type="dxa"/>
              <w:start w:w="80" w:type="dxa"/>
              <w:bottom w:w="80" w:type="dxa"/>
              <w:end w:w="80" w:type="dxa"/>
            </w:tcMar>
            <w:vAlign w:val="center"/>
          </w:tcPr>
          <w:p>
            <w:pPr>
              <w:jc w:val="center"/>
            </w:pPr>
            <w:r>
              <w:rPr>
                <w:b/>
                <w:color w:val="FFFFFF"/>
                <w:sz w:val="16"/>
              </w:rPr>
              <w:t>Weight</w:t>
            </w:r>
          </w:p>
        </w:tc>
      </w:tr>
      <w:tr>
        <w:tc>
          <w:tcPr>
            <w:tcW w:type="dxa" w:w="3024"/>
            <w:tcMar>
              <w:top w:w="70" w:type="dxa"/>
              <w:start w:w="70" w:type="dxa"/>
              <w:bottom w:w="70" w:type="dxa"/>
              <w:end w:w="70" w:type="dxa"/>
            </w:tcMar>
            <w:vAlign w:val="top"/>
          </w:tcPr>
          <w:p>
            <w:pPr>
              <w:spacing w:after="20" w:line="252" w:lineRule="auto"/>
            </w:pPr>
            <w:r>
              <w:rPr>
                <w:sz w:val="16"/>
              </w:rPr>
              <w:t>Security and identity fit</w:t>
            </w:r>
          </w:p>
        </w:tc>
        <w:tc>
          <w:tcPr>
            <w:tcW w:type="dxa" w:w="6624"/>
            <w:tcMar>
              <w:top w:w="70" w:type="dxa"/>
              <w:start w:w="70" w:type="dxa"/>
              <w:bottom w:w="70" w:type="dxa"/>
              <w:end w:w="70" w:type="dxa"/>
            </w:tcMar>
            <w:vAlign w:val="top"/>
          </w:tcPr>
          <w:p>
            <w:pPr>
              <w:spacing w:after="20" w:line="252" w:lineRule="auto"/>
            </w:pPr>
            <w:r>
              <w:rPr>
                <w:sz w:val="16"/>
              </w:rPr>
              <w:t>Can it enforce corporate SSO, domain eligibility, role-based access, and audit requirements?</w:t>
            </w:r>
          </w:p>
        </w:tc>
        <w:tc>
          <w:tcPr>
            <w:tcW w:type="dxa" w:w="1152"/>
            <w:tcMar>
              <w:top w:w="70" w:type="dxa"/>
              <w:start w:w="70" w:type="dxa"/>
              <w:bottom w:w="70" w:type="dxa"/>
              <w:end w:w="70" w:type="dxa"/>
            </w:tcMar>
            <w:vAlign w:val="top"/>
          </w:tcPr>
          <w:p>
            <w:pPr>
              <w:spacing w:after="20" w:line="252" w:lineRule="auto"/>
            </w:pPr>
            <w:r>
              <w:rPr>
                <w:sz w:val="16"/>
              </w:rPr>
              <w:t>High</w:t>
            </w:r>
          </w:p>
        </w:tc>
      </w:tr>
      <w:tr>
        <w:tc>
          <w:tcPr>
            <w:tcW w:type="dxa" w:w="3024"/>
            <w:tcMar>
              <w:top w:w="70" w:type="dxa"/>
              <w:start w:w="70" w:type="dxa"/>
              <w:bottom w:w="70" w:type="dxa"/>
              <w:end w:w="70" w:type="dxa"/>
            </w:tcMar>
            <w:vAlign w:val="top"/>
          </w:tcPr>
          <w:p>
            <w:pPr>
              <w:spacing w:after="20" w:line="252" w:lineRule="auto"/>
            </w:pPr>
            <w:r>
              <w:rPr>
                <w:sz w:val="16"/>
              </w:rPr>
              <w:t>Delivery speed</w:t>
            </w:r>
          </w:p>
        </w:tc>
        <w:tc>
          <w:tcPr>
            <w:tcW w:type="dxa" w:w="6624"/>
            <w:tcMar>
              <w:top w:w="70" w:type="dxa"/>
              <w:start w:w="70" w:type="dxa"/>
              <w:bottom w:w="70" w:type="dxa"/>
              <w:end w:w="70" w:type="dxa"/>
            </w:tcMar>
            <w:vAlign w:val="top"/>
          </w:tcPr>
          <w:p>
            <w:pPr>
              <w:spacing w:after="20" w:line="252" w:lineRule="auto"/>
            </w:pPr>
            <w:r>
              <w:rPr>
                <w:sz w:val="16"/>
              </w:rPr>
              <w:t>Can MVP be delivered and tested before tournament readiness deadlines?</w:t>
            </w:r>
          </w:p>
        </w:tc>
        <w:tc>
          <w:tcPr>
            <w:tcW w:type="dxa" w:w="1152"/>
            <w:tcMar>
              <w:top w:w="70" w:type="dxa"/>
              <w:start w:w="70" w:type="dxa"/>
              <w:bottom w:w="70" w:type="dxa"/>
              <w:end w:w="70" w:type="dxa"/>
            </w:tcMar>
            <w:vAlign w:val="top"/>
          </w:tcPr>
          <w:p>
            <w:pPr>
              <w:spacing w:after="20" w:line="252" w:lineRule="auto"/>
            </w:pPr>
            <w:r>
              <w:rPr>
                <w:sz w:val="16"/>
              </w:rPr>
              <w:t>High</w:t>
            </w:r>
          </w:p>
        </w:tc>
      </w:tr>
      <w:tr>
        <w:tc>
          <w:tcPr>
            <w:tcW w:type="dxa" w:w="3024"/>
            <w:tcMar>
              <w:top w:w="70" w:type="dxa"/>
              <w:start w:w="70" w:type="dxa"/>
              <w:bottom w:w="70" w:type="dxa"/>
              <w:end w:w="70" w:type="dxa"/>
            </w:tcMar>
            <w:vAlign w:val="top"/>
          </w:tcPr>
          <w:p>
            <w:pPr>
              <w:spacing w:after="20" w:line="252" w:lineRule="auto"/>
            </w:pPr>
            <w:r>
              <w:rPr>
                <w:sz w:val="16"/>
              </w:rPr>
              <w:t>Rules complexity</w:t>
            </w:r>
          </w:p>
        </w:tc>
        <w:tc>
          <w:tcPr>
            <w:tcW w:type="dxa" w:w="6624"/>
            <w:tcMar>
              <w:top w:w="70" w:type="dxa"/>
              <w:start w:w="70" w:type="dxa"/>
              <w:bottom w:w="70" w:type="dxa"/>
              <w:end w:w="70" w:type="dxa"/>
            </w:tcMar>
            <w:vAlign w:val="top"/>
          </w:tcPr>
          <w:p>
            <w:pPr>
              <w:spacing w:after="20" w:line="252" w:lineRule="auto"/>
            </w:pPr>
            <w:r>
              <w:rPr>
                <w:sz w:val="16"/>
              </w:rPr>
              <w:t>Can it centralize and test lock, scoring, and recalculation logic reliably?</w:t>
            </w:r>
          </w:p>
        </w:tc>
        <w:tc>
          <w:tcPr>
            <w:tcW w:type="dxa" w:w="1152"/>
            <w:tcMar>
              <w:top w:w="70" w:type="dxa"/>
              <w:start w:w="70" w:type="dxa"/>
              <w:bottom w:w="70" w:type="dxa"/>
              <w:end w:w="70" w:type="dxa"/>
            </w:tcMar>
            <w:vAlign w:val="top"/>
          </w:tcPr>
          <w:p>
            <w:pPr>
              <w:spacing w:after="20" w:line="252" w:lineRule="auto"/>
            </w:pPr>
            <w:r>
              <w:rPr>
                <w:sz w:val="16"/>
              </w:rPr>
              <w:t>High</w:t>
            </w:r>
          </w:p>
        </w:tc>
      </w:tr>
      <w:tr>
        <w:tc>
          <w:tcPr>
            <w:tcW w:type="dxa" w:w="3024"/>
            <w:tcMar>
              <w:top w:w="70" w:type="dxa"/>
              <w:start w:w="70" w:type="dxa"/>
              <w:bottom w:w="70" w:type="dxa"/>
              <w:end w:w="70" w:type="dxa"/>
            </w:tcMar>
            <w:vAlign w:val="top"/>
          </w:tcPr>
          <w:p>
            <w:pPr>
              <w:spacing w:after="20" w:line="252" w:lineRule="auto"/>
            </w:pPr>
            <w:r>
              <w:rPr>
                <w:sz w:val="16"/>
              </w:rPr>
              <w:t>User experience</w:t>
            </w:r>
          </w:p>
        </w:tc>
        <w:tc>
          <w:tcPr>
            <w:tcW w:type="dxa" w:w="6624"/>
            <w:tcMar>
              <w:top w:w="70" w:type="dxa"/>
              <w:start w:w="70" w:type="dxa"/>
              <w:bottom w:w="70" w:type="dxa"/>
              <w:end w:w="70" w:type="dxa"/>
            </w:tcMar>
            <w:vAlign w:val="top"/>
          </w:tcPr>
          <w:p>
            <w:pPr>
              <w:spacing w:after="20" w:line="252" w:lineRule="auto"/>
            </w:pPr>
            <w:r>
              <w:rPr>
                <w:sz w:val="16"/>
              </w:rPr>
              <w:t>Can it deliver a polished, responsive, engaging experience for participants?</w:t>
            </w:r>
          </w:p>
        </w:tc>
        <w:tc>
          <w:tcPr>
            <w:tcW w:type="dxa" w:w="1152"/>
            <w:tcMar>
              <w:top w:w="70" w:type="dxa"/>
              <w:start w:w="70" w:type="dxa"/>
              <w:bottom w:w="70" w:type="dxa"/>
              <w:end w:w="70" w:type="dxa"/>
            </w:tcMar>
            <w:vAlign w:val="top"/>
          </w:tcPr>
          <w:p>
            <w:pPr>
              <w:spacing w:after="20" w:line="252" w:lineRule="auto"/>
            </w:pPr>
            <w:r>
              <w:rPr>
                <w:sz w:val="16"/>
              </w:rPr>
              <w:t>Medium</w:t>
            </w:r>
          </w:p>
        </w:tc>
      </w:tr>
      <w:tr>
        <w:tc>
          <w:tcPr>
            <w:tcW w:type="dxa" w:w="3024"/>
            <w:tcMar>
              <w:top w:w="70" w:type="dxa"/>
              <w:start w:w="70" w:type="dxa"/>
              <w:bottom w:w="70" w:type="dxa"/>
              <w:end w:w="70" w:type="dxa"/>
            </w:tcMar>
            <w:vAlign w:val="top"/>
          </w:tcPr>
          <w:p>
            <w:pPr>
              <w:spacing w:after="20" w:line="252" w:lineRule="auto"/>
            </w:pPr>
            <w:r>
              <w:rPr>
                <w:sz w:val="16"/>
              </w:rPr>
              <w:t>Integration flexibility</w:t>
            </w:r>
          </w:p>
        </w:tc>
        <w:tc>
          <w:tcPr>
            <w:tcW w:type="dxa" w:w="6624"/>
            <w:tcMar>
              <w:top w:w="70" w:type="dxa"/>
              <w:start w:w="70" w:type="dxa"/>
              <w:bottom w:w="70" w:type="dxa"/>
              <w:end w:w="70" w:type="dxa"/>
            </w:tcMar>
            <w:vAlign w:val="top"/>
          </w:tcPr>
          <w:p>
            <w:pPr>
              <w:spacing w:after="20" w:line="252" w:lineRule="auto"/>
            </w:pPr>
            <w:r>
              <w:rPr>
                <w:sz w:val="16"/>
              </w:rPr>
              <w:t>Can it abstract and replace external football data providers?</w:t>
            </w:r>
          </w:p>
        </w:tc>
        <w:tc>
          <w:tcPr>
            <w:tcW w:type="dxa" w:w="1152"/>
            <w:tcMar>
              <w:top w:w="70" w:type="dxa"/>
              <w:start w:w="70" w:type="dxa"/>
              <w:bottom w:w="70" w:type="dxa"/>
              <w:end w:w="70" w:type="dxa"/>
            </w:tcMar>
            <w:vAlign w:val="top"/>
          </w:tcPr>
          <w:p>
            <w:pPr>
              <w:spacing w:after="20" w:line="252" w:lineRule="auto"/>
            </w:pPr>
            <w:r>
              <w:rPr>
                <w:sz w:val="16"/>
              </w:rPr>
              <w:t>High</w:t>
            </w:r>
          </w:p>
        </w:tc>
      </w:tr>
      <w:tr>
        <w:tc>
          <w:tcPr>
            <w:tcW w:type="dxa" w:w="3024"/>
            <w:tcMar>
              <w:top w:w="70" w:type="dxa"/>
              <w:start w:w="70" w:type="dxa"/>
              <w:bottom w:w="70" w:type="dxa"/>
              <w:end w:w="70" w:type="dxa"/>
            </w:tcMar>
            <w:vAlign w:val="top"/>
          </w:tcPr>
          <w:p>
            <w:pPr>
              <w:spacing w:after="20" w:line="252" w:lineRule="auto"/>
            </w:pPr>
            <w:r>
              <w:rPr>
                <w:sz w:val="16"/>
              </w:rPr>
              <w:t>Operational support</w:t>
            </w:r>
          </w:p>
        </w:tc>
        <w:tc>
          <w:tcPr>
            <w:tcW w:type="dxa" w:w="6624"/>
            <w:tcMar>
              <w:top w:w="70" w:type="dxa"/>
              <w:start w:w="70" w:type="dxa"/>
              <w:bottom w:w="70" w:type="dxa"/>
              <w:end w:w="70" w:type="dxa"/>
            </w:tcMar>
            <w:vAlign w:val="top"/>
          </w:tcPr>
          <w:p>
            <w:pPr>
              <w:spacing w:after="20" w:line="252" w:lineRule="auto"/>
            </w:pPr>
            <w:r>
              <w:rPr>
                <w:sz w:val="16"/>
              </w:rPr>
              <w:t>Can it provide monitoring, alerts, logs, and recovery procedures?</w:t>
            </w:r>
          </w:p>
        </w:tc>
        <w:tc>
          <w:tcPr>
            <w:tcW w:type="dxa" w:w="1152"/>
            <w:tcMar>
              <w:top w:w="70" w:type="dxa"/>
              <w:start w:w="70" w:type="dxa"/>
              <w:bottom w:w="70" w:type="dxa"/>
              <w:end w:w="70" w:type="dxa"/>
            </w:tcMar>
            <w:vAlign w:val="top"/>
          </w:tcPr>
          <w:p>
            <w:pPr>
              <w:spacing w:after="20" w:line="252" w:lineRule="auto"/>
            </w:pPr>
            <w:r>
              <w:rPr>
                <w:sz w:val="16"/>
              </w:rPr>
              <w:t>High</w:t>
            </w:r>
          </w:p>
        </w:tc>
      </w:tr>
      <w:tr>
        <w:tc>
          <w:tcPr>
            <w:tcW w:type="dxa" w:w="3024"/>
            <w:tcMar>
              <w:top w:w="70" w:type="dxa"/>
              <w:start w:w="70" w:type="dxa"/>
              <w:bottom w:w="70" w:type="dxa"/>
              <w:end w:w="70" w:type="dxa"/>
            </w:tcMar>
            <w:vAlign w:val="top"/>
          </w:tcPr>
          <w:p>
            <w:pPr>
              <w:spacing w:after="20" w:line="252" w:lineRule="auto"/>
            </w:pPr>
            <w:r>
              <w:rPr>
                <w:sz w:val="16"/>
              </w:rPr>
              <w:t>Cost and licensing</w:t>
            </w:r>
          </w:p>
        </w:tc>
        <w:tc>
          <w:tcPr>
            <w:tcW w:type="dxa" w:w="6624"/>
            <w:tcMar>
              <w:top w:w="70" w:type="dxa"/>
              <w:start w:w="70" w:type="dxa"/>
              <w:bottom w:w="70" w:type="dxa"/>
              <w:end w:w="70" w:type="dxa"/>
            </w:tcMar>
            <w:vAlign w:val="top"/>
          </w:tcPr>
          <w:p>
            <w:pPr>
              <w:spacing w:after="20" w:line="252" w:lineRule="auto"/>
            </w:pPr>
            <w:r>
              <w:rPr>
                <w:sz w:val="16"/>
              </w:rPr>
              <w:t>Are licensing and hosting costs appropriate for expected participant volume?</w:t>
            </w:r>
          </w:p>
        </w:tc>
        <w:tc>
          <w:tcPr>
            <w:tcW w:type="dxa" w:w="1152"/>
            <w:tcMar>
              <w:top w:w="70" w:type="dxa"/>
              <w:start w:w="70" w:type="dxa"/>
              <w:bottom w:w="70" w:type="dxa"/>
              <w:end w:w="70" w:type="dxa"/>
            </w:tcMar>
            <w:vAlign w:val="top"/>
          </w:tcPr>
          <w:p>
            <w:pPr>
              <w:spacing w:after="20" w:line="252" w:lineRule="auto"/>
            </w:pPr>
            <w:r>
              <w:rPr>
                <w:sz w:val="16"/>
              </w:rPr>
              <w:t>Medium</w:t>
            </w:r>
          </w:p>
        </w:tc>
      </w:tr>
      <w:tr>
        <w:tc>
          <w:tcPr>
            <w:tcW w:type="dxa" w:w="3024"/>
            <w:tcMar>
              <w:top w:w="70" w:type="dxa"/>
              <w:start w:w="70" w:type="dxa"/>
              <w:bottom w:w="70" w:type="dxa"/>
              <w:end w:w="70" w:type="dxa"/>
            </w:tcMar>
            <w:vAlign w:val="top"/>
          </w:tcPr>
          <w:p>
            <w:pPr>
              <w:spacing w:after="20" w:line="252" w:lineRule="auto"/>
            </w:pPr>
            <w:r>
              <w:rPr>
                <w:sz w:val="16"/>
              </w:rPr>
              <w:t>Maintainability</w:t>
            </w:r>
          </w:p>
        </w:tc>
        <w:tc>
          <w:tcPr>
            <w:tcW w:type="dxa" w:w="6624"/>
            <w:tcMar>
              <w:top w:w="70" w:type="dxa"/>
              <w:start w:w="70" w:type="dxa"/>
              <w:bottom w:w="70" w:type="dxa"/>
              <w:end w:w="70" w:type="dxa"/>
            </w:tcMar>
            <w:vAlign w:val="top"/>
          </w:tcPr>
          <w:p>
            <w:pPr>
              <w:spacing w:after="20" w:line="252" w:lineRule="auto"/>
            </w:pPr>
            <w:r>
              <w:rPr>
                <w:sz w:val="16"/>
              </w:rPr>
              <w:t>Can the solution be maintained by Nortal after the tournament and reused later?</w:t>
            </w:r>
          </w:p>
        </w:tc>
        <w:tc>
          <w:tcPr>
            <w:tcW w:type="dxa" w:w="1152"/>
            <w:tcMar>
              <w:top w:w="70" w:type="dxa"/>
              <w:start w:w="70" w:type="dxa"/>
              <w:bottom w:w="70" w:type="dxa"/>
              <w:end w:w="70" w:type="dxa"/>
            </w:tcMar>
            <w:vAlign w:val="top"/>
          </w:tcPr>
          <w:p>
            <w:pPr>
              <w:spacing w:after="20" w:line="252" w:lineRule="auto"/>
            </w:pPr>
            <w:r>
              <w:rPr>
                <w:sz w:val="16"/>
              </w:rPr>
              <w:t>Medium</w:t>
            </w:r>
          </w:p>
        </w:tc>
      </w:tr>
      <w:tr>
        <w:tc>
          <w:tcPr>
            <w:tcW w:type="dxa" w:w="3024"/>
            <w:tcMar>
              <w:top w:w="70" w:type="dxa"/>
              <w:start w:w="70" w:type="dxa"/>
              <w:bottom w:w="70" w:type="dxa"/>
              <w:end w:w="70" w:type="dxa"/>
            </w:tcMar>
            <w:vAlign w:val="top"/>
          </w:tcPr>
          <w:p>
            <w:pPr>
              <w:spacing w:after="20" w:line="252" w:lineRule="auto"/>
            </w:pPr>
            <w:r>
              <w:rPr>
                <w:sz w:val="16"/>
              </w:rPr>
              <w:t>Vendor/platform lock-in</w:t>
            </w:r>
          </w:p>
        </w:tc>
        <w:tc>
          <w:tcPr>
            <w:tcW w:type="dxa" w:w="6624"/>
            <w:tcMar>
              <w:top w:w="70" w:type="dxa"/>
              <w:start w:w="70" w:type="dxa"/>
              <w:bottom w:w="70" w:type="dxa"/>
              <w:end w:w="70" w:type="dxa"/>
            </w:tcMar>
            <w:vAlign w:val="top"/>
          </w:tcPr>
          <w:p>
            <w:pPr>
              <w:spacing w:after="20" w:line="252" w:lineRule="auto"/>
            </w:pPr>
            <w:r>
              <w:rPr>
                <w:sz w:val="16"/>
              </w:rPr>
              <w:t>Can data, rules, and integrations be migrated or reused if needed?</w:t>
            </w:r>
          </w:p>
        </w:tc>
        <w:tc>
          <w:tcPr>
            <w:tcW w:type="dxa" w:w="1152"/>
            <w:tcMar>
              <w:top w:w="70" w:type="dxa"/>
              <w:start w:w="70" w:type="dxa"/>
              <w:bottom w:w="70" w:type="dxa"/>
              <w:end w:w="70" w:type="dxa"/>
            </w:tcMar>
            <w:vAlign w:val="top"/>
          </w:tcPr>
          <w:p>
            <w:pPr>
              <w:spacing w:after="20" w:line="252" w:lineRule="auto"/>
            </w:pPr>
            <w:r>
              <w:rPr>
                <w:sz w:val="16"/>
              </w:rPr>
              <w:t>Medium</w:t>
            </w:r>
          </w:p>
        </w:tc>
      </w:tr>
      <w:tr>
        <w:tc>
          <w:tcPr>
            <w:tcW w:type="dxa" w:w="3024"/>
            <w:tcMar>
              <w:top w:w="70" w:type="dxa"/>
              <w:start w:w="70" w:type="dxa"/>
              <w:bottom w:w="70" w:type="dxa"/>
              <w:end w:w="70" w:type="dxa"/>
            </w:tcMar>
            <w:vAlign w:val="top"/>
          </w:tcPr>
          <w:p>
            <w:pPr>
              <w:spacing w:after="20" w:line="252" w:lineRule="auto"/>
            </w:pPr>
            <w:r>
              <w:rPr>
                <w:sz w:val="16"/>
              </w:rPr>
              <w:t>Governance acceptance</w:t>
            </w:r>
          </w:p>
        </w:tc>
        <w:tc>
          <w:tcPr>
            <w:tcW w:type="dxa" w:w="6624"/>
            <w:tcMar>
              <w:top w:w="70" w:type="dxa"/>
              <w:start w:w="70" w:type="dxa"/>
              <w:bottom w:w="70" w:type="dxa"/>
              <w:end w:w="70" w:type="dxa"/>
            </w:tcMar>
            <w:vAlign w:val="top"/>
          </w:tcPr>
          <w:p>
            <w:pPr>
              <w:spacing w:after="20" w:line="252" w:lineRule="auto"/>
            </w:pPr>
            <w:r>
              <w:rPr>
                <w:sz w:val="16"/>
              </w:rPr>
              <w:t>Does the approach comply with corporate standards, privacy, and security review?</w:t>
            </w:r>
          </w:p>
        </w:tc>
        <w:tc>
          <w:tcPr>
            <w:tcW w:type="dxa" w:w="1152"/>
            <w:tcMar>
              <w:top w:w="70" w:type="dxa"/>
              <w:start w:w="70" w:type="dxa"/>
              <w:bottom w:w="70" w:type="dxa"/>
              <w:end w:w="70" w:type="dxa"/>
            </w:tcMar>
            <w:vAlign w:val="top"/>
          </w:tcPr>
          <w:p>
            <w:pPr>
              <w:spacing w:after="20" w:line="252" w:lineRule="auto"/>
            </w:pPr>
            <w:r>
              <w:rPr>
                <w:sz w:val="16"/>
              </w:rPr>
              <w:t>High</w:t>
            </w:r>
          </w:p>
        </w:tc>
      </w:tr>
    </w:tbl>
    <w:p>
      <w:pPr>
        <w:pStyle w:val="Heading1"/>
        <w:spacing w:before="240" w:after="100"/>
      </w:pPr>
      <w:r>
        <w:t>Appendix C - Pre-Launch Checklist</w:t>
      </w:r>
    </w:p>
    <w:p>
      <w:pPr>
        <w:pStyle w:val="ListBullet"/>
        <w:spacing w:after="40"/>
      </w:pPr>
      <w:r>
        <w:rPr>
          <w:sz w:val="18"/>
        </w:rPr>
        <w:t>Approved domains and identity rules configured and tested.</w:t>
      </w:r>
    </w:p>
    <w:p>
      <w:pPr>
        <w:pStyle w:val="ListBullet"/>
        <w:spacing w:after="40"/>
      </w:pPr>
      <w:r>
        <w:rPr>
          <w:sz w:val="18"/>
        </w:rPr>
        <w:t>All tournament matches imported and verified against official schedule.</w:t>
      </w:r>
    </w:p>
    <w:p>
      <w:pPr>
        <w:pStyle w:val="ListBullet"/>
        <w:spacing w:after="40"/>
      </w:pPr>
      <w:r>
        <w:rPr>
          <w:sz w:val="18"/>
        </w:rPr>
        <w:t>First-match tournament lock timestamp approved.</w:t>
      </w:r>
    </w:p>
    <w:p>
      <w:pPr>
        <w:pStyle w:val="ListBullet"/>
        <w:spacing w:after="40"/>
      </w:pPr>
      <w:r>
        <w:rPr>
          <w:sz w:val="18"/>
        </w:rPr>
        <w:t>Knockout scoring basis approved and communicated.</w:t>
      </w:r>
    </w:p>
    <w:p>
      <w:pPr>
        <w:pStyle w:val="ListBullet"/>
        <w:spacing w:after="40"/>
      </w:pPr>
      <w:r>
        <w:rPr>
          <w:sz w:val="18"/>
        </w:rPr>
        <w:t>Penalty shootout rule approved and communicated.</w:t>
      </w:r>
    </w:p>
    <w:p>
      <w:pPr>
        <w:pStyle w:val="ListBullet"/>
        <w:spacing w:after="40"/>
      </w:pPr>
      <w:r>
        <w:rPr>
          <w:sz w:val="18"/>
        </w:rPr>
        <w:t>Top scorer tie policy approved and communicated.</w:t>
      </w:r>
    </w:p>
    <w:p>
      <w:pPr>
        <w:pStyle w:val="ListBullet"/>
        <w:spacing w:after="40"/>
      </w:pPr>
      <w:r>
        <w:rPr>
          <w:sz w:val="18"/>
        </w:rPr>
        <w:t>Best player official source approved.</w:t>
      </w:r>
    </w:p>
    <w:p>
      <w:pPr>
        <w:pStyle w:val="ListBullet"/>
        <w:spacing w:after="40"/>
      </w:pPr>
      <w:r>
        <w:rPr>
          <w:sz w:val="18"/>
        </w:rPr>
        <w:t>External data provider tested under expected rate limits.</w:t>
      </w:r>
    </w:p>
    <w:p>
      <w:pPr>
        <w:pStyle w:val="ListBullet"/>
        <w:spacing w:after="40"/>
      </w:pPr>
      <w:r>
        <w:rPr>
          <w:sz w:val="18"/>
        </w:rPr>
        <w:t>Manual result correction runbook tested.</w:t>
      </w:r>
    </w:p>
    <w:p>
      <w:pPr>
        <w:pStyle w:val="ListBullet"/>
        <w:spacing w:after="40"/>
      </w:pPr>
      <w:r>
        <w:rPr>
          <w:sz w:val="18"/>
        </w:rPr>
        <w:t>Score recalculation tested with sample correction scenario.</w:t>
      </w:r>
    </w:p>
    <w:p>
      <w:pPr>
        <w:pStyle w:val="ListBullet"/>
        <w:spacing w:after="40"/>
      </w:pPr>
      <w:r>
        <w:rPr>
          <w:sz w:val="18"/>
        </w:rPr>
        <w:t>Leaderboard tie-breakers tested.</w:t>
      </w:r>
    </w:p>
    <w:p>
      <w:pPr>
        <w:pStyle w:val="ListBullet"/>
        <w:spacing w:after="40"/>
      </w:pPr>
      <w:r>
        <w:rPr>
          <w:sz w:val="18"/>
        </w:rPr>
        <w:t>Audit log search tested.</w:t>
      </w:r>
    </w:p>
    <w:p>
      <w:pPr>
        <w:pStyle w:val="ListBullet"/>
        <w:spacing w:after="40"/>
      </w:pPr>
      <w:r>
        <w:rPr>
          <w:sz w:val="18"/>
        </w:rPr>
        <w:t>User support process and communication templates prepared.</w:t>
      </w:r>
    </w:p>
    <w:p>
      <w:pPr>
        <w:pStyle w:val="ListBullet"/>
        <w:spacing w:after="40"/>
      </w:pPr>
      <w:r>
        <w:rPr>
          <w:sz w:val="18"/>
        </w:rPr>
        <w:t>Monitoring and alerting enabled for integration and scoring failures.</w:t>
      </w:r>
    </w:p>
    <w:p>
      <w:pPr>
        <w:pStyle w:val="ListBullet"/>
        <w:spacing w:after="40"/>
      </w:pPr>
      <w:r>
        <w:rPr>
          <w:sz w:val="18"/>
        </w:rPr>
        <w:t>Privacy notice reviewed and published if required.</w:t>
      </w:r>
    </w:p>
    <w:p>
      <w:pPr>
        <w:pStyle w:val="ListBullet"/>
        <w:spacing w:after="40"/>
      </w:pPr>
      <w:r>
        <w:rPr>
          <w:sz w:val="18"/>
        </w:rPr>
        <w:t>Pilot test completed with representative users.</w:t>
      </w:r>
    </w:p>
    <w:tbl>
      <w:tblPr>
        <w:tblW w:type="auto" w:w="0"/>
        <w:jc w:val="center"/>
        <w:tblLook w:firstColumn="1" w:firstRow="1" w:lastColumn="0" w:lastRow="0" w:noHBand="0" w:noVBand="1" w:val="04A0"/>
        <w:tblBorders>
          <w:top w:val="single" w:sz="10" w:space="0" w:color="70AD47"/>
          <w:left w:val="single" w:sz="10" w:space="0" w:color="70AD47"/>
          <w:bottom w:val="single" w:sz="10" w:space="0" w:color="70AD47"/>
          <w:right w:val="single" w:sz="10" w:space="0" w:color="70AD47"/>
          <w:insideH w:val="single" w:sz="10" w:space="0" w:color="70AD47"/>
          <w:insideV w:val="single" w:sz="10" w:space="0" w:color="70AD47"/>
        </w:tblBorders>
      </w:tblPr>
      <w:tblGrid>
        <w:gridCol w:w="10368"/>
      </w:tblGrid>
      <w:tr>
        <w:tc>
          <w:tcPr>
            <w:tcW w:type="dxa" w:w="10368"/>
            <w:shd w:fill="E2F0D9"/>
            <w:tcMar>
              <w:top w:w="120" w:type="dxa"/>
              <w:start w:w="120" w:type="dxa"/>
              <w:bottom w:w="120" w:type="dxa"/>
              <w:end w:w="120" w:type="dxa"/>
            </w:tcMar>
          </w:tcPr>
          <w:p>
            <w:pPr>
              <w:spacing w:after="60"/>
            </w:pPr>
            <w:r>
              <w:rPr>
                <w:b/>
                <w:color w:val="1F4E79"/>
                <w:sz w:val="19"/>
              </w:rPr>
              <w:t>Final architectural recommendation</w:t>
            </w:r>
          </w:p>
          <w:p>
            <w:pPr>
              <w:spacing w:after="0"/>
            </w:pPr>
            <w:r>
              <w:rPr>
                <w:sz w:val="17"/>
              </w:rPr>
              <w:t>Approve the business rules and decision items before selecting the implementation technology. Once the rules, data ownership, identity model, and integration strategy are stable, the team can choose the best implementation approach without redesigning the product.</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High-Level Architecture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Nortal World Cup 2026 Prediction Pool | High-Level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2F559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ifa.com/en/tournaments/mens/worldcup/canadamexicousa2026/articles/match-schedule-fixtures-results-teams-stadiums" TargetMode="External"/><Relationship Id="rId12" Type="http://schemas.openxmlformats.org/officeDocument/2006/relationships/hyperlink" Target="https://www.football-data.org/documentation/quickstart" TargetMode="External"/><Relationship Id="rId13" Type="http://schemas.openxmlformats.org/officeDocument/2006/relationships/hyperlink" Target="https://www.football-data.org/documentation/api" TargetMode="External"/><Relationship Id="rId14" Type="http://schemas.openxmlformats.org/officeDocument/2006/relationships/hyperlink" Target="https://docs.football-data.org/general/v4/competition.html" TargetMode="External"/><Relationship Id="rId15" Type="http://schemas.openxmlformats.org/officeDocument/2006/relationships/hyperlink" Target="https://docs.football-data.org/general/v4/match.html" TargetMode="External"/><Relationship Id="rId16" Type="http://schemas.openxmlformats.org/officeDocument/2006/relationships/hyperlink" Target="https://www.football-data.org/pricing" TargetMode="External"/><Relationship Id="rId17" Type="http://schemas.openxmlformats.org/officeDocument/2006/relationships/hyperlink" Target="https://www.football-data.org/cove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