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 w:before="0" w:line="360" w:lineRule="auto"/>
        <w:jc w:val="center"/>
      </w:pPr>
      <w:r>
        <w:rPr>
          <w:rFonts w:ascii="黑体" w:hAnsi="黑体" w:eastAsia="黑体"/>
          <w:b/>
          <w:sz w:val="36"/>
        </w:rPr>
        <w:t>抗量子数字证书验证工具</w:t>
      </w:r>
    </w:p>
    <w:p>
      <w:pPr>
        <w:spacing w:after="480" w:before="0" w:line="360" w:lineRule="auto"/>
        <w:jc w:val="center"/>
      </w:pPr>
      <w:r>
        <w:rPr>
          <w:rFonts w:ascii="黑体" w:hAnsi="黑体" w:eastAsia="黑体"/>
          <w:b/>
          <w:sz w:val="44"/>
        </w:rPr>
        <w:t>概要设计说明书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版本号：V1.0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文档状态：初稿</w:t>
      </w:r>
    </w:p>
    <w:p>
      <w:pPr>
        <w:spacing w:after="720" w:before="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编制日期：2026年07月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签名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目  录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rFonts w:ascii="Times New Roman" w:hAnsi="Times New Roman" w:eastAsia="宋体"/>
          <w:b w:val="0"/>
          <w:sz w:val="21"/>
        </w:rPr>
        <w:t>（请在 Word 中右键目录 → 更新域）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1 简介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本文档为抗量子数字证书验证工具的概要设计说明书，用于说明面向抗量子迁移的 PKI 证书协议设计要点与实现侧总体方案，作为后续详细设计、编码实现、测试与验收的依据。本文档不描述具体编码步骤与构建命令。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预期读者为项目管理人员、系统设计与开发人员、测试人员及密码工程相关评审人员。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1.2 背景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待开发软件系统名称：抗量子数字证书验证工具。该系统面向抗量子密码（PQC）向现有国密 PKI 体系的平滑迁移，在 Windows 本地提供证书查看、证书链验证及证书请求（CSR）生成与自签验签能力，支撑纯 PQC、混合串联、混合扩展三类证书方案的互通试验与工程验证。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系统交付形态规划为：密码学引擎与命令行能力（基于 Tongsuo + OpenSSL 3 Provider），以及桌面图形界面绿色包（封装同一套验证能力）。本阶段不以完整 CA、CRL/OCSP 在线服务、TLS/NTLS 握手为主目标。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1.3 术语和缩写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术语/缩写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Post-Quantum Cryptography，抗量子密码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抗量子数字签名算法（本设计以 ML-DSA-44 为基准档）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抗量子密钥封装算法（本设计以 ML-KEM-512 为基准档）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SM2 / SM3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国密椭圆曲线公钥算法 / 国密杂凑算法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SubjectPublicKeyInfo，X.509 主体公钥信息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To-Be-Signed，证书或证书请求中的待签名数据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Certificate Signing Request，证书签名请求（PKCS#10）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OID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 Identifier，对象标识符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Provider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OpenSSL 3 动态算法模块，用于扩展算法与验签能力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Tongsuo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铜锁，兼容 OpenSSL 的国密增强密码库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证书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主体公钥与签名均采用抗量子算法的证书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混合串联证书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SPKI/签名值中拼接 SM2 与 PQC 材料的复合证书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混合扩展证书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主体仍为 SM2，PQC 材料置于自定义扩展项的证书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1.4 参考资料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[1] 密码行业标准化技术委员会 OID 体系（1.2.156.10197）及相关国密 X.509/PKI 规范。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[2] NIST FIPS 203（ML-KEM）、FIPS 204（ML-DSA）及 IETF PQC/Composite 相关讨论。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[3] 《面向抗量子密码迁移的PKI证书格式设计与验证》。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[4] 《PQC OID定义及证书结构》。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[5] Tongsuo / OpenSSL 3 Provider 接口说明；工程配置约定（openssl-all-providers.cnf）。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2 协议设计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本章给出抗量子迁移场景下的证书协议与格式设计，包括设计目标、OID 约定、三类证书结构与验证流程、CSR 协议约定，作为验证工具功能范围与验收口径的依据。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2.1 设计目标与原则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（1）结构兼容：在标准 X.509 v3 外壳下扩展算法 OID、公钥与签名语义，降低解析器改造成本。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（2）分阶段迁移：同时定义纯 PQC、混合串联、混合扩展三类方案，覆盖终态与过渡态。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（3）国密摘要绑定：抗量子签名与 SM3 组合（如 ML-DSA-*-with-SM3）。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（4）混合双重要求：混合方案中传统算法与 PQC 算法均需验签通过，任一失败则判定失败。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（5）可验证可互通：OID、长度、拼接规则与验证步骤可被工具与样例证书一致实现。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2.2 OID标识定义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在商用密码 OID 体系上扩展抗量子算法标识。与本项目直接相关的 OID 如表 2-1 所示。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2-1 OID 标识定义（本项目相关摘录）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对象标识符 OID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对象标识符定义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SM2 椭圆曲线公钥密码算法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传统国密 SPKI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1.2.156.10197.1.303.1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 密钥封装算法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抗量子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 数字签名算法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抗量子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1.2.156.10197.1.401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SM3 密码杂凑算法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 SM2 与 SM3 的签名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混合扩展外层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1.2.156.10197.1.505.1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ML-DSA-44-with-SM3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签名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1.2.156.10197.1.506.1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ML-DSA-44-SM2-with-SM3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复合双签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1.2.156.10197.1.507.1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ML-KEM-512-SM2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复合加密公钥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1.2.156.10197.1.508.1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ML-DSA-44-SM2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复合签名公钥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1.2.156.10260.4.1.6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公钥扩展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1.2.156.10260.4.1.7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签名算法扩展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1.2.156.10260.4.1.8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签名值扩展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</w:t>
            </w:r>
          </w:p>
        </w:tc>
      </w:tr>
    </w:tbl>
    <w:p/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基准实现档位为 ML-DSA-44、ML-KEM-512；更高强度档位 OID 预留。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2.3 PKI拓扑与关键长度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验证场景采用三级链：根 CA（root）→ 中间 CA（yunying）→ 用户签名证/加密证（user_sig / user_enc）。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2-2 PKI 拓扑与证书角色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典型对象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 CA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信任锚，签发中间 CA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中间 CA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yunying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签发用户证书；验链时作为中间证书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用户签名证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user_sig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签名类主体公钥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用户加密证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user_enc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封装/加密类主体公钥</w:t>
            </w:r>
          </w:p>
        </w:tc>
      </w:tr>
    </w:tbl>
    <w:p/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2-3 关键长度约定（基准档）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材料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算法/形态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长度（字节）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私钥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2560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2420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SM2 裸公钥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 ‖ SM2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1377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复合加密公钥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 ‖ SM2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865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‖ SM2-DER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2420 + SM2 DER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2.4 方案一：纯净PQC证书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2.4.1 结构说明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不改变 X.509 ASN.1 外壳，仅将算法 OID、主体公钥与签名替换为抗量子算法。签名证主体公钥 OID：1.2.156.10197.1.304.1；加密证主体公钥 OID：1.2.156.10197.1.303.1；签名算法 OID：1.2.156.10197.1.505.1。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2.4.2 证书模板与示例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2-4 标准 X.509 格式数字证书模板（纯净 PQC）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版本号（V3）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serialNumber / issuer / validity / subject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与传统 X.509 一致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subjectPublicKeyInfo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算法 OID + PQC 公钥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extensions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扩展项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signatureAlgorithm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signatureAlgorithm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ML-DSA-44-with-SM3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signatureValue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signatureValue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签名值（2420 字节）</w:t>
            </w:r>
          </w:p>
        </w:tc>
      </w:tr>
    </w:tbl>
    <w:p/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2-5 纯净 PQC 签名与加密证书示例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签名证书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加密证书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1.2.156.10197.1.505.1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1.2.156.10197.1.505.1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1.2.156.10197.1.303.1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 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 公钥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2.4.3 验证流程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验证步骤：格式校验 → 有效期/主体公钥/KeyUsage（可并行）→ 证书链验证 → PQC 签名验证 → 撤销检查（协议预留）。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657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57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2-1 纯净 PQC 证书验证流程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2.5 方案二：混合串联证书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2.5.1 结构说明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SPKI 为组合公钥，签名值为 PQC‖SM2 双签。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签名公钥 OID：1.2.156.10197.1.508.1；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加密公钥 OID：1.2.156.10197.1.507.1；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签名算法 OID：1.2.156.10197.1.506.1。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签发/申请侧采用双私钥模型（ML-DSA + SM2），双签均覆盖完整 TBS/CRI。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2.5.2 证书示例要点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2-6 混合串联证书示例要点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签名证书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加密证书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1.2.156.10197.1.506.1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1.2.156.10197.1.506.1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1.2.156.10197.1.508.1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1.2.156.10197.1.507.1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 ‖ SM2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 ‖ SM2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‖ SM2 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‖ SM2 双签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2.5.3 验证流程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基础检查与证书链验证后，分别验证 SM2 与 PQC 签名，两路均成功才通过。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657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57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2-2 混合串联证书验证流程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2.6 方案三：混合扩展证书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2.6.1 结构说明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主体公钥与外层主签名仍为 SM2；PQC 公钥、签名算法与签名值分别放入扩展 1.2.156.10260.4.1.6 / 4.1.7 / 4.1.8。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2.6.2 证书示例要点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2-7 混合扩展证书示例要点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签名证书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加密证书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外层签名算法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1.2.156.10197.1.301（SM2）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1.2.156.10197.1.301（SM2）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 4.1.6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内嵌 ML-DSA-44 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内嵌 ML-KEM-512 公钥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 4.1.7 / 4.1.8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签名算法 / 签名值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签名算法 / 签名值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2.6.3 验证流程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外层 SM2 验证完整 TBS；内层按“保留 PQC 公钥扩展、去除签名算法/签名值扩展”的约定验证 PQC 签名。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5647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64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2-3 混合扩展证书验证流程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2.7 三类方案对比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2-8 三类证书方案对比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纯 PQC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混合串联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混合扩展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 PQC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PQC‖SM2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 SM2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外层签名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 PQC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PQC‖SM2 双签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 SM2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材料位置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主字段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主字段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扩展项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现网兼容性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迁移定位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终态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过渡增强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平滑过渡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2.8 CSR协议约定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证书请求遵循 PKCS#10，摘要绑定 SM3。工具需支持现场生成、查看与自签验签，覆盖纯 PQC CSR 与复合 CSR。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2.8.1 设计目标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（1）统一密码运行时下，工作流与常规 CSR 一致。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（2）OID/长度/签名规则与前述证书方案对齐。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（3）复合方案采用双私钥模型，避免强制单一复合 PKCS#8。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（4）自签验签与证书验链共用同一套验签语义。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2.8.2 两类CSR对照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2-9 两类 CSR 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纯 PQC CSR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复合 CSR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算法标识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id-ML-DSA-44-SPKI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ML-DSA-44-SM2（主密钥+附加SM2）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 OID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1.2.156.10197.1.508.1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 OID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1.2.156.10197.1.505.1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1.2.156.10197.1.506.1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密钥材料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1× ML-DSA PKCS#8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+ SM2 各一 PKCS#8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公钥长度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1312 字节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1377 字节（1312‖65）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2420 字节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2420 ‖ SM2 DER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单路 PQC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双重验签（均需通过）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2.8.3 纯PQC CSR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处理流程：生成/选用 ML-DSA 私钥 → 填写 Subject 并写入 SPKI → 对完整 CRI 做 ML-DSA-with-SM3 签名 → 自签验签。私钥可采用 PKCS#8，并可附带公钥属性 OID 1.2.156.10197.1.304.1.1（携带 1312 字节裸公钥）。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2-10 纯 PQC CSR 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算法名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id-ML-DSA-44-SPKI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 / 签名 OID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304.1 / 505.1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PKCS#8 公钥属性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1.2.156.10197.1.304.1.1（附带 1312B 公钥）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长度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 1312 / sk 2560 / sig 2420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2.8.4 复合CSR（双钥模型）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选型采用“双钥 + 附加 SM2 密钥”：分别生成标准 ML-DSA/SM2 私钥；申请时主密钥为 ML-DSA，附加 SM2 密钥，由运行时合成 508.1 复合 SPKI 与 506.1 双签。接口标识为 -sm2key 或等价 API。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2-11 复合 CSR 方案选型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单一 composite 私钥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算法模块内实现复合密钥类型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不采用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双钥 + 附加 SM2 密钥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标准双私钥，运行时合成 SPKI/双签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采用</w:t>
            </w:r>
          </w:p>
        </w:tc>
      </w:tr>
    </w:tbl>
    <w:p/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验签：识别 506.1 后拆分签名值；[1/2] 验证 ML-DSA 段；[2/2] 验证 SM2 段；两路均成功才通过。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2-12 CSR 验证步骤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纯 PQC CSR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复合 CSR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格式与 OID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304.1 / 505.1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508.1 / 506.1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公钥长度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1377 可拆分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单路 ML-DSA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双路 ML-DSA + SM2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通过条件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验签成功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两路均成功</w:t>
            </w:r>
          </w:p>
        </w:tc>
      </w:tr>
    </w:tbl>
    <w:p/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本版本 CSR 主路径覆盖方案一、方案二；混合扩展类 CSR 可后续增补。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3 开发实现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本章给出实现侧总体架构、模块划分、可配置与可测试性设计、前期工作计划及尚未解决问题。模块细节、接口与数据结构分别在第 4～6 章说明。本章作为详细设计与开发排期输入，不展开具体编码过程。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3.1 系统说明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系统定位：Windows 本地抗量子/混合证书验证工具。主要输入：PEM/DER 证书、可选中间证、信任锚、CSR 主体信息与算法选择。主要输出：证书解析文本、验链结果（含双重验签结论）、CSR/密钥文件。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规划功能：证书查看；证书链验证（含双重验签，支持可选中间证书；仅信任中间 CA 时可按部分链验证）；CSR 生成与自验签。证书文件格式支持 .crt / .cer / .pem。界面示意见图 4-1～图 4-5（截图待补）。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非功能：本地离线；绿色包分发；单次交互秒级响应。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3.2 运行环境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3-1 运行环境要求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规定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Windows 10/11，64 位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x64 PC，建议内存 ≥ 4GB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用户运行环境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绿色包运行，无需安装开发工具链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密码学引擎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Tongsuo（OpenSSL 3 系）+ Provider 扩展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算法库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PQMagic（或同等实现）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图形界面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桌面容器封装 CLI 能力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3.3 基本设计概念以及处理流程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设计思想：密码学能力下沉到统一引擎（Tongsuo + Provider），图形界面负责选文件、组参数与展示结果，保证界面与命令行语义一致。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逻辑分层：表现层（GUI）→ 验证执行层 → Provider 算法层 → 核心密码库。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证书验证流程：选择信任锚/中间证/叶子证 → 加载 Provider 配置 → 验链 → 按类型走纯 PQC 或双重验签 → 输出。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CSR 流程：选择算法 → 生成密钥 → 构造 PKCS#10 并签名 → 自验签 → 输出。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 3-1 系统总体架构（待补）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说明：请在此处粘贴系统总体架构图（表现层 / 验证执行层 / Provider 算法层 / 核心密码库）。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3.4 总体结构及模块划分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按职责划分为界面、密码运行时、PQC Provider、复合 SPKI、混合验签、配置与样例等模块。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3.5 模块划分列表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3-2 模块划分列表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模块编号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模块来源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图形界面与交互模块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密码运行时与命令接口模块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Tongsuo 定制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算法 Provider 模块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 + PQMagic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 SPKI Provider 模块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混合/复合验签 Provider 模块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配置、布局与样例资产模块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3.6 可配置设计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通过 openssl-all-providers.cnf 与环境变量控制 Provider 加载。主路径 Provider 为 default、pqmagic、ml_dsa_sm2、cert_verify；配置中还可加载 aigis_enc（本工具验链/CSR 主路径非必须）。示意配置如下：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openssl_conf = openssl_init</w:t>
      </w:r>
    </w:p>
    <w:p>
      <w:pPr>
        <w:spacing w:after="40"/>
        <w:ind w:firstLine="0"/>
      </w:pPr>
      <w:r>
        <w:rPr>
          <w:rFonts w:ascii="Consolas" w:hAnsi="Consolas" w:eastAsia="Consolas"/>
          <w:b w:val="0"/>
          <w:sz w:val="20"/>
        </w:rPr>
        <w:t>[provider_sect]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default = default_sect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pqmagic = pqmagic_sect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ml_dsa_sm2 = ml_dsa_sm2_sect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cert_verify = cert_verify_sect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aigis_enc = aigis_enc_sect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3-3 主要配置项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配置项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OPENSSL_CONF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指向 providers 配置文件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OPENSSL_MODULES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Provider 模块搜索路径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CERT_VERIFY_VERIFY_INFO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双重验签详细日志开关</w:t>
            </w:r>
          </w:p>
        </w:tc>
      </w:tr>
    </w:tbl>
    <w:p/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发行包路径应可相对化或启动时重写，避免写死开发机绝对路径；图形界面启动时可按部署目录生成/刷新本机可用的 providers 配置。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3.7 可测试性、维护/升级设计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（1）三类样例证书链作为回归基线。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（2）验签诊断开关便于定位，不影响正常模式。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（3）引擎产物与界面资源分离，升级以同步布局方式替换。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（4）Provider 可独立替换，便于算法档位扩展。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3.8 前期工作计划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3-4 前期工作计划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主要交付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A 协议固化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冻结 OID/结构/验签语义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协议章节、样例规格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B 引擎能力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查看与验链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Tongsuo + pqmagic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C 混合能力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复合与混合扩展双重验签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复合/验签 Provider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D CSR 能力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/ 复合 CSR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请求约定与演示用例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E 界面封装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绿色包查看/验链/CSR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桌面程序与资源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F 回归验收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三类证书关键路径验收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验收记录与限制清单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3.9 尚未解决的问题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（1）CRL/OCSP 撤销检查纳入时机。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（2）更高强度算法档位互通与性能评估。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（3）自定义扩展 OID 标准化推进。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（4）桌面容器安全加固排期。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（5）TLS/NTLS 是否纳入后续版本，需立项确认。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4 模块说明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4.1 PD-001 图形界面与交互模块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输入：证书路径、可选中间证、信任锚、CSR 参数；输出：解析/验链/CSR 结果。不实现密码算法。界面含「证书验证」「CSR 生成与验证」两个功能页；右上角提供运行时就绪指示。内置样例目录对应三类方案：Pure PQC Certificate、Hybrid Concatenated Certificate、Hybrid Using Extensions Certificate。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处理流程：运行时自检 → 选择文件/参数 → 调用验证执行层 → 展示结果。验链支持信任锚 + 可选中间证 + 待验证证；若仅选择中间 CA 作为信任锚且不提供上级链，可按部分链（partial chain）方式验证。复合 CSR 选择对应算法后由界面自动关联双密钥文件，无需用户上传第二把私钥。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4-1 证书验证主界面（截图待补）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4-2 证书查看结果示例（截图待补）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4-3 证书链验证成功示例（截图待补）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4-4 CSR 生成与验证界面（截图待补）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4-5 CSR 生成或验签结果示例（截图待补）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4-1 PD-001 子模块划分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PD-001-001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证书查看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PD-001-002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证书链验证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PD-001-003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 生成与自验签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PD-001-004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运行时与样例入口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4.2 PD-002 密码运行时与命令接口模块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提供统一命令/API 契约（查看、验链、密钥生成、CSR），并承载复合请求附加 SM2 密钥扩展点。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4-2 PD-002 子模块划分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PD-002-001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核心密码库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PD-002-002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应用命令接口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PD-002-003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混合签发扩展点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4.3 PD-003 PQC算法Provider模块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提供 ML-DSA/ML-KEM 密钥生成、编解码与签名能力。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4-3 PD-003 子模块划分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PD-003-001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密钥生成与编解码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PD-003-002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4.4 PD-004 复合SPKI Provider模块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识别与编解码复合公钥 OID（508.1 / 507.1）。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4-4 PD-004 子模块划分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PD-004-001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复合签名公钥编解码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PD-004-002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复合加密公钥编解码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4.5 PD-005 混合复合验签Provider模块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实现混合串联与混合扩展双重验签，保证协议双重要求不被旁路。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4-5 PD-005 子模块划分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PD-005-001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复合双重验签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PD-005-002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扩展双重验签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PD-005-003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验签诊断输出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4.6 PD-006 配置布局与样例资产模块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管理 Provider 配置、运行时布局及三类样例证书资产。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4-6 PD-006 子模块划分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PD-006-001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配置管理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PD-006-002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运行时布局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PD-006-003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样例证书资产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5 接口说明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5.1 用户接口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图形界面提供证书查看、验链、CSR 生成与 CSR 查看/验签；命令输出只读展示。人机交互与命令行共用同一套 openssl 契约，如表 5-1 所示。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5-1 用户命令接口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接口形态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x509 -text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证书查看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verify -CAfile [-untrusted]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证书链验证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genpkey（PQC/SM2）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密钥生成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 -new [-sm2key]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 生成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 -verify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 自验签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list -providers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Provider 自检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5.2 外部接口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（1）进程/动态库加载：启动引擎、加载 Provider。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（2）文件系统：读写证书、密钥、CSR、配置。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（3）本版本不规划网络外部接口。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5.3 内部接口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GUI → 验证执行层：参数 + 环境变量；运行时 → Provider：按算法名/OID 分发；验签模块 → 证书对象：读取 SPKI/扩展/签名值。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5-2 CSR 能力与模块映射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能力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主要模块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算法选择/一键生成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界面串联生成、查看、自验签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密钥生成/请求构造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统一契约；复合附加 SM2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密钥与签名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及复合 PQC 部分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 SPKI 识别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508.1 解析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复合双重验签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与证书验签语义一致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配置与样例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cnf 与样例资产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6 数据结构设计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6.1 逻辑结构设计要点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6-1 关键数据结构（逻辑）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组成要点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版本/序列号/算法/颁发者/有效期/主体/SPKI/扩展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证书待签体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 OID + 公钥比特串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纯/复合/SM2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CompositePublicKey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公钥 ‖ SM2 公钥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508.1 / 507.1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CompositeSignature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 ‖ SM2 签名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506.1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Extensions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4.1.6 / 4.1.7 / 4.1.8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CSR-CRI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版本/主体/SPKI/属性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请求待签体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6.2 物理结构设计要点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证书/CSR/密钥默认 PEM（亦兼容 DER）；支持扩展名 .crt / .cer / .pem / .csr 等；无业务数据库；私钥仅本地保存，演示密钥不得用于生产。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6.3 数据结构与模块的关系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6-2 数据结构与模块关系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数据结构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相关模块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 TBS / PEM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PD-001、PD-002、PD-005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SPKI（纯/复合）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PD-002、PD-003、PD-004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 / PQC 扩展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PD-002、PD-005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PKCS#8 / CSR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PD-001、PD-002、PD-003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cnf / 环境变量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PD-001、PD-006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7 系统出错处理设计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7.1 出错信息</w:t>
      </w:r>
    </w:p>
    <w:p>
      <w:pPr>
        <w:spacing w:before="60" w:after="20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7-1 出错信息一览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出错现象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出错信息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运行时或 Provider 未就绪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提示环境不完整，拒绝执行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证书无法解析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输出解析错误详情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验链失败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输出失败原因；可含单路验签失败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公钥长度/OID 不符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提示不符合协议约定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 参数不完整或算法未加载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提示缺少密钥或 Provider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配置路径无效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提示检查 OPENSSL_CONF / module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7.2 出错处理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（1）失败可恢复：允许更正输入后重试；不改写用户原始证书。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（2）错误透传：保留引擎原始错误文本。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（3）运行时降级：自检失败时禁用关键操作。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（4）单机工具，不设计热备；异常退出后重新启动即可。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8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变更时间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变更人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审批人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变更说明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t>1</w:t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t>2026-07-21</w:t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t>V1.0</w:t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t>内容审阅修订：表号按章重排；补充界面/配置说明；预留工具截图题注</w:t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2026-07-21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（待填）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（待填）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版式与目录对齐 PQ-SecTunnel 概要设计说明书（模块/接口/数据结构独立成章）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