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40C9" w14:textId="77777777" w:rsidR="00B71D6E" w:rsidRPr="00B71D6E" w:rsidRDefault="00B71D6E" w:rsidP="00B71D6E">
      <w:pPr>
        <w:rPr>
          <w:b/>
          <w:bCs/>
        </w:rPr>
      </w:pPr>
      <w:r w:rsidRPr="00B71D6E">
        <w:rPr>
          <w:b/>
          <w:bCs/>
        </w:rPr>
        <w:t>The-Efficient-Frontier-of-Compute</w:t>
      </w:r>
    </w:p>
    <w:p w14:paraId="61382633" w14:textId="77777777" w:rsidR="00B71D6E" w:rsidRPr="00B71D6E" w:rsidRDefault="00B71D6E" w:rsidP="00B71D6E">
      <w:r w:rsidRPr="00B71D6E">
        <w:t>The frontier of artificial intelligence lies with efficiency.</w:t>
      </w:r>
    </w:p>
    <w:p w14:paraId="421E61CC" w14:textId="0ADF335E" w:rsidR="00B71D6E" w:rsidRPr="00B71D6E" w:rsidRDefault="00B71D6E" w:rsidP="00B71D6E">
      <w:r w:rsidRPr="00B71D6E">
        <mc:AlternateContent>
          <mc:Choice Requires="wps">
            <w:drawing>
              <wp:inline distT="0" distB="0" distL="0" distR="0" wp14:anchorId="6B1CE3B6" wp14:editId="3ECE494F">
                <wp:extent cx="304800" cy="304800"/>
                <wp:effectExtent l="0" t="0" r="0" b="0"/>
                <wp:docPr id="1784755859" name="Rectangle 4" descr="Taxonomy of Compu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47E08" id="Rectangle 4" o:spid="_x0000_s1026" alt="Taxonomy of Comput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71D6E">
        <mc:AlternateContent>
          <mc:Choice Requires="wps">
            <w:drawing>
              <wp:inline distT="0" distB="0" distL="0" distR="0" wp14:anchorId="4E58ACE9" wp14:editId="05646D48">
                <wp:extent cx="304800" cy="304800"/>
                <wp:effectExtent l="0" t="0" r="0" b="0"/>
                <wp:docPr id="1333686645" name="Rectangle 3" descr="Efficient Frontier of Compu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DD9FA0" id="Rectangle 3" o:spid="_x0000_s1026" alt="Efficient Frontier of Comput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9A9ED6" w14:textId="77777777" w:rsidR="00B71D6E" w:rsidRPr="00B71D6E" w:rsidRDefault="00B71D6E" w:rsidP="00B71D6E">
      <w:hyperlink r:id="rId5" w:history="1">
        <w:r w:rsidRPr="00B71D6E">
          <w:rPr>
            <w:rStyle w:val="Hyperlink"/>
          </w:rPr>
          <w:t>Observable link</w:t>
        </w:r>
      </w:hyperlink>
    </w:p>
    <w:p w14:paraId="20CC3569" w14:textId="77777777" w:rsidR="00B71D6E" w:rsidRPr="00B71D6E" w:rsidRDefault="00B71D6E" w:rsidP="00B71D6E">
      <w:pPr>
        <w:rPr>
          <w:b/>
          <w:bCs/>
        </w:rPr>
      </w:pPr>
      <w:r w:rsidRPr="00B71D6E">
        <w:rPr>
          <w:b/>
          <w:bCs/>
        </w:rPr>
        <w:t>Overview</w:t>
      </w:r>
    </w:p>
    <w:p w14:paraId="5529C36D" w14:textId="77777777" w:rsidR="00B71D6E" w:rsidRPr="00B71D6E" w:rsidRDefault="00B71D6E" w:rsidP="00B71D6E">
      <w:r w:rsidRPr="00B71D6E">
        <w:t xml:space="preserve">Two interactive visualizations accompanying </w:t>
      </w:r>
      <w:hyperlink r:id="rId6" w:history="1">
        <w:r w:rsidRPr="00B71D6E">
          <w:rPr>
            <w:rStyle w:val="Hyperlink"/>
          </w:rPr>
          <w:t>The Efficient Frontier of Compute</w:t>
        </w:r>
      </w:hyperlink>
      <w:r w:rsidRPr="00B71D6E">
        <w:t xml:space="preserve"> published by North Branch Media. The piece argues that closing the energy efficiency gap between biological and artificial intelligence is the most valuable opportunity in the </w:t>
      </w:r>
      <w:proofErr w:type="gramStart"/>
      <w:r w:rsidRPr="00B71D6E">
        <w:t>field, and</w:t>
      </w:r>
      <w:proofErr w:type="gramEnd"/>
      <w:r w:rsidRPr="00B71D6E">
        <w:t xml:space="preserve"> maps every category of computation humanity has built across both its physical substrates and algorithmic paradigms.</w:t>
      </w:r>
    </w:p>
    <w:p w14:paraId="3E3B14F9" w14:textId="77777777" w:rsidR="00B71D6E" w:rsidRPr="00B71D6E" w:rsidRDefault="00B71D6E" w:rsidP="00B71D6E">
      <w:pPr>
        <w:rPr>
          <w:b/>
          <w:bCs/>
        </w:rPr>
      </w:pPr>
      <w:r w:rsidRPr="00B71D6E">
        <w:rPr>
          <w:b/>
          <w:bCs/>
        </w:rPr>
        <w:t>Taxonomy of Compute</w:t>
      </w:r>
    </w:p>
    <w:p w14:paraId="7BA06F44" w14:textId="77777777" w:rsidR="00B71D6E" w:rsidRPr="00B71D6E" w:rsidRDefault="00B71D6E" w:rsidP="00B71D6E">
      <w:r w:rsidRPr="00B71D6E">
        <w:t xml:space="preserve">Matrix </w:t>
      </w:r>
      <w:proofErr w:type="gramStart"/>
      <w:r w:rsidRPr="00B71D6E">
        <w:t>categorizing</w:t>
      </w:r>
      <w:proofErr w:type="gramEnd"/>
      <w:r w:rsidRPr="00B71D6E">
        <w:t xml:space="preserve"> every computational paradigm across two axes: hardware substrate (Organic, Charge, Kinetic, Wave, Superconductor, Atomic) and software paradigm (Fixed, Universal, Learned Weights, Probabilistic, Superposition). Each cell captures canonical implementations and first-demonstration dates. Color-coded by maturity (Commercial, Researching, Theoretical). A "Not Computation" appendix flags information storage, reservoir-style physics, and pre-biotic/cosmic processes as adjacent-but-distinct phenomena. Built with D3.js.</w:t>
      </w:r>
    </w:p>
    <w:p w14:paraId="54D98999" w14:textId="77777777" w:rsidR="00B71D6E" w:rsidRPr="00B71D6E" w:rsidRDefault="00B71D6E" w:rsidP="00B71D6E">
      <w:pPr>
        <w:rPr>
          <w:b/>
          <w:bCs/>
        </w:rPr>
      </w:pPr>
      <w:r w:rsidRPr="00B71D6E">
        <w:rPr>
          <w:b/>
          <w:bCs/>
        </w:rPr>
        <w:t>Efficient Frontier of Compute</w:t>
      </w:r>
    </w:p>
    <w:p w14:paraId="3880A333" w14:textId="77777777" w:rsidR="00B71D6E" w:rsidRPr="00B71D6E" w:rsidRDefault="00B71D6E" w:rsidP="00B71D6E">
      <w:r w:rsidRPr="00B71D6E">
        <w:t>Interactive scatter plot estimating the energy (joules per bit) and time (seconds per bit) required to resolve one bit of uncertainty across forty-plus substrates from the taxonomy. Both axes are logarithmic, spanning roughly twenty orders of magnitude. The dashed amber line marks the Landauer limit (</w:t>
      </w:r>
      <w:proofErr w:type="spellStart"/>
      <w:r w:rsidRPr="00B71D6E">
        <w:t>kT·</w:t>
      </w:r>
      <w:proofErr w:type="gramStart"/>
      <w:r w:rsidRPr="00B71D6E">
        <w:t>ln</w:t>
      </w:r>
      <w:proofErr w:type="spellEnd"/>
      <w:r w:rsidRPr="00B71D6E">
        <w:t>(</w:t>
      </w:r>
      <w:proofErr w:type="gramEnd"/>
      <w:r w:rsidRPr="00B71D6E">
        <w:t xml:space="preserve">2) at 300K) — the thermodynamic floor for irreversible computation. The dotted staircase traces the efficient frontier: the set of substrates where no other system resolves a bit in both less time and less energy. Quantum gates sit below the Landauer line because unitary operations are reversible by construction, with the irreversible cost paid only </w:t>
      </w:r>
      <w:proofErr w:type="gramStart"/>
      <w:r w:rsidRPr="00B71D6E">
        <w:t>at</w:t>
      </w:r>
      <w:proofErr w:type="gramEnd"/>
      <w:r w:rsidRPr="00B71D6E">
        <w:t xml:space="preserve"> measurement. Built with D3.js.</w:t>
      </w:r>
    </w:p>
    <w:p w14:paraId="3A01B598" w14:textId="77777777" w:rsidR="00B71D6E" w:rsidRPr="00B71D6E" w:rsidRDefault="00B71D6E" w:rsidP="00B71D6E">
      <w:pPr>
        <w:rPr>
          <w:b/>
          <w:bCs/>
        </w:rPr>
      </w:pPr>
      <w:r w:rsidRPr="00B71D6E">
        <w:rPr>
          <w:b/>
          <w:bCs/>
        </w:rPr>
        <w:t>Data</w:t>
      </w:r>
    </w:p>
    <w:p w14:paraId="6EA0486E" w14:textId="77777777" w:rsidR="00B71D6E" w:rsidRPr="00B71D6E" w:rsidRDefault="00B71D6E" w:rsidP="00B71D6E">
      <w:r w:rsidRPr="00B71D6E">
        <w:t>Primary sources for energy, timing, and first-demonstration estimates:</w:t>
      </w:r>
    </w:p>
    <w:p w14:paraId="1607975A" w14:textId="77777777" w:rsidR="00B71D6E" w:rsidRPr="00B71D6E" w:rsidRDefault="00B71D6E" w:rsidP="00B71D6E">
      <w:r w:rsidRPr="00B71D6E">
        <w:rPr>
          <w:b/>
          <w:bCs/>
        </w:rPr>
        <w:t>Hardware</w:t>
      </w:r>
    </w:p>
    <w:p w14:paraId="3C46270C" w14:textId="77777777" w:rsidR="00B71D6E" w:rsidRPr="00B71D6E" w:rsidRDefault="00B71D6E" w:rsidP="00B71D6E">
      <w:pPr>
        <w:numPr>
          <w:ilvl w:val="0"/>
          <w:numId w:val="1"/>
        </w:numPr>
      </w:pPr>
      <w:hyperlink r:id="rId7" w:history="1">
        <w:r w:rsidRPr="00B71D6E">
          <w:rPr>
            <w:rStyle w:val="Hyperlink"/>
          </w:rPr>
          <w:t>Jouppi et al. (2017)</w:t>
        </w:r>
      </w:hyperlink>
      <w:r w:rsidRPr="00B71D6E">
        <w:t xml:space="preserve"> — In-Datacenter Performance Analysis of a Tensor Processing Unit, </w:t>
      </w:r>
      <w:r w:rsidRPr="00B71D6E">
        <w:rPr>
          <w:i/>
          <w:iCs/>
        </w:rPr>
        <w:t>ISCA</w:t>
      </w:r>
    </w:p>
    <w:p w14:paraId="6A54B88B" w14:textId="77777777" w:rsidR="00B71D6E" w:rsidRPr="00B71D6E" w:rsidRDefault="00B71D6E" w:rsidP="00B71D6E">
      <w:pPr>
        <w:numPr>
          <w:ilvl w:val="0"/>
          <w:numId w:val="1"/>
        </w:numPr>
      </w:pPr>
      <w:hyperlink r:id="rId8" w:history="1">
        <w:r w:rsidRPr="00B71D6E">
          <w:rPr>
            <w:rStyle w:val="Hyperlink"/>
          </w:rPr>
          <w:t>Merolla et al. (2014)</w:t>
        </w:r>
      </w:hyperlink>
      <w:r w:rsidRPr="00B71D6E">
        <w:t xml:space="preserve"> — A million spiking-neuron integrated circuit with a scalable communication network, </w:t>
      </w:r>
      <w:r w:rsidRPr="00B71D6E">
        <w:rPr>
          <w:i/>
          <w:iCs/>
        </w:rPr>
        <w:t>Science</w:t>
      </w:r>
    </w:p>
    <w:p w14:paraId="4F38ADBF" w14:textId="77777777" w:rsidR="00B71D6E" w:rsidRPr="00B71D6E" w:rsidRDefault="00B71D6E" w:rsidP="00B71D6E">
      <w:pPr>
        <w:numPr>
          <w:ilvl w:val="0"/>
          <w:numId w:val="1"/>
        </w:numPr>
      </w:pPr>
      <w:hyperlink r:id="rId9" w:history="1">
        <w:r w:rsidRPr="00B71D6E">
          <w:rPr>
            <w:rStyle w:val="Hyperlink"/>
          </w:rPr>
          <w:t>Madsen et al. (2022)</w:t>
        </w:r>
      </w:hyperlink>
      <w:r w:rsidRPr="00B71D6E">
        <w:t xml:space="preserve"> — Quantum computational advantage with a programmable photonic processor, </w:t>
      </w:r>
      <w:r w:rsidRPr="00B71D6E">
        <w:rPr>
          <w:i/>
          <w:iCs/>
        </w:rPr>
        <w:t>Nature</w:t>
      </w:r>
    </w:p>
    <w:p w14:paraId="4C6E5EE3" w14:textId="77777777" w:rsidR="00B71D6E" w:rsidRPr="00B71D6E" w:rsidRDefault="00B71D6E" w:rsidP="00B71D6E">
      <w:pPr>
        <w:numPr>
          <w:ilvl w:val="0"/>
          <w:numId w:val="1"/>
        </w:numPr>
      </w:pPr>
      <w:hyperlink r:id="rId10" w:history="1">
        <w:proofErr w:type="spellStart"/>
        <w:r w:rsidRPr="00B71D6E">
          <w:rPr>
            <w:rStyle w:val="Hyperlink"/>
          </w:rPr>
          <w:t>Arute</w:t>
        </w:r>
        <w:proofErr w:type="spellEnd"/>
        <w:r w:rsidRPr="00B71D6E">
          <w:rPr>
            <w:rStyle w:val="Hyperlink"/>
          </w:rPr>
          <w:t xml:space="preserve"> et al. (2019)</w:t>
        </w:r>
      </w:hyperlink>
      <w:r w:rsidRPr="00B71D6E">
        <w:t xml:space="preserve"> — Quantum supremacy using a programmable superconducting processor, </w:t>
      </w:r>
      <w:r w:rsidRPr="00B71D6E">
        <w:rPr>
          <w:i/>
          <w:iCs/>
        </w:rPr>
        <w:t>Nature</w:t>
      </w:r>
    </w:p>
    <w:p w14:paraId="413B16E3" w14:textId="77777777" w:rsidR="00B71D6E" w:rsidRPr="00B71D6E" w:rsidRDefault="00B71D6E" w:rsidP="00B71D6E">
      <w:pPr>
        <w:numPr>
          <w:ilvl w:val="0"/>
          <w:numId w:val="1"/>
        </w:numPr>
      </w:pPr>
      <w:hyperlink r:id="rId11" w:history="1">
        <w:r w:rsidRPr="00B71D6E">
          <w:rPr>
            <w:rStyle w:val="Hyperlink"/>
          </w:rPr>
          <w:t>Monroe et al. (1995)</w:t>
        </w:r>
      </w:hyperlink>
      <w:r w:rsidRPr="00B71D6E">
        <w:t xml:space="preserve"> — Demonstration of a Fundamental Quantum Logic Gate, </w:t>
      </w:r>
      <w:r w:rsidRPr="00B71D6E">
        <w:rPr>
          <w:i/>
          <w:iCs/>
        </w:rPr>
        <w:t>Physical Review Letters</w:t>
      </w:r>
    </w:p>
    <w:p w14:paraId="12E9D5F0" w14:textId="77777777" w:rsidR="00B71D6E" w:rsidRPr="00B71D6E" w:rsidRDefault="00B71D6E" w:rsidP="00B71D6E">
      <w:pPr>
        <w:numPr>
          <w:ilvl w:val="0"/>
          <w:numId w:val="1"/>
        </w:numPr>
      </w:pPr>
      <w:hyperlink r:id="rId12" w:history="1">
        <w:r w:rsidRPr="00B71D6E">
          <w:rPr>
            <w:rStyle w:val="Hyperlink"/>
          </w:rPr>
          <w:t>Ebadi et al. (2021)</w:t>
        </w:r>
      </w:hyperlink>
      <w:r w:rsidRPr="00B71D6E">
        <w:t xml:space="preserve"> — Quantum phases of matter on a 256-atom programmable quantum simulator, </w:t>
      </w:r>
      <w:r w:rsidRPr="00B71D6E">
        <w:rPr>
          <w:i/>
          <w:iCs/>
        </w:rPr>
        <w:t>Nature</w:t>
      </w:r>
    </w:p>
    <w:p w14:paraId="2FC11900" w14:textId="77777777" w:rsidR="00B71D6E" w:rsidRPr="00B71D6E" w:rsidRDefault="00B71D6E" w:rsidP="00B71D6E">
      <w:pPr>
        <w:numPr>
          <w:ilvl w:val="0"/>
          <w:numId w:val="1"/>
        </w:numPr>
      </w:pPr>
      <w:r w:rsidRPr="00B71D6E">
        <w:t xml:space="preserve">Takeuchi et </w:t>
      </w:r>
      <w:proofErr w:type="gramStart"/>
      <w:r w:rsidRPr="00B71D6E">
        <w:t>al. —</w:t>
      </w:r>
      <w:proofErr w:type="gramEnd"/>
      <w:r w:rsidRPr="00B71D6E">
        <w:t xml:space="preserve"> Adiabatic quantum flux parametron as an ultra-low-power logic device, </w:t>
      </w:r>
      <w:r w:rsidRPr="00B71D6E">
        <w:rPr>
          <w:i/>
          <w:iCs/>
        </w:rPr>
        <w:t>Superconductor Science and Technology</w:t>
      </w:r>
    </w:p>
    <w:p w14:paraId="1DE8F369" w14:textId="77777777" w:rsidR="00B71D6E" w:rsidRPr="00B71D6E" w:rsidRDefault="00B71D6E" w:rsidP="00B71D6E">
      <w:pPr>
        <w:numPr>
          <w:ilvl w:val="0"/>
          <w:numId w:val="1"/>
        </w:numPr>
      </w:pPr>
      <w:hyperlink r:id="rId13" w:history="1">
        <w:proofErr w:type="spellStart"/>
        <w:r w:rsidRPr="00B71D6E">
          <w:rPr>
            <w:rStyle w:val="Hyperlink"/>
          </w:rPr>
          <w:t>Likharev</w:t>
        </w:r>
        <w:proofErr w:type="spellEnd"/>
        <w:r w:rsidRPr="00B71D6E">
          <w:rPr>
            <w:rStyle w:val="Hyperlink"/>
          </w:rPr>
          <w:t xml:space="preserve"> &amp; Semenov (1991)</w:t>
        </w:r>
      </w:hyperlink>
      <w:r w:rsidRPr="00B71D6E">
        <w:t xml:space="preserve"> — RSFQ logic/memory family, </w:t>
      </w:r>
      <w:r w:rsidRPr="00B71D6E">
        <w:rPr>
          <w:i/>
          <w:iCs/>
        </w:rPr>
        <w:t>IEEE Transactions on Applied Superconductivity</w:t>
      </w:r>
    </w:p>
    <w:p w14:paraId="0CCED7E4" w14:textId="77777777" w:rsidR="00B71D6E" w:rsidRPr="00B71D6E" w:rsidRDefault="00B71D6E" w:rsidP="00B71D6E">
      <w:r w:rsidRPr="00B71D6E">
        <w:rPr>
          <w:b/>
          <w:bCs/>
        </w:rPr>
        <w:t>Biology</w:t>
      </w:r>
    </w:p>
    <w:p w14:paraId="763D0A03" w14:textId="77777777" w:rsidR="00B71D6E" w:rsidRPr="00B71D6E" w:rsidRDefault="00B71D6E" w:rsidP="00B71D6E">
      <w:pPr>
        <w:numPr>
          <w:ilvl w:val="0"/>
          <w:numId w:val="2"/>
        </w:numPr>
      </w:pPr>
      <w:hyperlink r:id="rId14" w:history="1">
        <w:r w:rsidRPr="00B71D6E">
          <w:rPr>
            <w:rStyle w:val="Hyperlink"/>
          </w:rPr>
          <w:t>Adleman (1994)</w:t>
        </w:r>
      </w:hyperlink>
      <w:r w:rsidRPr="00B71D6E">
        <w:t xml:space="preserve"> — Molecular computation of solutions to combinatorial problems, </w:t>
      </w:r>
      <w:r w:rsidRPr="00B71D6E">
        <w:rPr>
          <w:i/>
          <w:iCs/>
        </w:rPr>
        <w:t>Science</w:t>
      </w:r>
    </w:p>
    <w:p w14:paraId="1EB5FA2C" w14:textId="77777777" w:rsidR="00B71D6E" w:rsidRPr="00B71D6E" w:rsidRDefault="00B71D6E" w:rsidP="00B71D6E">
      <w:pPr>
        <w:numPr>
          <w:ilvl w:val="0"/>
          <w:numId w:val="2"/>
        </w:numPr>
      </w:pPr>
      <w:hyperlink r:id="rId15" w:history="1">
        <w:proofErr w:type="spellStart"/>
        <w:r w:rsidRPr="00B71D6E">
          <w:rPr>
            <w:rStyle w:val="Hyperlink"/>
          </w:rPr>
          <w:t>Elowitz</w:t>
        </w:r>
        <w:proofErr w:type="spellEnd"/>
        <w:r w:rsidRPr="00B71D6E">
          <w:rPr>
            <w:rStyle w:val="Hyperlink"/>
          </w:rPr>
          <w:t xml:space="preserve"> &amp; Leibler (2000)</w:t>
        </w:r>
      </w:hyperlink>
      <w:r w:rsidRPr="00B71D6E">
        <w:t xml:space="preserve"> — A synthetic oscillatory network of transcriptional regulators, </w:t>
      </w:r>
      <w:r w:rsidRPr="00B71D6E">
        <w:rPr>
          <w:i/>
          <w:iCs/>
        </w:rPr>
        <w:t>Nature</w:t>
      </w:r>
    </w:p>
    <w:p w14:paraId="464B1ECF" w14:textId="77777777" w:rsidR="00B71D6E" w:rsidRPr="00B71D6E" w:rsidRDefault="00B71D6E" w:rsidP="00B71D6E">
      <w:pPr>
        <w:numPr>
          <w:ilvl w:val="0"/>
          <w:numId w:val="2"/>
        </w:numPr>
      </w:pPr>
      <w:hyperlink r:id="rId16" w:history="1">
        <w:r w:rsidRPr="00B71D6E">
          <w:rPr>
            <w:rStyle w:val="Hyperlink"/>
          </w:rPr>
          <w:t>Gibson et al. (2010)</w:t>
        </w:r>
      </w:hyperlink>
      <w:r w:rsidRPr="00B71D6E">
        <w:t xml:space="preserve"> — Creation of a bacterial cell controlled by a chemically synthesized genome, </w:t>
      </w:r>
      <w:r w:rsidRPr="00B71D6E">
        <w:rPr>
          <w:i/>
          <w:iCs/>
        </w:rPr>
        <w:t>Science</w:t>
      </w:r>
    </w:p>
    <w:p w14:paraId="4AE9C736" w14:textId="77777777" w:rsidR="00B71D6E" w:rsidRPr="00B71D6E" w:rsidRDefault="00B71D6E" w:rsidP="00B71D6E">
      <w:pPr>
        <w:numPr>
          <w:ilvl w:val="0"/>
          <w:numId w:val="2"/>
        </w:numPr>
      </w:pPr>
      <w:hyperlink r:id="rId17" w:history="1">
        <w:r w:rsidRPr="00B71D6E">
          <w:rPr>
            <w:rStyle w:val="Hyperlink"/>
          </w:rPr>
          <w:t>White et al. (1986)</w:t>
        </w:r>
      </w:hyperlink>
      <w:r w:rsidRPr="00B71D6E">
        <w:t xml:space="preserve"> — The structure of the nervous system of the nematode </w:t>
      </w:r>
      <w:r w:rsidRPr="00B71D6E">
        <w:rPr>
          <w:i/>
          <w:iCs/>
        </w:rPr>
        <w:t>Caenorhabditis elegans</w:t>
      </w:r>
      <w:r w:rsidRPr="00B71D6E">
        <w:t xml:space="preserve">, </w:t>
      </w:r>
      <w:r w:rsidRPr="00B71D6E">
        <w:rPr>
          <w:i/>
          <w:iCs/>
        </w:rPr>
        <w:t>Philosophical Transactions of the Royal Society B</w:t>
      </w:r>
    </w:p>
    <w:p w14:paraId="058C3E8F" w14:textId="77777777" w:rsidR="00B71D6E" w:rsidRPr="00B71D6E" w:rsidRDefault="00B71D6E" w:rsidP="00B71D6E">
      <w:pPr>
        <w:numPr>
          <w:ilvl w:val="0"/>
          <w:numId w:val="2"/>
        </w:numPr>
      </w:pPr>
      <w:hyperlink r:id="rId18" w:history="1">
        <w:r w:rsidRPr="00B71D6E">
          <w:rPr>
            <w:rStyle w:val="Hyperlink"/>
          </w:rPr>
          <w:t>Kagan et al. (2022)</w:t>
        </w:r>
      </w:hyperlink>
      <w:r w:rsidRPr="00B71D6E">
        <w:t xml:space="preserve"> — In vitro neurons learn and exhibit sentience when embodied in a simulated game-world, </w:t>
      </w:r>
      <w:r w:rsidRPr="00B71D6E">
        <w:rPr>
          <w:i/>
          <w:iCs/>
        </w:rPr>
        <w:t>Neuron</w:t>
      </w:r>
    </w:p>
    <w:p w14:paraId="7048A28D" w14:textId="77777777" w:rsidR="00B71D6E" w:rsidRPr="00B71D6E" w:rsidRDefault="00B71D6E" w:rsidP="00B71D6E">
      <w:r w:rsidRPr="00B71D6E">
        <w:rPr>
          <w:b/>
          <w:bCs/>
        </w:rPr>
        <w:t>Hypercomputation</w:t>
      </w:r>
      <w:r w:rsidRPr="00B71D6E">
        <w:t xml:space="preserve"> (excluded from the frontier; treated as "Not Computation")</w:t>
      </w:r>
    </w:p>
    <w:p w14:paraId="2D90FAAD" w14:textId="77777777" w:rsidR="00B71D6E" w:rsidRPr="00B71D6E" w:rsidRDefault="00B71D6E" w:rsidP="00B71D6E">
      <w:pPr>
        <w:numPr>
          <w:ilvl w:val="0"/>
          <w:numId w:val="3"/>
        </w:numPr>
      </w:pPr>
      <w:proofErr w:type="spellStart"/>
      <w:r w:rsidRPr="00B71D6E">
        <w:t>Pitowsky</w:t>
      </w:r>
      <w:proofErr w:type="spellEnd"/>
      <w:r w:rsidRPr="00B71D6E">
        <w:t xml:space="preserve"> — the physical Church thesis</w:t>
      </w:r>
    </w:p>
    <w:p w14:paraId="2DED97A4" w14:textId="77777777" w:rsidR="00B71D6E" w:rsidRPr="00B71D6E" w:rsidRDefault="00B71D6E" w:rsidP="00B71D6E">
      <w:pPr>
        <w:numPr>
          <w:ilvl w:val="0"/>
          <w:numId w:val="3"/>
        </w:numPr>
      </w:pPr>
      <w:r w:rsidRPr="00B71D6E">
        <w:t xml:space="preserve">Hogarth — </w:t>
      </w:r>
      <w:proofErr w:type="spellStart"/>
      <w:r w:rsidRPr="00B71D6E">
        <w:t>Malament</w:t>
      </w:r>
      <w:proofErr w:type="spellEnd"/>
      <w:r w:rsidRPr="00B71D6E">
        <w:t>-Hogarth spacetimes</w:t>
      </w:r>
    </w:p>
    <w:p w14:paraId="0EDF2B6C" w14:textId="77777777" w:rsidR="00B71D6E" w:rsidRPr="00B71D6E" w:rsidRDefault="00B71D6E" w:rsidP="00B71D6E">
      <w:pPr>
        <w:numPr>
          <w:ilvl w:val="0"/>
          <w:numId w:val="3"/>
        </w:numPr>
      </w:pPr>
      <w:proofErr w:type="spellStart"/>
      <w:r w:rsidRPr="00B71D6E">
        <w:t>Hamkins</w:t>
      </w:r>
      <w:proofErr w:type="spellEnd"/>
      <w:r w:rsidRPr="00B71D6E">
        <w:t xml:space="preserve"> &amp; Lewis — infinite-time Turing machines</w:t>
      </w:r>
    </w:p>
    <w:p w14:paraId="22919498" w14:textId="77777777" w:rsidR="00B71D6E" w:rsidRPr="00B71D6E" w:rsidRDefault="00B71D6E" w:rsidP="00B71D6E">
      <w:r w:rsidRPr="00B71D6E">
        <w:rPr>
          <w:b/>
          <w:bCs/>
        </w:rPr>
        <w:t>Thermodynamic foundation</w:t>
      </w:r>
    </w:p>
    <w:p w14:paraId="45FE5433" w14:textId="77777777" w:rsidR="00B71D6E" w:rsidRPr="00B71D6E" w:rsidRDefault="00B71D6E" w:rsidP="00B71D6E">
      <w:pPr>
        <w:numPr>
          <w:ilvl w:val="0"/>
          <w:numId w:val="4"/>
        </w:numPr>
      </w:pPr>
      <w:hyperlink r:id="rId19" w:history="1">
        <w:r w:rsidRPr="00B71D6E">
          <w:rPr>
            <w:rStyle w:val="Hyperlink"/>
          </w:rPr>
          <w:t>Landauer (1961)</w:t>
        </w:r>
      </w:hyperlink>
      <w:r w:rsidRPr="00B71D6E">
        <w:t xml:space="preserve"> — Irreversibility and Heat Generation in the Computing Process, </w:t>
      </w:r>
      <w:r w:rsidRPr="00B71D6E">
        <w:rPr>
          <w:i/>
          <w:iCs/>
        </w:rPr>
        <w:t>IBM Journal of Research and Development</w:t>
      </w:r>
    </w:p>
    <w:p w14:paraId="48F0FF38" w14:textId="77777777" w:rsidR="00B71D6E" w:rsidRPr="00B71D6E" w:rsidRDefault="00B71D6E" w:rsidP="00B71D6E">
      <w:r w:rsidRPr="00B71D6E">
        <w:rPr>
          <w:b/>
          <w:bCs/>
        </w:rPr>
        <w:t>Conceptual framework</w:t>
      </w:r>
    </w:p>
    <w:p w14:paraId="607BE740" w14:textId="77777777" w:rsidR="00B71D6E" w:rsidRPr="00B71D6E" w:rsidRDefault="00B71D6E" w:rsidP="00B71D6E">
      <w:pPr>
        <w:numPr>
          <w:ilvl w:val="0"/>
          <w:numId w:val="5"/>
        </w:numPr>
      </w:pPr>
      <w:hyperlink r:id="rId20" w:history="1">
        <w:r w:rsidRPr="00B71D6E">
          <w:rPr>
            <w:rStyle w:val="Hyperlink"/>
          </w:rPr>
          <w:t>Stanford Encyclopedia of Philosophy — The Computational Theory of Mind (2024)</w:t>
        </w:r>
      </w:hyperlink>
    </w:p>
    <w:p w14:paraId="0C636F46" w14:textId="77777777" w:rsidR="00B71D6E" w:rsidRPr="00B71D6E" w:rsidRDefault="00B71D6E" w:rsidP="00B71D6E">
      <w:pPr>
        <w:numPr>
          <w:ilvl w:val="0"/>
          <w:numId w:val="5"/>
        </w:numPr>
      </w:pPr>
      <w:hyperlink r:id="rId21" w:history="1">
        <w:r w:rsidRPr="00B71D6E">
          <w:rPr>
            <w:rStyle w:val="Hyperlink"/>
          </w:rPr>
          <w:t>Stanford Encyclopedia of Philosophy — Computation in Physical Systems (2025)</w:t>
        </w:r>
      </w:hyperlink>
    </w:p>
    <w:p w14:paraId="5DB08EEB" w14:textId="77777777" w:rsidR="00B71D6E" w:rsidRPr="00B71D6E" w:rsidRDefault="00B71D6E" w:rsidP="00B71D6E">
      <w:pPr>
        <w:rPr>
          <w:b/>
          <w:bCs/>
        </w:rPr>
      </w:pPr>
      <w:r w:rsidRPr="00B71D6E">
        <w:rPr>
          <w:b/>
          <w:bCs/>
        </w:rPr>
        <w:t>Visualization</w:t>
      </w:r>
    </w:p>
    <w:p w14:paraId="5967B9F1" w14:textId="77777777" w:rsidR="00B71D6E" w:rsidRPr="00B71D6E" w:rsidRDefault="00B71D6E" w:rsidP="00B71D6E">
      <w:r w:rsidRPr="00B71D6E">
        <w:lastRenderedPageBreak/>
        <w:t xml:space="preserve">Both visualizations are housed in </w:t>
      </w:r>
      <w:hyperlink r:id="rId22" w:history="1">
        <w:r w:rsidRPr="00B71D6E">
          <w:rPr>
            <w:rStyle w:val="Hyperlink"/>
          </w:rPr>
          <w:t>Observable</w:t>
        </w:r>
      </w:hyperlink>
      <w:r w:rsidRPr="00B71D6E">
        <w:t xml:space="preserve"> using </w:t>
      </w:r>
      <w:r w:rsidRPr="00B71D6E">
        <w:rPr>
          <w:b/>
          <w:bCs/>
        </w:rPr>
        <w:t>D3.js</w:t>
      </w:r>
      <w:r w:rsidRPr="00B71D6E">
        <w:t>.</w:t>
      </w:r>
    </w:p>
    <w:p w14:paraId="7B5533F4" w14:textId="77777777" w:rsidR="00B71D6E" w:rsidRPr="00B71D6E" w:rsidRDefault="00B71D6E" w:rsidP="00B71D6E">
      <w:pPr>
        <w:rPr>
          <w:b/>
          <w:bCs/>
        </w:rPr>
      </w:pPr>
      <w:r w:rsidRPr="00B71D6E">
        <w:rPr>
          <w:b/>
          <w:bCs/>
        </w:rPr>
        <w:t>License</w:t>
      </w:r>
    </w:p>
    <w:p w14:paraId="0EB71CF1" w14:textId="77777777" w:rsidR="00B71D6E" w:rsidRPr="00B71D6E" w:rsidRDefault="00B71D6E" w:rsidP="00B71D6E">
      <w:r w:rsidRPr="00B71D6E">
        <w:t>MIT License — free to reuse with attribution.</w:t>
      </w:r>
    </w:p>
    <w:p w14:paraId="21DE026C" w14:textId="77777777" w:rsidR="00B71D6E" w:rsidRPr="00B71D6E" w:rsidRDefault="00B71D6E" w:rsidP="00B71D6E">
      <w:pPr>
        <w:rPr>
          <w:b/>
          <w:bCs/>
        </w:rPr>
      </w:pPr>
      <w:r w:rsidRPr="00B71D6E">
        <w:rPr>
          <w:b/>
          <w:bCs/>
        </w:rPr>
        <w:t>Credits</w:t>
      </w:r>
    </w:p>
    <w:p w14:paraId="5D0FBDE7" w14:textId="77777777" w:rsidR="00B71D6E" w:rsidRPr="00B71D6E" w:rsidRDefault="00B71D6E" w:rsidP="00B71D6E">
      <w:pPr>
        <w:numPr>
          <w:ilvl w:val="0"/>
          <w:numId w:val="6"/>
        </w:numPr>
      </w:pPr>
      <w:r w:rsidRPr="00B71D6E">
        <w:t xml:space="preserve">Visualizations built with </w:t>
      </w:r>
      <w:r w:rsidRPr="00B71D6E">
        <w:rPr>
          <w:b/>
          <w:bCs/>
        </w:rPr>
        <w:t>D3.js</w:t>
      </w:r>
      <w:r w:rsidRPr="00B71D6E">
        <w:t xml:space="preserve"> in Observable</w:t>
      </w:r>
    </w:p>
    <w:p w14:paraId="3FF52A7F" w14:textId="77777777" w:rsidR="00B71D6E" w:rsidRPr="00B71D6E" w:rsidRDefault="00B71D6E" w:rsidP="00B71D6E">
      <w:pPr>
        <w:numPr>
          <w:ilvl w:val="0"/>
          <w:numId w:val="6"/>
        </w:numPr>
      </w:pPr>
      <w:r w:rsidRPr="00B71D6E">
        <w:t xml:space="preserve">Published by </w:t>
      </w:r>
      <w:hyperlink r:id="rId23" w:history="1">
        <w:r w:rsidRPr="00B71D6E">
          <w:rPr>
            <w:rStyle w:val="Hyperlink"/>
          </w:rPr>
          <w:t>North Branch Media</w:t>
        </w:r>
      </w:hyperlink>
    </w:p>
    <w:p w14:paraId="0FDC39C4" w14:textId="77777777" w:rsidR="001401ED" w:rsidRDefault="001401ED"/>
    <w:sectPr w:rsidR="00140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11C"/>
    <w:multiLevelType w:val="multilevel"/>
    <w:tmpl w:val="BDB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0BD8"/>
    <w:multiLevelType w:val="multilevel"/>
    <w:tmpl w:val="0E98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17062"/>
    <w:multiLevelType w:val="multilevel"/>
    <w:tmpl w:val="4B18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C574D"/>
    <w:multiLevelType w:val="multilevel"/>
    <w:tmpl w:val="BFB2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52AAD"/>
    <w:multiLevelType w:val="multilevel"/>
    <w:tmpl w:val="B368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D1501"/>
    <w:multiLevelType w:val="multilevel"/>
    <w:tmpl w:val="F4BA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583070">
    <w:abstractNumId w:val="0"/>
  </w:num>
  <w:num w:numId="2" w16cid:durableId="1605764996">
    <w:abstractNumId w:val="5"/>
  </w:num>
  <w:num w:numId="3" w16cid:durableId="1856142654">
    <w:abstractNumId w:val="2"/>
  </w:num>
  <w:num w:numId="4" w16cid:durableId="225721772">
    <w:abstractNumId w:val="3"/>
  </w:num>
  <w:num w:numId="5" w16cid:durableId="1612668076">
    <w:abstractNumId w:val="4"/>
  </w:num>
  <w:num w:numId="6" w16cid:durableId="80761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D6E"/>
    <w:rsid w:val="001401ED"/>
    <w:rsid w:val="00525317"/>
    <w:rsid w:val="0070601C"/>
    <w:rsid w:val="00B71D6E"/>
    <w:rsid w:val="00E0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B3745"/>
  <w15:chartTrackingRefBased/>
  <w15:docId w15:val="{6688E2E3-822B-4C00-9DD9-F318198B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D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D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D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D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D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D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D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D6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D6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D6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D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D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D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D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D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D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D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D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26/science.1254642" TargetMode="External"/><Relationship Id="rId13" Type="http://schemas.openxmlformats.org/officeDocument/2006/relationships/hyperlink" Target="https://doi.org/10.1109/77.80745" TargetMode="External"/><Relationship Id="rId18" Type="http://schemas.openxmlformats.org/officeDocument/2006/relationships/hyperlink" Target="https://doi.org/10.1016/j.neuron.2022.09.00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lato.stanford.edu/entries/computation-physicalsystems/" TargetMode="External"/><Relationship Id="rId7" Type="http://schemas.openxmlformats.org/officeDocument/2006/relationships/hyperlink" Target="https://arxiv.org/abs/1704.04760" TargetMode="External"/><Relationship Id="rId12" Type="http://schemas.openxmlformats.org/officeDocument/2006/relationships/hyperlink" Target="https://doi.org/10.1038/s41586-021-03582-4" TargetMode="External"/><Relationship Id="rId17" Type="http://schemas.openxmlformats.org/officeDocument/2006/relationships/hyperlink" Target="https://doi.org/10.1098/rstb.1986.0056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i.org/10.1126/science.1190719" TargetMode="External"/><Relationship Id="rId20" Type="http://schemas.openxmlformats.org/officeDocument/2006/relationships/hyperlink" Target="https://plato.stanford.edu/entries/computational-mind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orthbranchmedia.substack.com/" TargetMode="External"/><Relationship Id="rId11" Type="http://schemas.openxmlformats.org/officeDocument/2006/relationships/hyperlink" Target="https://doi.org/10.1103/PhysRevLett.75.4714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observablehq.com/@nbm/efficient-frontier-of-compute" TargetMode="External"/><Relationship Id="rId15" Type="http://schemas.openxmlformats.org/officeDocument/2006/relationships/hyperlink" Target="https://doi.org/10.1038/35002125" TargetMode="External"/><Relationship Id="rId23" Type="http://schemas.openxmlformats.org/officeDocument/2006/relationships/hyperlink" Target="https://northbranchmedia.substack.com/" TargetMode="External"/><Relationship Id="rId10" Type="http://schemas.openxmlformats.org/officeDocument/2006/relationships/hyperlink" Target="https://doi.org/10.1038/s41586-019-1666-5" TargetMode="External"/><Relationship Id="rId19" Type="http://schemas.openxmlformats.org/officeDocument/2006/relationships/hyperlink" Target="https://doi.org/10.1147/rd.53.018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8/s41586-022-04725-x" TargetMode="External"/><Relationship Id="rId14" Type="http://schemas.openxmlformats.org/officeDocument/2006/relationships/hyperlink" Target="https://doi.org/10.1126/science.7973651" TargetMode="External"/><Relationship Id="rId22" Type="http://schemas.openxmlformats.org/officeDocument/2006/relationships/hyperlink" Target="https://observablehq.com/d/NOTEBOOK_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759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 Bigelow</dc:creator>
  <cp:keywords/>
  <dc:description/>
  <cp:lastModifiedBy>Walker Bigelow</cp:lastModifiedBy>
  <cp:revision>1</cp:revision>
  <dcterms:created xsi:type="dcterms:W3CDTF">2026-05-15T01:48:00Z</dcterms:created>
  <dcterms:modified xsi:type="dcterms:W3CDTF">2026-05-15T01:48:00Z</dcterms:modified>
</cp:coreProperties>
</file>