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1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False Colour Cues Reveal Local Paired Shifts in Car-Colour VLMs</w:t>
      </w:r>
    </w:p>
    <w:bookmarkStart w:id="52" w:name="X36981489e51d4ab08f511a328bdbf275c003766"/>
    <w:p>
      <w:pPr>
        <w:pStyle w:val="Heading1"/>
      </w:pPr>
      <w:r>
        <w:t xml:space="preserve">False Colour Cues Reveal Local Paired Shifts in Car-Colour VLMs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Vision-language models are commonly evaluated with prompts whose text is consistent with</w:t>
      </w:r>
      <w:r>
        <w:t xml:space="preserve"> </w:t>
      </w:r>
      <w:r>
        <w:t xml:space="preserve">the image. In practical use, however, textual context may be wrong. When a model answers</w:t>
      </w:r>
      <w:r>
        <w:t xml:space="preserve"> </w:t>
      </w:r>
      <w:r>
        <w:t xml:space="preserve">incorrectly under such conflict, the error is difficult to attribute: it may reflect</w:t>
      </w:r>
      <w:r>
        <w:t xml:space="preserve"> </w:t>
      </w:r>
      <w:r>
        <w:t xml:space="preserve">visual misperception, linguistic compliance, prompt wording, answer-format pressure, or</w:t>
      </w:r>
      <w:r>
        <w:t xml:space="preserve"> </w:t>
      </w:r>
      <w:r>
        <w:t xml:space="preserve">output parsing. This study examines this attribution problem in a deliberately narrow</w:t>
      </w:r>
      <w:r>
        <w:t xml:space="preserve"> </w:t>
      </w:r>
      <w:r>
        <w:t xml:space="preserve">setting: primary car-body colour recognition with false textual colour cues. The</w:t>
      </w:r>
      <w:r>
        <w:t xml:space="preserve"> </w:t>
      </w:r>
      <w:r>
        <w:t xml:space="preserve">protocol uses a balanced 300-image car set over six colours to evaluate LLaVA-1.5-7B,</w:t>
      </w:r>
      <w:r>
        <w:t xml:space="preserve"> </w:t>
      </w:r>
      <w:r>
        <w:t xml:space="preserve">Qwen2-VL-7B-Instruct, and InternVL2-8B under a neutral C0 prompt and four single-turn</w:t>
      </w:r>
      <w:r>
        <w:t xml:space="preserve"> </w:t>
      </w:r>
      <w:r>
        <w:t xml:space="preserve">conflict prompts, C1-C4. All</w:t>
      </w:r>
      <w:r>
        <w:t xml:space="preserve"> </w:t>
      </w:r>
      <w:r>
        <w:t xml:space="preserve">three models are faithful under C0 on all 300 images. In the primary conflict family,</w:t>
      </w:r>
      <w:r>
        <w:t xml:space="preserve"> </w:t>
      </w:r>
      <w:r>
        <w:t xml:space="preserve">LLaVA-1.5-7B shows the only clear shift, with false-colour-aligned outputs in 27/300 C3</w:t>
      </w:r>
      <w:r>
        <w:t xml:space="preserve"> </w:t>
      </w:r>
      <w:r>
        <w:t xml:space="preserve">cases and 10/300 C4 cases. Qwen2-VL-7B-Instruct has 1/300 in each of C3 and C4, and</w:t>
      </w:r>
      <w:r>
        <w:t xml:space="preserve"> </w:t>
      </w:r>
      <w:r>
        <w:t xml:space="preserve">InternVL2-8B has 0/300 across C0-C4. Because the same images are used across conditions,</w:t>
      </w:r>
      <w:r>
        <w:t xml:space="preserve"> </w:t>
      </w:r>
      <w:r>
        <w:t xml:space="preserve">the LLaVA cases are same-image flips from faithful C0 answers to false-text-aligned</w:t>
      </w:r>
      <w:r>
        <w:t xml:space="preserve"> </w:t>
      </w:r>
      <w:r>
        <w:t xml:space="preserve">answers. Controlled diagnostics show that this effect is weakened by C3 rewrites, smaller</w:t>
      </w:r>
      <w:r>
        <w:t xml:space="preserve"> </w:t>
      </w:r>
      <w:r>
        <w:t xml:space="preserve">under alternative answer formats, dependent on prompt factor, and concentrated in the</w:t>
      </w:r>
      <w:r>
        <w:t xml:space="preserve"> </w:t>
      </w:r>
      <w:r>
        <w:t xml:space="preserve">white-to-black route. The results support a local and conditional account of</w:t>
      </w:r>
      <w:r>
        <w:t xml:space="preserve"> </w:t>
      </w:r>
      <w:r>
        <w:t xml:space="preserve">text-sensitive behaviour, not a general claim that VLMs prioritise text over vision.</w:t>
      </w:r>
    </w:p>
    <w:bookmarkEnd w:id="9"/>
    <w:bookmarkStart w:id="16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Vision-language models (VLMs) increasingly interpret images together with natural</w:t>
      </w:r>
      <w:r>
        <w:t xml:space="preserve"> </w:t>
      </w:r>
      <w:r>
        <w:t xml:space="preserve">language instructions, descriptions, or contextual claims [1-5]. This joint interface</w:t>
      </w:r>
      <w:r>
        <w:t xml:space="preserve"> </w:t>
      </w:r>
      <w:r>
        <w:t xml:space="preserve">creates a reliability question that is easy to pose but hard to</w:t>
      </w:r>
      <w:r>
        <w:t xml:space="preserve"> </w:t>
      </w:r>
      <w:r>
        <w:t xml:space="preserve">diagnose: what happens when the text says something false about the image?</w:t>
      </w:r>
    </w:p>
    <w:p>
      <w:pPr>
        <w:pStyle w:val="BodyText"/>
      </w:pPr>
      <w:r>
        <w:t xml:space="preserve">A model may ignore an erroneous claim, correct it, partially incorporate it, or follow</w:t>
      </w:r>
      <w:r>
        <w:t xml:space="preserve"> </w:t>
      </w:r>
      <w:r>
        <w:t xml:space="preserve">it. A false-text-aligned answer is therefore not self-explanatory. It may arise from</w:t>
      </w:r>
      <w:r>
        <w:t xml:space="preserve"> </w:t>
      </w:r>
      <w:r>
        <w:t xml:space="preserve">visual error, language prior, prompt compliance, answer-space constraint, parsing</w:t>
      </w:r>
      <w:r>
        <w:t xml:space="preserve"> </w:t>
      </w:r>
      <w:r>
        <w:t xml:space="preserve">artefact, or local image ambiguity. Prior work on visual question answering, language</w:t>
      </w:r>
      <w:r>
        <w:t xml:space="preserve"> </w:t>
      </w:r>
      <w:r>
        <w:t xml:space="preserve">priors, hallucination, multimodal conflict, and attribute binding has made these risks</w:t>
      </w:r>
      <w:r>
        <w:t xml:space="preserve"> </w:t>
      </w:r>
      <w:r>
        <w:t xml:space="preserve">visible [6-13]. Yet broad tasks, open-ended outputs, and changing image pools can make</w:t>
      </w:r>
      <w:r>
        <w:t xml:space="preserve"> </w:t>
      </w:r>
      <w:r>
        <w:t xml:space="preserve">the source of a conflict error difficult to isolate.</w:t>
      </w:r>
    </w:p>
    <w:p>
      <w:pPr>
        <w:pStyle w:val="BodyText"/>
      </w:pPr>
      <w:r>
        <w:t xml:space="preserve">This paper examines a smaller question with a shorter evidence chain. The central</w:t>
      </w:r>
      <w:r>
        <w:t xml:space="preserve"> </w:t>
      </w:r>
      <w:r>
        <w:t xml:space="preserve">question is whether a</w:t>
      </w:r>
      <w:r>
        <w:t xml:space="preserve"> </w:t>
      </w:r>
      <w:r>
        <w:t xml:space="preserve">false textual colour cue can move a model away from image evidence when the visual</w:t>
      </w:r>
      <w:r>
        <w:t xml:space="preserve"> </w:t>
      </w:r>
      <w:r>
        <w:t xml:space="preserve">attribute is simple, the answer space is fixed, and the same image is evaluated under</w:t>
      </w:r>
      <w:r>
        <w:t xml:space="preserve"> </w:t>
      </w:r>
      <w:r>
        <w:t xml:space="preserve">neutral and conflict prompts. The task is intentionally restricted to the primary body</w:t>
      </w:r>
      <w:r>
        <w:t xml:space="preserve"> </w:t>
      </w:r>
      <w:r>
        <w:t xml:space="preserve">colour of the principal car in a real image. It is not a test of general reasoning,</w:t>
      </w:r>
      <w:r>
        <w:t xml:space="preserve"> </w:t>
      </w:r>
      <w:r>
        <w:t xml:space="preserve">fine-grained vehicle recognition, object relations, or broad deployment robustness.</w:t>
      </w:r>
    </w:p>
    <w:p>
      <w:pPr>
        <w:pStyle w:val="BodyText"/>
      </w:pPr>
      <w:r>
        <w:t xml:space="preserve">The evaluation uses three fixed VLM checkpoints on a balanced 300-image, six-colour</w:t>
      </w:r>
      <w:r>
        <w:t xml:space="preserve"> </w:t>
      </w:r>
      <w:r>
        <w:t xml:space="preserve">car-image set. The primary protocol compares a neutral C0 prompt with four single-turn conflict</w:t>
      </w:r>
      <w:r>
        <w:t xml:space="preserve"> </w:t>
      </w:r>
      <w:r>
        <w:t xml:space="preserve">conditions, C1-C4. Each model sees the same images in each condition. This design makes</w:t>
      </w:r>
      <w:r>
        <w:t xml:space="preserve"> </w:t>
      </w:r>
      <w:r>
        <w:t xml:space="preserve">the key evidence unit a paired flip: the model answers faithfully under C0 on an image,</w:t>
      </w:r>
      <w:r>
        <w:t xml:space="preserve"> </w:t>
      </w:r>
      <w:r>
        <w:t xml:space="preserve">then follows the false prompt colour for the same image under a conflict condition.</w:t>
      </w:r>
    </w:p>
    <w:p>
      <w:pPr>
        <w:pStyle w:val="BodyText"/>
      </w:pPr>
      <w:r>
        <w:t xml:space="preserve">The main result is local and asymmetric. All three models are faithful under neutral C0</w:t>
      </w:r>
      <w:r>
        <w:t xml:space="preserve"> </w:t>
      </w:r>
      <w:r>
        <w:t xml:space="preserve">prompting on all 300 images. Under the primary C0-C4 conflict family, LLaVA-1.5-7B shows</w:t>
      </w:r>
      <w:r>
        <w:t xml:space="preserve"> </w:t>
      </w:r>
      <w:r>
        <w:t xml:space="preserve">a limited but clear shift in C3 and C4. Qwen2-VL-7B-Instruct and InternVL2-8B remain</w:t>
      </w:r>
      <w:r>
        <w:t xml:space="preserve"> </w:t>
      </w:r>
      <w:r>
        <w:t xml:space="preserve">essentially stable in the same primary template family. Further diagnostics show that</w:t>
      </w:r>
      <w:r>
        <w:t xml:space="preserve"> </w:t>
      </w:r>
      <w:r>
        <w:t xml:space="preserve">the LLaVA shift is sensitive to wording, answer format, prompt factor, and colour pair.</w:t>
      </w:r>
      <w:r>
        <w:t xml:space="preserve"> </w:t>
      </w:r>
      <w:r>
        <w:t xml:space="preserve">Thus, the supported claim is not that text generally overrides vision. It is that one</w:t>
      </w:r>
      <w:r>
        <w:t xml:space="preserve"> </w:t>
      </w:r>
      <w:r>
        <w:t xml:space="preserve">tested model exhibits a bounded same-image shift under particular false-colour prompt</w:t>
      </w:r>
      <w:r>
        <w:t xml:space="preserve"> </w:t>
      </w:r>
      <w:r>
        <w:t xml:space="preserve">forms.</w:t>
      </w:r>
    </w:p>
    <w:p>
      <w:pPr>
        <w:pStyle w:val="BodyText"/>
      </w:pPr>
      <w:r>
        <w:t xml:space="preserve">This study makes four contributions. First, it gives a paired evaluation protocol for a</w:t>
      </w:r>
      <w:r>
        <w:t xml:space="preserve"> </w:t>
      </w:r>
      <w:r>
        <w:t xml:space="preserve">narrow image-text conflict question. Second, it reports a model- and template-specific</w:t>
      </w:r>
      <w:r>
        <w:t xml:space="preserve"> </w:t>
      </w:r>
      <w:r>
        <w:t xml:space="preserve">conflict-following shift for LLaVA-1.5-7B. Third, it separates same-image paired flips</w:t>
      </w:r>
      <w:r>
        <w:t xml:space="preserve"> </w:t>
      </w:r>
      <w:r>
        <w:t xml:space="preserve">from unpaired aggregate differences. Fourth, it uses boundary diagnostics to prevent</w:t>
      </w:r>
      <w:r>
        <w:t xml:space="preserve"> </w:t>
      </w:r>
      <w:r>
        <w:t xml:space="preserve">stronger stress-test effects from being folded into the primary C0-C4 claim.</w:t>
      </w:r>
    </w:p>
    <w:p>
      <w:pPr>
        <w:pStyle w:val="BodyText"/>
      </w:pPr>
      <w:r>
        <w:drawing>
          <wp:inline>
            <wp:extent cx="5334000" cy="319316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phical_abstract_real_cas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Graphical overview. Real-prompt paired workflow.</w:t>
      </w:r>
      <w:r>
        <w:t xml:space="preserve"> </w:t>
      </w:r>
      <w:r>
        <w:t xml:space="preserve">One audited LLaVA paired case</w:t>
      </w:r>
      <w:r>
        <w:t xml:space="preserve"> </w:t>
      </w:r>
      <w:r>
        <w:t xml:space="preserve">illustrates the experimental unit: the same image is evaluated with the neutral C0</w:t>
      </w:r>
      <w:r>
        <w:t xml:space="preserve"> </w:t>
      </w:r>
      <w:r>
        <w:t xml:space="preserve">prompt and the false-colour C3 prompt, and the parsed answer changes from the true</w:t>
      </w:r>
      <w:r>
        <w:t xml:space="preserve"> </w:t>
      </w:r>
      <w:r>
        <w:t xml:space="preserve">colour to the embedded false cue. The panel is illustrative; the aggregate claim is</w:t>
      </w:r>
      <w:r>
        <w:t xml:space="preserve"> </w:t>
      </w:r>
      <w:r>
        <w:t xml:space="preserve">supported by the full C0-C4 results and diagnostics.</w:t>
      </w:r>
    </w:p>
    <w:p>
      <w:pPr>
        <w:pStyle w:val="BodyText"/>
      </w:pPr>
      <w:r>
        <w:drawing>
          <wp:inline>
            <wp:extent cx="5334000" cy="163635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figure1_evidence_cha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Evidence chain for same-image conflict-following analysis.</w:t>
      </w:r>
      <w:r>
        <w:t xml:space="preserve"> </w:t>
      </w:r>
      <w:r>
        <w:t xml:space="preserve">The schematic</w:t>
      </w:r>
      <w:r>
        <w:t xml:space="preserve"> </w:t>
      </w:r>
      <w:r>
        <w:t xml:space="preserve">shows the study logic: identical images, faithful C0 outputs, C1-C4 false-colour</w:t>
      </w:r>
      <w:r>
        <w:t xml:space="preserve"> </w:t>
      </w:r>
      <w:r>
        <w:t xml:space="preserve">prompts, paired flip definition, and boundary diagnostics.</w:t>
      </w:r>
    </w:p>
    <w:bookmarkEnd w:id="16"/>
    <w:bookmarkStart w:id="20" w:name="related-work"/>
    <w:p>
      <w:pPr>
        <w:pStyle w:val="Heading2"/>
      </w:pPr>
      <w:r>
        <w:t xml:space="preserve">2. Related Work</w:t>
      </w:r>
    </w:p>
    <w:bookmarkStart w:id="17" w:name="X859a692aaf4fcdd5703774225666d1b9d51cb87"/>
    <w:p>
      <w:pPr>
        <w:pStyle w:val="Heading3"/>
      </w:pPr>
      <w:r>
        <w:t xml:space="preserve">Multimodal conflict and hallucination evaluation</w:t>
      </w:r>
    </w:p>
    <w:p>
      <w:pPr>
        <w:pStyle w:val="FirstParagraph"/>
      </w:pPr>
      <w:r>
        <w:t xml:space="preserve">Multimodal hallucination and conflict benchmarks test whether model outputs remain</w:t>
      </w:r>
      <w:r>
        <w:t xml:space="preserve"> </w:t>
      </w:r>
      <w:r>
        <w:t xml:space="preserve">grounded when visual evidence, textual context, or world knowledge are unreliable</w:t>
      </w:r>
      <w:r>
        <w:t xml:space="preserve"> </w:t>
      </w:r>
      <w:r>
        <w:t xml:space="preserve">[8-10]. These benchmarks motivate controlled conflict evaluation, but many cover broad</w:t>
      </w:r>
      <w:r>
        <w:t xml:space="preserve"> </w:t>
      </w:r>
      <w:r>
        <w:t xml:space="preserve">question types, object categories, or free-form outputs. The present study differs by narrowing the task to one visual attribute</w:t>
      </w:r>
      <w:r>
        <w:t xml:space="preserve"> </w:t>
      </w:r>
      <w:r>
        <w:t xml:space="preserve">and by treating same-image paired flips as the primary evidence unit.</w:t>
      </w:r>
    </w:p>
    <w:bookmarkEnd w:id="17"/>
    <w:bookmarkStart w:id="18" w:name="X6531cdb28d141f59a1b7d10d18f1498a45f37a0"/>
    <w:p>
      <w:pPr>
        <w:pStyle w:val="Heading3"/>
      </w:pPr>
      <w:r>
        <w:t xml:space="preserve">Language priors and diagnostic separation</w:t>
      </w:r>
    </w:p>
    <w:p>
      <w:pPr>
        <w:pStyle w:val="FirstParagraph"/>
      </w:pPr>
      <w:r>
        <w:t xml:space="preserve">Language priors can produce plausible answers without adequate visual grounding</w:t>
      </w:r>
      <w:r>
        <w:t xml:space="preserve"> </w:t>
      </w:r>
      <w:r>
        <w:t xml:space="preserve">[6,7]. However, a false-text-aligned answer is not</w:t>
      </w:r>
      <w:r>
        <w:t xml:space="preserve"> </w:t>
      </w:r>
      <w:r>
        <w:t xml:space="preserve">automatically a pure language-prior effect. It can also reflect image visibility,</w:t>
      </w:r>
      <w:r>
        <w:t xml:space="preserve"> </w:t>
      </w:r>
      <w:r>
        <w:t xml:space="preserve">ambiguous labels, prompt format, or parser behaviour. Recent diagnostic work has</w:t>
      </w:r>
      <w:r>
        <w:t xml:space="preserve"> </w:t>
      </w:r>
      <w:r>
        <w:t xml:space="preserve">therefore emphasised separating perception, knowledge, bias, and response-format effects</w:t>
      </w:r>
      <w:r>
        <w:t xml:space="preserve"> </w:t>
      </w:r>
      <w:r>
        <w:t xml:space="preserve">[10]. This separation is adopted here as an evaluation principle, without</w:t>
      </w:r>
      <w:r>
        <w:t xml:space="preserve"> </w:t>
      </w:r>
      <w:r>
        <w:t xml:space="preserve">assigning broad model-level blindness or bias scores.</w:t>
      </w:r>
    </w:p>
    <w:bookmarkEnd w:id="18"/>
    <w:bookmarkStart w:id="19" w:name="colour-attributes-and-object-grounding"/>
    <w:p>
      <w:pPr>
        <w:pStyle w:val="Heading3"/>
      </w:pPr>
      <w:r>
        <w:t xml:space="preserve">Colour, attributes, and object grounding</w:t>
      </w:r>
    </w:p>
    <w:p>
      <w:pPr>
        <w:pStyle w:val="FirstParagraph"/>
      </w:pPr>
      <w:r>
        <w:t xml:space="preserve">Colour is interpretable, but it is not a trivial probe. Benchmarks on colour</w:t>
      </w:r>
      <w:r>
        <w:t xml:space="preserve"> </w:t>
      </w:r>
      <w:r>
        <w:t xml:space="preserve">understanding, compositionality, and attribute binding show that VLM behaviour can vary</w:t>
      </w:r>
      <w:r>
        <w:t xml:space="preserve"> </w:t>
      </w:r>
      <w:r>
        <w:t xml:space="preserve">with object category, colour distribution, visual ambiguity, and prompt form</w:t>
      </w:r>
      <w:r>
        <w:t xml:space="preserve"> </w:t>
      </w:r>
      <w:r>
        <w:t xml:space="preserve">[11-13]. Car-body colour is used</w:t>
      </w:r>
      <w:r>
        <w:t xml:space="preserve"> </w:t>
      </w:r>
      <w:r>
        <w:t xml:space="preserve">as a controlled observation window rather than as a claim about general colour</w:t>
      </w:r>
      <w:r>
        <w:t xml:space="preserve"> </w:t>
      </w:r>
      <w:r>
        <w:t xml:space="preserve">perception.</w:t>
      </w:r>
    </w:p>
    <w:bookmarkEnd w:id="19"/>
    <w:bookmarkEnd w:id="20"/>
    <w:bookmarkStart w:id="25" w:name="task-and-evaluation-protocol"/>
    <w:p>
      <w:pPr>
        <w:pStyle w:val="Heading2"/>
      </w:pPr>
      <w:r>
        <w:t xml:space="preserve">3. Task and Evaluation Protocol</w:t>
      </w:r>
    </w:p>
    <w:bookmarkStart w:id="21" w:name="task-definition"/>
    <w:p>
      <w:pPr>
        <w:pStyle w:val="Heading3"/>
      </w:pPr>
      <w:r>
        <w:t xml:space="preserve">3.1 Task definition</w:t>
      </w:r>
    </w:p>
    <w:p>
      <w:pPr>
        <w:pStyle w:val="FirstParagraph"/>
      </w:pPr>
      <w:r>
        <w:t xml:space="preserve">The task is to identify the primary body colour of the principal car in an image. The</w:t>
      </w:r>
      <w:r>
        <w:t xml:space="preserve"> </w:t>
      </w:r>
      <w:r>
        <w:t xml:space="preserve">canonical labels are black, blue, green, red, white, and yellow, with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reserved</w:t>
      </w:r>
      <w:r>
        <w:t xml:space="preserve"> </w:t>
      </w:r>
      <w:r>
        <w:t xml:space="preserve">for outputs outside the target label set. A response is faithful if the parsed label</w:t>
      </w:r>
      <w:r>
        <w:t xml:space="preserve"> </w:t>
      </w:r>
      <w:r>
        <w:t xml:space="preserve">matches the ground-truth car-body primary colour. A response is conflict-following if</w:t>
      </w:r>
      <w:r>
        <w:t xml:space="preserve"> </w:t>
      </w:r>
      <w:r>
        <w:t xml:space="preserve">the parsed label matches the false colour introduced by the conflict prompt.</w:t>
      </w:r>
    </w:p>
    <w:p>
      <w:pPr>
        <w:pStyle w:val="BodyText"/>
      </w:pPr>
      <w:r>
        <w:t xml:space="preserve">A same-image paired flip occurs when the same model answers the same image faithfully</w:t>
      </w:r>
      <w:r>
        <w:t xml:space="preserve"> </w:t>
      </w:r>
      <w:r>
        <w:t xml:space="preserve">under C0 and follows the false prompt colour under a conflict condition. This definition</w:t>
      </w:r>
      <w:r>
        <w:t xml:space="preserve"> </w:t>
      </w:r>
      <w:r>
        <w:t xml:space="preserve">keeps the interpretation tied to identical visual evidence.</w:t>
      </w:r>
    </w:p>
    <w:bookmarkEnd w:id="21"/>
    <w:bookmarkStart w:id="22" w:name="evaluation-set"/>
    <w:p>
      <w:pPr>
        <w:pStyle w:val="Heading3"/>
      </w:pPr>
      <w:r>
        <w:t xml:space="preserve">3.2 Evaluation set</w:t>
      </w:r>
    </w:p>
    <w:p>
      <w:pPr>
        <w:pStyle w:val="FirstParagraph"/>
      </w:pPr>
      <w:r>
        <w:t xml:space="preserve">The main evaluation set contains 300 real car images, balanced across six true colours</w:t>
      </w:r>
      <w:r>
        <w:t xml:space="preserve"> </w:t>
      </w:r>
      <w:r>
        <w:t xml:space="preserve">with 50 images per class. It combines 93 StanfordCars images and 207 VCoR images</w:t>
      </w:r>
      <w:r>
        <w:t xml:space="preserve"> </w:t>
      </w:r>
      <w:r>
        <w:t xml:space="preserve">[14,15]. Source identity is retained for provenance, sanity checks, and limitations, but</w:t>
      </w:r>
      <w:r>
        <w:t xml:space="preserve"> </w:t>
      </w:r>
      <w:r>
        <w:t xml:space="preserve">it is not a primary experimental factor. Both sources are used as real vehicle-image</w:t>
      </w:r>
      <w:r>
        <w:t xml:space="preserve"> </w:t>
      </w:r>
      <w:r>
        <w:t xml:space="preserve">inputs after cropping.</w:t>
      </w:r>
    </w:p>
    <w:p>
      <w:pPr>
        <w:pStyle w:val="BodyText"/>
      </w:pPr>
      <w:r>
        <w:rPr>
          <w:b/>
          <w:bCs/>
        </w:rPr>
        <w:t xml:space="preserve">Table 1. Evaluation set composition.</w:t>
      </w:r>
      <w:r>
        <w:t xml:space="preserve"> </w:t>
      </w:r>
      <w:r>
        <w:t xml:space="preserve">The main evaluation set contains 300 images balanced across six true colours. Source identity is retained for provenance and sanity checks, not as a primary comparison axis.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True colour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StanfordCars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bookmarkEnd w:id="22"/>
    <w:bookmarkStart w:id="23" w:name="models"/>
    <w:p>
      <w:pPr>
        <w:pStyle w:val="Heading3"/>
      </w:pPr>
      <w:r>
        <w:t xml:space="preserve">3.3 Models</w:t>
      </w:r>
    </w:p>
    <w:p>
      <w:pPr>
        <w:pStyle w:val="FirstParagraph"/>
      </w:pPr>
      <w:r>
        <w:t xml:space="preserve">The evaluated checkpoints are LLaVA-1.5-7B, Qwen2-VL-7B-Instruct, and InternVL2-8B.</w:t>
      </w:r>
      <w:r>
        <w:t xml:space="preserve"> </w:t>
      </w:r>
      <w:r>
        <w:t xml:space="preserve">These citations identify the model families and reports, but they are not evidence for</w:t>
      </w:r>
      <w:r>
        <w:t xml:space="preserve"> </w:t>
      </w:r>
      <w:r>
        <w:t xml:space="preserve">the robustness claims in this paper [4,5,16-18]. The comparison is local to these</w:t>
      </w:r>
      <w:r>
        <w:t xml:space="preserve"> </w:t>
      </w:r>
      <w:r>
        <w:t xml:space="preserve">checkpoints, prompts, and images.</w:t>
      </w:r>
    </w:p>
    <w:bookmarkEnd w:id="23"/>
    <w:bookmarkStart w:id="24" w:name="prompt-conditions-and-metrics"/>
    <w:p>
      <w:pPr>
        <w:pStyle w:val="Heading3"/>
      </w:pPr>
      <w:r>
        <w:t xml:space="preserve">3.4 Prompt conditions and metrics</w:t>
      </w:r>
    </w:p>
    <w:p>
      <w:pPr>
        <w:pStyle w:val="FirstParagraph"/>
      </w:pPr>
      <w:r>
        <w:t xml:space="preserve">The primary protocol uses one neutral condition, C0, and four single-turn conflict</w:t>
      </w:r>
      <w:r>
        <w:t xml:space="preserve"> </w:t>
      </w:r>
      <w:r>
        <w:t xml:space="preserve">conditions, C1-C4. C0 asks for the car-body primary colour without a false cue. C1-C4</w:t>
      </w:r>
      <w:r>
        <w:t xml:space="preserve"> </w:t>
      </w:r>
      <w:r>
        <w:t xml:space="preserve">introduce erroneous colour information with different wording strengths and frames. Each</w:t>
      </w:r>
      <w:r>
        <w:t xml:space="preserve"> </w:t>
      </w:r>
      <w:r>
        <w:t xml:space="preserve">model is evaluated on the same 300 images in every condition.</w:t>
      </w:r>
    </w:p>
    <w:p>
      <w:pPr>
        <w:pStyle w:val="BodyText"/>
      </w:pPr>
      <w:r>
        <w:rPr>
          <w:b/>
          <w:bCs/>
        </w:rPr>
        <w:t xml:space="preserve">Table 2. Prompt condition roles.</w:t>
      </w:r>
      <w:r>
        <w:t xml:space="preserve"> </w:t>
      </w:r>
      <w:r>
        <w:t xml:space="preserve">C0 is the neutral reference condition. C1-C4 introduce erroneous colour information with increasing or different forms of textual conflict; full prompt text is reserved for supplementary material.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2"/>
        <w:gridCol w:w="1667"/>
        <w:gridCol w:w="3566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False-text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false colour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faithful visual colour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Low-strength erroneous colour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weak textual 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prompt with a false colour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direct false-text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Presupposition, correction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colour embedded as a presupposition while correction remains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conflict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open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or stronger false-colour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stronger conflict condition</w:t>
            </w:r>
          </w:p>
        </w:tc>
      </w:tr>
    </w:tbl>
    <w:bookmarkEnd w:id="24"/>
    <w:bookmarkEnd w:id="25"/>
    <w:bookmarkStart w:id="42" w:name="results"/>
    <w:p>
      <w:pPr>
        <w:pStyle w:val="Heading2"/>
      </w:pPr>
      <w:r>
        <w:t xml:space="preserve">4. Results</w:t>
      </w:r>
    </w:p>
    <w:bookmarkStart w:id="26" w:name="Xd4754902de237fb40e9c75d1ba3e7b01ef36327"/>
    <w:p>
      <w:pPr>
        <w:pStyle w:val="Heading3"/>
      </w:pPr>
      <w:r>
        <w:t xml:space="preserve">4.1 Neutral prompting established a stable visual baseline</w:t>
      </w:r>
    </w:p>
    <w:p>
      <w:pPr>
        <w:pStyle w:val="FirstParagraph"/>
      </w:pPr>
      <w:r>
        <w:t xml:space="preserve">All three models answered all 300 images faithfully under C0. For LLaVA-1.5-7B,</w:t>
      </w:r>
      <w:r>
        <w:t xml:space="preserve"> </w:t>
      </w:r>
      <w:r>
        <w:t xml:space="preserve">Qwen2-VL-7B-Instruct, and InternVL2-8B, the C0 results were faithful = 300/300 and</w:t>
      </w:r>
      <w:r>
        <w:t xml:space="preserve"> </w:t>
      </w:r>
      <w:r>
        <w:t xml:space="preserve">conflict_aligned = 0/300. The main C0-C4 table also contained no refusals, parse errors,</w:t>
      </w:r>
      <w:r>
        <w:t xml:space="preserve"> </w:t>
      </w:r>
      <w:r>
        <w:t xml:space="preserve">or other-wrong outputs. Thus, the primary task was not dominated by neutral-prompt</w:t>
      </w:r>
      <w:r>
        <w:t xml:space="preserve"> </w:t>
      </w:r>
      <w:r>
        <w:t xml:space="preserve">colour-recognition failure.</w:t>
      </w:r>
    </w:p>
    <w:p>
      <w:pPr>
        <w:pStyle w:val="BodyText"/>
      </w:pPr>
      <w:r>
        <w:rPr>
          <w:b/>
          <w:bCs/>
        </w:rPr>
        <w:t xml:space="preserve">Table 3. Main C0-C4 metrics.</w:t>
      </w:r>
      <w:r>
        <w:t xml:space="preserve"> </w:t>
      </w:r>
      <w:r>
        <w:t xml:space="preserve">Values are counts out of 300 with percentages and 95% confidence intervals in brackets. Asterisks and daggers follow the locked source table and mark the primary LLaVA C3/C4 findings.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9"/>
        <w:gridCol w:w="927"/>
        <w:gridCol w:w="356"/>
        <w:gridCol w:w="242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False-colour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3/300 (1.00% [0.34%, 2.90%])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297/300 (99.00% [97.10%, 99.66%])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27/300 (9.00% [6.26%, 12.78%])*†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273/300 (91.00% [87.22%, 93.74%])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LLaVA-1.5-7B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10/300 (3.33% [1.82%, 6.03%])*†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290/300 (96.67% [93.97%, 98.18%])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Qwen2-VL-7B-Instruct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1/300 (0.33% [0.06%, 1.86%])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299/300 (99.67% [98.14%, 99.94%])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0/300 (0.00% [0.00%, 1.26%])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300/300 (100.00% [98.74%, 100.00%])</w:t>
            </w:r>
          </w:p>
        </w:tc>
      </w:tr>
    </w:tbl>
    <w:bookmarkEnd w:id="26"/>
    <w:bookmarkStart w:id="30" w:name="X559092dc33149abda0a5dac5965ed2fbbcd0b0d"/>
    <w:p>
      <w:pPr>
        <w:pStyle w:val="Heading3"/>
      </w:pPr>
      <w:r>
        <w:t xml:space="preserve">4.2 Primary conflict prompts produced a limited LLaVA-specific shift</w:t>
      </w:r>
    </w:p>
    <w:p>
      <w:pPr>
        <w:pStyle w:val="FirstParagraph"/>
      </w:pPr>
      <w:r>
        <w:t xml:space="preserve">Most conflict-condition outputs remained visually faithful. Qwen2-VL-7B-Instruct</w:t>
      </w:r>
      <w:r>
        <w:t xml:space="preserve"> </w:t>
      </w:r>
      <w:r>
        <w:t xml:space="preserve">produced no conflict-following outputs in C1 or C2 and one in each of C3 and C4.</w:t>
      </w:r>
      <w:r>
        <w:t xml:space="preserve"> </w:t>
      </w:r>
      <w:r>
        <w:t xml:space="preserve">InternVL2-8B produced none across C0-C4. LLaVA-1.5-7B was the only model with a clear</w:t>
      </w:r>
      <w:r>
        <w:t xml:space="preserve"> </w:t>
      </w:r>
      <w:r>
        <w:t xml:space="preserve">primary shift: 1/300 in C1, 3/300 in C2, 27/300 in C3, and 10/300 in C4.</w:t>
      </w:r>
    </w:p>
    <w:p>
      <w:pPr>
        <w:pStyle w:val="BodyText"/>
      </w:pPr>
      <w:r>
        <w:t xml:space="preserve">The LLaVA C3 rate was 9.00% with a 95% confidence interval of 6.26-12.78%. The C4 rate</w:t>
      </w:r>
      <w:r>
        <w:t xml:space="preserve"> </w:t>
      </w:r>
      <w:r>
        <w:t xml:space="preserve">was 3.33% with a 95% confidence interval of 1.82-6.03%. The C3 and C4 increases were</w:t>
      </w:r>
      <w:r>
        <w:t xml:space="preserve"> </w:t>
      </w:r>
      <w:r>
        <w:t xml:space="preserve">significant in paired tests against C0 and in matched-image comparisons against the</w:t>
      </w:r>
      <w:r>
        <w:t xml:space="preserve"> </w:t>
      </w:r>
      <w:r>
        <w:t xml:space="preserve">stable models.</w:t>
      </w:r>
    </w:p>
    <w:p>
      <w:pPr>
        <w:pStyle w:val="BodyText"/>
      </w:pPr>
      <w:r>
        <w:drawing>
          <wp:inline>
            <wp:extent cx="3984280" cy="27935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figure2_main_conflict_rat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80" cy="279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Primary C0-C4 conflict-following rates.</w:t>
      </w:r>
      <w:r>
        <w:t xml:space="preserve"> </w:t>
      </w:r>
      <w:r>
        <w:t xml:space="preserve">Points show false-colour-aligned</w:t>
      </w:r>
      <w:r>
        <w:t xml:space="preserve"> </w:t>
      </w:r>
      <w:r>
        <w:t xml:space="preserve">output rates for each model-condition cell with Wilson confidence intervals. Non-zero</w:t>
      </w:r>
      <w:r>
        <w:t xml:space="preserve"> </w:t>
      </w:r>
      <w:r>
        <w:t xml:space="preserve">labels mark counts out of 300.</w:t>
      </w:r>
    </w:p>
    <w:bookmarkEnd w:id="30"/>
    <w:bookmarkStart w:id="34" w:name="paired-flips-narrowed-the-attribution"/>
    <w:p>
      <w:pPr>
        <w:pStyle w:val="Heading3"/>
      </w:pPr>
      <w:r>
        <w:t xml:space="preserve">4.3 Paired flips narrowed the attribution</w:t>
      </w:r>
    </w:p>
    <w:p>
      <w:pPr>
        <w:pStyle w:val="FirstParagraph"/>
      </w:pPr>
      <w:r>
        <w:t xml:space="preserve">Because all conditions used the same images and all C0 outputs were faithful, the LLaVA</w:t>
      </w:r>
      <w:r>
        <w:t xml:space="preserve"> </w:t>
      </w:r>
      <w:r>
        <w:t xml:space="preserve">C3 and C4 conflict-following outputs can be written as same-image paired flips. LLaVA</w:t>
      </w:r>
      <w:r>
        <w:t xml:space="preserve"> </w:t>
      </w:r>
      <w:r>
        <w:t xml:space="preserve">had 27/300 faithful-to-conflict flips in C3 and 10/300 in C4. These correspond to</w:t>
      </w:r>
      <w:r>
        <w:t xml:space="preserve"> </w:t>
      </w:r>
      <w:r>
        <w:t xml:space="preserve">faithful retention rates of 91.00% and 96.67%. Qwen2-VL-7B-Instruct had one such flip</w:t>
      </w:r>
      <w:r>
        <w:t xml:space="preserve"> </w:t>
      </w:r>
      <w:r>
        <w:t xml:space="preserve">in each of C3 and C4. InternVL2-8B had none across C1-C4.</w:t>
      </w:r>
    </w:p>
    <w:p>
      <w:pPr>
        <w:pStyle w:val="BodyText"/>
      </w:pPr>
      <w:r>
        <w:t xml:space="preserve">This paired interpretation is stronger than a condition-level rate alone. It does not</w:t>
      </w:r>
      <w:r>
        <w:t xml:space="preserve"> </w:t>
      </w:r>
      <w:r>
        <w:t xml:space="preserve">identify a general causal mechanism. It does, however, remove an important source of</w:t>
      </w:r>
      <w:r>
        <w:t xml:space="preserve"> </w:t>
      </w:r>
      <w:r>
        <w:t xml:space="preserve">cross-sample ambiguity: each changed answer is tied to the same image under a changed</w:t>
      </w:r>
      <w:r>
        <w:t xml:space="preserve"> </w:t>
      </w:r>
      <w:r>
        <w:t xml:space="preserve">prompt.</w:t>
      </w:r>
    </w:p>
    <w:p>
      <w:pPr>
        <w:pStyle w:val="BodyText"/>
      </w:pPr>
      <w:r>
        <w:drawing>
          <wp:inline>
            <wp:extent cx="4732287" cy="29782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figure3_paired_flip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287" cy="2978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Same-image paired faithful-to-conflict flips.</w:t>
      </w:r>
      <w:r>
        <w:t xml:space="preserve"> </w:t>
      </w:r>
      <w:r>
        <w:t xml:space="preserve">Bars show the number of</w:t>
      </w:r>
      <w:r>
        <w:t xml:space="preserve"> </w:t>
      </w:r>
      <w:r>
        <w:t xml:space="preserve">images for which a model is faithful under C0 and false-colour-aligned under C1-C4.</w:t>
      </w:r>
    </w:p>
    <w:bookmarkEnd w:id="34"/>
    <w:bookmarkStart w:id="35" w:name="Xf1b91d66c6ab45192a19d2b4a082d724205f20c"/>
    <w:p>
      <w:pPr>
        <w:pStyle w:val="Heading3"/>
      </w:pPr>
      <w:r>
        <w:t xml:space="preserve">4.4 Auxiliary diagnostics showed stronger compliance under stronger constraints</w:t>
      </w:r>
    </w:p>
    <w:p>
      <w:pPr>
        <w:pStyle w:val="FirstParagraph"/>
      </w:pPr>
      <w:r>
        <w:t xml:space="preserve">A1/A2 were retained as auxiliary diagnostics rather than primary evidence. A1 restricts</w:t>
      </w:r>
      <w:r>
        <w:t xml:space="preserve"> </w:t>
      </w:r>
      <w:r>
        <w:t xml:space="preserve">the answer space toward the false-colour family. A2 asks the model to operate under a</w:t>
      </w:r>
      <w:r>
        <w:t xml:space="preserve"> </w:t>
      </w:r>
      <w:r>
        <w:t xml:space="preserve">counterfactual false-colour assumption. These conditions produced much higher compliance</w:t>
      </w:r>
      <w:r>
        <w:t xml:space="preserve"> </w:t>
      </w:r>
      <w:r>
        <w:t xml:space="preserve">rates. Qwen2-VL-7B-Instruct reached 55.67% in A1 and 90.67% in A2. LLaVA-1.5-7B</w:t>
      </w:r>
      <w:r>
        <w:t xml:space="preserve"> </w:t>
      </w:r>
      <w:r>
        <w:t xml:space="preserve">reached 85.33% in A1 and 100.00% in A2. InternVL2-8B reached 73.67% in A1 and 100.00%</w:t>
      </w:r>
      <w:r>
        <w:t xml:space="preserve"> </w:t>
      </w:r>
      <w:r>
        <w:t xml:space="preserve">in A2.</w:t>
      </w:r>
    </w:p>
    <w:p>
      <w:pPr>
        <w:pStyle w:val="BodyText"/>
      </w:pPr>
      <w:r>
        <w:t xml:space="preserve">These stress tests show that stronger answer-space constraints and counterfactual</w:t>
      </w:r>
      <w:r>
        <w:t xml:space="preserve"> </w:t>
      </w:r>
      <w:r>
        <w:t xml:space="preserve">assumptions can push all tested models toward the false colour family. They do not</w:t>
      </w:r>
      <w:r>
        <w:t xml:space="preserve"> </w:t>
      </w:r>
      <w:r>
        <w:t xml:space="preserve">replace the open-answer C0-C4 evidence, because they change the task assumption and</w:t>
      </w:r>
      <w:r>
        <w:t xml:space="preserve"> </w:t>
      </w:r>
      <w:r>
        <w:t xml:space="preserve">response space.</w:t>
      </w:r>
    </w:p>
    <w:bookmarkEnd w:id="35"/>
    <w:bookmarkStart w:id="39" w:name="Xb65aea865acc882181b05acea90af3c1bf3c8b9"/>
    <w:p>
      <w:pPr>
        <w:pStyle w:val="Heading3"/>
      </w:pPr>
      <w:r>
        <w:t xml:space="preserve">4.5 Controlled diagnostics bounded the main claim</w:t>
      </w:r>
    </w:p>
    <w:p>
      <w:pPr>
        <w:pStyle w:val="FirstParagraph"/>
      </w:pPr>
      <w:r>
        <w:t xml:space="preserve">Controlled diagnostics showed that the LLaVA C3/C4 observation was conditional rather</w:t>
      </w:r>
      <w:r>
        <w:t xml:space="preserve"> </w:t>
      </w:r>
      <w:r>
        <w:t xml:space="preserve">than stable across prompt variants. First, C3 wording robustness weakened the effect:</w:t>
      </w:r>
      <w:r>
        <w:t xml:space="preserve"> </w:t>
      </w:r>
      <w:r>
        <w:t xml:space="preserve">LLaVA dropped from 27/300 under canonical C3 to 5/300 under C3-v2 and 0/300 under C3-v3.</w:t>
      </w:r>
      <w:r>
        <w:t xml:space="preserve"> </w:t>
      </w:r>
      <w:r>
        <w:t xml:space="preserve">The wording variants no longer showed Holm-significant LLaVA-versus-stable-model</w:t>
      </w:r>
      <w:r>
        <w:t xml:space="preserve"> </w:t>
      </w:r>
      <w:r>
        <w:t xml:space="preserve">differences.</w:t>
      </w:r>
    </w:p>
    <w:p>
      <w:pPr>
        <w:pStyle w:val="BodyText"/>
      </w:pPr>
      <w:r>
        <w:t xml:space="preserve">Second, the effect was not uniform across colours. Among LLaVA’s 27 C3 flips, 20 were</w:t>
      </w:r>
      <w:r>
        <w:t xml:space="preserve"> </w:t>
      </w:r>
      <w:r>
        <w:t xml:space="preserve">white-to-black, 3 were black-to-white, and 4 were blue-to-red. C4 was also concentrated</w:t>
      </w:r>
      <w:r>
        <w:t xml:space="preserve"> </w:t>
      </w:r>
      <w:r>
        <w:t xml:space="preserve">in the white-to-black route, with 8/10 flips in that route and 2/10 in black-to-white.</w:t>
      </w:r>
      <w:r>
        <w:t xml:space="preserve"> </w:t>
      </w:r>
      <w:r>
        <w:t xml:space="preserve">Thus, the 9.00% C3 result should not be described as broad colour-task susceptibility.</w:t>
      </w:r>
    </w:p>
    <w:p>
      <w:pPr>
        <w:pStyle w:val="BodyText"/>
      </w:pPr>
      <w:r>
        <w:t xml:space="preserve">Third, answer format changed the observed rate. For LLaVA-1.5-7B, canonical C3 was</w:t>
      </w:r>
      <w:r>
        <w:t xml:space="preserve"> </w:t>
      </w:r>
      <w:r>
        <w:t xml:space="preserve">larger than matched free-answer C3 at 7/300, multiple-choice C3 at 4/300, and yes/no</w:t>
      </w:r>
      <w:r>
        <w:t xml:space="preserve"> </w:t>
      </w:r>
      <w:r>
        <w:t xml:space="preserve">false-claim probing at 4/300. Fourth, prompt factorization showed that false text was</w:t>
      </w:r>
      <w:r>
        <w:t xml:space="preserve"> </w:t>
      </w:r>
      <w:r>
        <w:t xml:space="preserve">not a single intervention. Quoted claims and indirect hints remained weak, whereas</w:t>
      </w:r>
      <w:r>
        <w:t xml:space="preserve"> </w:t>
      </w:r>
      <w:r>
        <w:t xml:space="preserve">title/prefix framing and no-correction presupposition could be much stronger, including</w:t>
      </w:r>
      <w:r>
        <w:t xml:space="preserve"> </w:t>
      </w:r>
      <w:r>
        <w:t xml:space="preserve">for Qwen and InternVL2.</w:t>
      </w:r>
    </w:p>
    <w:p>
      <w:pPr>
        <w:pStyle w:val="BodyText"/>
      </w:pPr>
      <w:r>
        <w:drawing>
          <wp:inline>
            <wp:extent cx="5334000" cy="398906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figure4_boundary_diagnostic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Boundary diagnostics for the primary LLaVA shift.</w:t>
      </w:r>
      <w:r>
        <w:t xml:space="preserve"> </w:t>
      </w:r>
      <w:r>
        <w:t xml:space="preserve">Panels summarise C3</w:t>
      </w:r>
      <w:r>
        <w:t xml:space="preserve"> </w:t>
      </w:r>
      <w:r>
        <w:t xml:space="preserve">wording robustness, answer-format controls, colour-pair concentration, and</w:t>
      </w:r>
      <w:r>
        <w:t xml:space="preserve"> </w:t>
      </w:r>
      <w:r>
        <w:t xml:space="preserve">factorized-prompt effects. This figure bounds the primary claim rather than replacing</w:t>
      </w:r>
      <w:r>
        <w:t xml:space="preserve"> </w:t>
      </w:r>
      <w:r>
        <w:t xml:space="preserve">it.</w:t>
      </w:r>
    </w:p>
    <w:bookmarkEnd w:id="39"/>
    <w:bookmarkStart w:id="40" w:name="X7a3fb397faf82b760f4dc397e41ea77224a101e"/>
    <w:p>
      <w:pPr>
        <w:pStyle w:val="Heading3"/>
      </w:pPr>
      <w:r>
        <w:t xml:space="preserve">4.6 Validity checks reduced several alternative explanations</w:t>
      </w:r>
    </w:p>
    <w:p>
      <w:pPr>
        <w:pStyle w:val="FirstParagraph"/>
      </w:pPr>
      <w:r>
        <w:t xml:space="preserve">The parser audit reduced the risk that conflict-following counts were inflated by</w:t>
      </w:r>
      <w:r>
        <w:t xml:space="preserve"> </w:t>
      </w:r>
      <w:r>
        <w:t xml:space="preserve">fragile label mapping. In the primary C0-C4 experiment, all 4500 rows parsed</w:t>
      </w:r>
      <w:r>
        <w:t xml:space="preserve"> </w:t>
      </w:r>
      <w:r>
        <w:t xml:space="preserve">successfully and stayed within the base single-label regime. Source-stratified checks</w:t>
      </w:r>
      <w:r>
        <w:t xml:space="preserve"> </w:t>
      </w:r>
      <w:r>
        <w:t xml:space="preserve">reduced the concern that the main pattern was confined to one source subset. Under C0,</w:t>
      </w:r>
      <w:r>
        <w:t xml:space="preserve"> </w:t>
      </w:r>
      <w:r>
        <w:t xml:space="preserve">all three models were faithful in both StanfordCars and VCoR. Under C3, LLaVA</w:t>
      </w:r>
      <w:r>
        <w:t xml:space="preserve"> </w:t>
      </w:r>
      <w:r>
        <w:t xml:space="preserve">conflict-following appeared in both source groups, with 13/93 in StanfordCars and</w:t>
      </w:r>
      <w:r>
        <w:t xml:space="preserve"> </w:t>
      </w:r>
      <w:r>
        <w:t xml:space="preserve">14/207 in VCoR. This check supports source robustness as a sanity check, not as a</w:t>
      </w:r>
      <w:r>
        <w:t xml:space="preserve"> </w:t>
      </w:r>
      <w:r>
        <w:t xml:space="preserve">source-generalisation benchmark.</w:t>
      </w:r>
    </w:p>
    <w:p>
      <w:pPr>
        <w:pStyle w:val="BodyText"/>
      </w:pPr>
      <w:r>
        <w:t xml:space="preserve">The visual clarity audit reviewed 42 target flip rows and 42 matched faithful controls.</w:t>
      </w:r>
      <w:r>
        <w:t xml:space="preserve"> </w:t>
      </w:r>
      <w:r>
        <w:t xml:space="preserve">Most target rows were visually inspectable, with 38/42 clear compared with 39/42</w:t>
      </w:r>
      <w:r>
        <w:t xml:space="preserve"> </w:t>
      </w:r>
      <w:r>
        <w:t xml:space="preserve">controls. This weakens a global difficult-image explanation. However, visual confound</w:t>
      </w:r>
      <w:r>
        <w:t xml:space="preserve"> </w:t>
      </w:r>
      <w:r>
        <w:t xml:space="preserve">flags were more frequent among target rows than controls, at 11/42 versus 4/42.</w:t>
      </w:r>
      <w:r>
        <w:t xml:space="preserve"> </w:t>
      </w:r>
      <w:r>
        <w:t xml:space="preserve">Reflections, lighting, background colour, and multi-car interference remain plausible</w:t>
      </w:r>
      <w:r>
        <w:t xml:space="preserve"> </w:t>
      </w:r>
      <w:r>
        <w:t xml:space="preserve">local factors. Finally, the reproducibility audit reports that all locked experimental</w:t>
      </w:r>
      <w:r>
        <w:t xml:space="preserve"> </w:t>
      </w:r>
      <w:r>
        <w:t xml:space="preserve">artifacts match the snapshot, with only a non-blocking writing-facing summary</w:t>
      </w:r>
      <w:r>
        <w:t xml:space="preserve"> </w:t>
      </w:r>
      <w:r>
        <w:t xml:space="preserve">difference.</w:t>
      </w:r>
    </w:p>
    <w:bookmarkEnd w:id="40"/>
    <w:bookmarkStart w:id="41" w:name="X115a4772a3d2529d589de1999b3a185c1910969"/>
    <w:p>
      <w:pPr>
        <w:pStyle w:val="Heading3"/>
      </w:pPr>
      <w:r>
        <w:t xml:space="preserve">4.7 Multi-turn diagnostics identified a separate interaction regime</w:t>
      </w:r>
    </w:p>
    <w:p>
      <w:pPr>
        <w:pStyle w:val="FirstParagraph"/>
      </w:pPr>
      <w:r>
        <w:t xml:space="preserve">The multi-turn diagnostic tested a different interaction regime and is not part of the</w:t>
      </w:r>
      <w:r>
        <w:t xml:space="preserve"> </w:t>
      </w:r>
      <w:r>
        <w:t xml:space="preserve">primary single-turn evidence chain. LLaVA and Qwen remained near zero in the tested</w:t>
      </w:r>
      <w:r>
        <w:t xml:space="preserve"> </w:t>
      </w:r>
      <w:r>
        <w:t xml:space="preserve">multi-turn conditions, while InternVL2 rose to 21.33% in MT2 and 74.67% in MT3. This</w:t>
      </w:r>
      <w:r>
        <w:t xml:space="preserve"> </w:t>
      </w:r>
      <w:r>
        <w:t xml:space="preserve">shows that repeated dialogue context can create a strong model-specific vulnerability.</w:t>
      </w:r>
      <w:r>
        <w:t xml:space="preserve"> </w:t>
      </w:r>
      <w:r>
        <w:t xml:space="preserve">It should not be used to reinterpret the single-turn C0-C4 result.</w:t>
      </w:r>
    </w:p>
    <w:bookmarkEnd w:id="41"/>
    <w:bookmarkEnd w:id="42"/>
    <w:bookmarkStart w:id="46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The central finding is a local paired observation. In a controlled car-body colour task,</w:t>
      </w:r>
      <w:r>
        <w:t xml:space="preserve"> </w:t>
      </w:r>
      <w:r>
        <w:t xml:space="preserve">all three models were fully faithful under neutral prompting, and most conflict-condition</w:t>
      </w:r>
      <w:r>
        <w:t xml:space="preserve"> </w:t>
      </w:r>
      <w:r>
        <w:t xml:space="preserve">outputs remained faithful. Within the primary single-turn prompt family, LLaVA-1.5-7B</w:t>
      </w:r>
      <w:r>
        <w:t xml:space="preserve"> </w:t>
      </w:r>
      <w:r>
        <w:t xml:space="preserve">showed limited same-image conflict-following under canonical C3 and C4. The paired</w:t>
      </w:r>
      <w:r>
        <w:t xml:space="preserve"> </w:t>
      </w:r>
      <w:r>
        <w:t xml:space="preserve">design makes this observation more interpretable than an unpaired aggregate comparison,</w:t>
      </w:r>
      <w:r>
        <w:t xml:space="preserve"> </w:t>
      </w:r>
      <w:r>
        <w:t xml:space="preserve">because each flip is tied to identical visual evidence.</w:t>
      </w:r>
    </w:p>
    <w:p>
      <w:pPr>
        <w:pStyle w:val="BodyText"/>
      </w:pPr>
      <w:r>
        <w:t xml:space="preserve">The finding should not be generalised beyond this evidence. The C3 shift weakened under</w:t>
      </w:r>
      <w:r>
        <w:t xml:space="preserve"> </w:t>
      </w:r>
      <w:r>
        <w:t xml:space="preserve">semantically related rewrites, shrank under alternative answer formats, and concentrated</w:t>
      </w:r>
      <w:r>
        <w:t xml:space="preserve"> </w:t>
      </w:r>
      <w:r>
        <w:t xml:space="preserve">in a small set of colour routes. These patterns suggest that prompt surface form and</w:t>
      </w:r>
      <w:r>
        <w:t xml:space="preserve"> </w:t>
      </w:r>
      <w:r>
        <w:t xml:space="preserve">colour-pair structure are part of the measured phenomenon. The study therefore supports</w:t>
      </w:r>
      <w:r>
        <w:t xml:space="preserve"> </w:t>
      </w:r>
      <w:r>
        <w:t xml:space="preserve">a bounded behavioural account rather than a stable cross-template law.</w:t>
      </w:r>
    </w:p>
    <w:p>
      <w:pPr>
        <w:pStyle w:val="BodyText"/>
      </w:pPr>
      <w:r>
        <w:t xml:space="preserve">The stable C0-C4 behaviour of Qwen2-VL-7B-Instruct and InternVL2-8B is also local. It</w:t>
      </w:r>
      <w:r>
        <w:t xml:space="preserve"> </w:t>
      </w:r>
      <w:r>
        <w:t xml:space="preserve">supports the statement that these two models were essentially stable in the present</w:t>
      </w:r>
      <w:r>
        <w:t xml:space="preserve"> </w:t>
      </w:r>
      <w:r>
        <w:t xml:space="preserve">primary template family. It does not imply global robustness to all misleading-text</w:t>
      </w:r>
      <w:r>
        <w:t xml:space="preserve"> </w:t>
      </w:r>
      <w:r>
        <w:t xml:space="preserve">designs. Factorized prompts and multi-turn diagnostics show that their behaviour can</w:t>
      </w:r>
      <w:r>
        <w:t xml:space="preserve"> </w:t>
      </w:r>
      <w:r>
        <w:t xml:space="preserve">change when the false-text form or interaction regime changes.</w:t>
      </w:r>
    </w:p>
    <w:p>
      <w:pPr>
        <w:pStyle w:val="BodyText"/>
      </w:pPr>
      <w:r>
        <w:drawing>
          <wp:inline>
            <wp:extent cx="5334000" cy="263703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claim_boundary_summar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Claim-boundary guide. Supported, bounded, and not claimed.</w:t>
      </w:r>
      <w:r>
        <w:t xml:space="preserve"> </w:t>
      </w:r>
      <w:r>
        <w:t xml:space="preserve">This guide restates the</w:t>
      </w:r>
      <w:r>
        <w:t xml:space="preserve"> </w:t>
      </w:r>
      <w:r>
        <w:t xml:space="preserve">interpretive boundary of the study: C0 faithfulness and LLaVA C3/C4 paired shifts are</w:t>
      </w:r>
      <w:r>
        <w:t xml:space="preserve"> </w:t>
      </w:r>
      <w:r>
        <w:t xml:space="preserve">supported, prompt and colour-pair dependence bound the conclusion, and the evidence does</w:t>
      </w:r>
      <w:r>
        <w:t xml:space="preserve"> </w:t>
      </w:r>
      <w:r>
        <w:t xml:space="preserve">not support a general text-over-vision claim.</w:t>
      </w:r>
    </w:p>
    <w:p>
      <w:pPr>
        <w:pStyle w:val="BodyText"/>
      </w:pPr>
      <w:r>
        <w:t xml:space="preserve">The main value of the study is methodological as much as numerical. It separates the</w:t>
      </w:r>
      <w:r>
        <w:t xml:space="preserve"> </w:t>
      </w:r>
      <w:r>
        <w:t xml:space="preserve">primary paired evidence chain from auxiliary stress tests, controlled diagnostics,</w:t>
      </w:r>
      <w:r>
        <w:t xml:space="preserve"> </w:t>
      </w:r>
      <w:r>
        <w:t xml:space="preserve">validity checks, and extension diagnostics. This separation gives reviewers a clearer</w:t>
      </w:r>
      <w:r>
        <w:t xml:space="preserve"> </w:t>
      </w:r>
      <w:r>
        <w:t xml:space="preserve">way to judge what the evidence supports and where it stops.</w:t>
      </w:r>
    </w:p>
    <w:bookmarkEnd w:id="46"/>
    <w:bookmarkStart w:id="47" w:name="limitations"/>
    <w:p>
      <w:pPr>
        <w:pStyle w:val="Heading2"/>
      </w:pPr>
      <w:r>
        <w:t xml:space="preserve">6. Limitations</w:t>
      </w:r>
    </w:p>
    <w:p>
      <w:pPr>
        <w:pStyle w:val="FirstParagraph"/>
      </w:pPr>
      <w:r>
        <w:t xml:space="preserve">The task scope is intentionally narrow. The results concern primary car-body colour</w:t>
      </w:r>
      <w:r>
        <w:t xml:space="preserve"> </w:t>
      </w:r>
      <w:r>
        <w:t xml:space="preserve">recognition on a mixed-source 300-image evaluation set. They do not evaluate broad</w:t>
      </w:r>
      <w:r>
        <w:t xml:space="preserve"> </w:t>
      </w:r>
      <w:r>
        <w:t xml:space="preserve">multimodal understanding, multi-object reasoning, object relations, fine-grained vehicle</w:t>
      </w:r>
      <w:r>
        <w:t xml:space="preserve"> </w:t>
      </w:r>
      <w:r>
        <w:t xml:space="preserve">recognition, or deployment robustness.</w:t>
      </w:r>
    </w:p>
    <w:p>
      <w:pPr>
        <w:pStyle w:val="BodyText"/>
      </w:pPr>
      <w:r>
        <w:t xml:space="preserve">The model scope is limited to three checkpoints. Cross-model differences should be read</w:t>
      </w:r>
      <w:r>
        <w:t xml:space="preserve"> </w:t>
      </w:r>
      <w:r>
        <w:t xml:space="preserve">as local behavioural contrasts under the current protocol, not as architecture-level or</w:t>
      </w:r>
      <w:r>
        <w:t xml:space="preserve"> </w:t>
      </w:r>
      <w:r>
        <w:t xml:space="preserve">scale-level conclusions.</w:t>
      </w:r>
    </w:p>
    <w:p>
      <w:pPr>
        <w:pStyle w:val="BodyText"/>
      </w:pPr>
      <w:r>
        <w:t xml:space="preserve">The prompt scope is also limited. The clearest result occurs under canonical C3 and,</w:t>
      </w:r>
      <w:r>
        <w:t xml:space="preserve"> </w:t>
      </w:r>
      <w:r>
        <w:t xml:space="preserve">secondarily, C4. Wording, answer format, and prompt factorization changed the observed</w:t>
      </w:r>
      <w:r>
        <w:t xml:space="preserve"> </w:t>
      </w:r>
      <w:r>
        <w:t xml:space="preserve">rates. Larger prompt families are needed before any false-text effect can be treated as</w:t>
      </w:r>
      <w:r>
        <w:t xml:space="preserve"> </w:t>
      </w:r>
      <w:r>
        <w:t xml:space="preserve">stable.</w:t>
      </w:r>
    </w:p>
    <w:p>
      <w:pPr>
        <w:pStyle w:val="BodyText"/>
      </w:pPr>
      <w:r>
        <w:t xml:space="preserve">The visual clarity audit reduced but did not eliminate visual-confusion explanations.</w:t>
      </w:r>
      <w:r>
        <w:t xml:space="preserve"> </w:t>
      </w:r>
      <w:r>
        <w:t xml:space="preserve">Target flip rows were mostly inspectable, but local confounds were more common among</w:t>
      </w:r>
      <w:r>
        <w:t xml:space="preserve"> </w:t>
      </w:r>
      <w:r>
        <w:t xml:space="preserve">flips than controls. The current evidence supports a text-related shift in specific</w:t>
      </w:r>
      <w:r>
        <w:t xml:space="preserve"> </w:t>
      </w:r>
      <w:r>
        <w:t xml:space="preserve">cases. It does not show that every flip is free of visual ambiguity.</w:t>
      </w:r>
    </w:p>
    <w:p>
      <w:pPr>
        <w:pStyle w:val="BodyText"/>
      </w:pPr>
      <w:r>
        <w:t xml:space="preserve">The evaluation set is also modest in size. The balanced design helps isolate paired</w:t>
      </w:r>
      <w:r>
        <w:t xml:space="preserve"> </w:t>
      </w:r>
      <w:r>
        <w:t xml:space="preserve">prompt effects, but it cannot estimate performance across all vehicle domains, camera</w:t>
      </w:r>
      <w:r>
        <w:t xml:space="preserve"> </w:t>
      </w:r>
      <w:r>
        <w:t xml:space="preserve">conditions, or colour distributions. Larger preregistered image sets would be needed to</w:t>
      </w:r>
      <w:r>
        <w:t xml:space="preserve"> </w:t>
      </w:r>
      <w:r>
        <w:t xml:space="preserve">turn the present behavioural pattern into a broader benchmark claim.</w:t>
      </w:r>
    </w:p>
    <w:bookmarkEnd w:id="47"/>
    <w:bookmarkStart w:id="4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study asked whether erroneous textual colour cues can shift VLM judgments away</w:t>
      </w:r>
      <w:r>
        <w:t xml:space="preserve"> </w:t>
      </w:r>
      <w:r>
        <w:t xml:space="preserve">from image evidence in a controlled car-body colour task. The answer is conditional. All</w:t>
      </w:r>
      <w:r>
        <w:t xml:space="preserve"> </w:t>
      </w:r>
      <w:r>
        <w:t xml:space="preserve">three tested models were faithful under neutral C0 prompting. In the primary single-turn</w:t>
      </w:r>
      <w:r>
        <w:t xml:space="preserve"> </w:t>
      </w:r>
      <w:r>
        <w:t xml:space="preserve">C0-C4 prompt family, LLaVA-1.5-7B showed limited but significant same-image</w:t>
      </w:r>
      <w:r>
        <w:t xml:space="preserve"> </w:t>
      </w:r>
      <w:r>
        <w:t xml:space="preserve">conflict-following under canonical C3 and C4, while Qwen2-VL-7B-Instruct and</w:t>
      </w:r>
      <w:r>
        <w:t xml:space="preserve"> </w:t>
      </w:r>
      <w:r>
        <w:t xml:space="preserve">InternVL2-8B remained essentially stable. Controlled diagnostics showed that the shift</w:t>
      </w:r>
      <w:r>
        <w:t xml:space="preserve"> </w:t>
      </w:r>
      <w:r>
        <w:t xml:space="preserve">was wording-, format-, factor-, and colour-pair-sensitive, and validity checks reduced</w:t>
      </w:r>
      <w:r>
        <w:t xml:space="preserve"> </w:t>
      </w:r>
      <w:r>
        <w:t xml:space="preserve">but did not remove alternative explanations. The strongest supported conclusion is</w:t>
      </w:r>
      <w:r>
        <w:t xml:space="preserve"> </w:t>
      </w:r>
      <w:r>
        <w:t xml:space="preserve">therefore bounded: false textual cues can shift one tested model in specific prompt</w:t>
      </w:r>
      <w:r>
        <w:t xml:space="preserve"> </w:t>
      </w:r>
      <w:r>
        <w:t xml:space="preserve">settings, but the evidence does not support a general text-over-vision claim.</w:t>
      </w:r>
    </w:p>
    <w:bookmarkEnd w:id="48"/>
    <w:bookmarkStart w:id="4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processed manifests, reviewed colour labels, prompt condition tables, parsed model</w:t>
      </w:r>
      <w:r>
        <w:t xml:space="preserve"> </w:t>
      </w:r>
      <w:r>
        <w:t xml:space="preserve">outputs, result tables, figure source data, audit summaries, and reproducibility records</w:t>
      </w:r>
      <w:r>
        <w:t xml:space="preserve"> </w:t>
      </w:r>
      <w:r>
        <w:t xml:space="preserve">are available in the project repository at</w:t>
      </w:r>
      <w:r>
        <w:t xml:space="preserve"> </w:t>
      </w:r>
      <w:r>
        <w:rPr>
          <w:rStyle w:val="VerbatimChar"/>
        </w:rPr>
        <w:t xml:space="preserve">https://github.com/NorthDudu-Bird/multimodal_conflict_decision_boundary_hallucination</w:t>
      </w:r>
      <w:r>
        <w:t xml:space="preserve">.</w:t>
      </w:r>
      <w:r>
        <w:t xml:space="preserve"> </w:t>
      </w:r>
      <w:r>
        <w:t xml:space="preserve">This repository should be archived in a DOI-bearing release before submission. The</w:t>
      </w:r>
      <w:r>
        <w:t xml:space="preserve"> </w:t>
      </w:r>
      <w:r>
        <w:t xml:space="preserve">primary 300-image evaluation manifest is stored at</w:t>
      </w:r>
      <w:r>
        <w:t xml:space="preserve"> </w:t>
      </w:r>
      <w:r>
        <w:rPr>
          <w:rStyle w:val="VerbatimChar"/>
        </w:rPr>
        <w:t xml:space="preserve">data/balanced_eval_set/final_manifest.csv</w:t>
      </w:r>
      <w:r>
        <w:t xml:space="preserve">, with the balanced-set summary at</w:t>
      </w:r>
      <w:r>
        <w:t xml:space="preserve"> </w:t>
      </w:r>
      <w:r>
        <w:rPr>
          <w:rStyle w:val="VerbatimChar"/>
        </w:rPr>
        <w:t xml:space="preserve">data/metadata/balanced_eval_set/balanced_eval_set_summary.json</w:t>
      </w:r>
      <w:r>
        <w:t xml:space="preserve">. Figure source data for</w:t>
      </w:r>
      <w:r>
        <w:t xml:space="preserve"> </w:t>
      </w:r>
      <w:r>
        <w:t xml:space="preserve">the conference draft are provided under</w:t>
      </w:r>
      <w:r>
        <w:t xml:space="preserve"> </w:t>
      </w:r>
      <w:r>
        <w:rPr>
          <w:rStyle w:val="VerbatimChar"/>
        </w:rPr>
        <w:t xml:space="preserve">figures/conference/source_data/</w:t>
      </w:r>
      <w:r>
        <w:t xml:space="preserve">.</w:t>
      </w:r>
    </w:p>
    <w:p>
      <w:pPr>
        <w:pStyle w:val="BodyText"/>
      </w:pPr>
      <w:r>
        <w:t xml:space="preserve">The underlying vehicle images are reused third-party data from StanfordCars and VCoR.</w:t>
      </w:r>
      <w:r>
        <w:t xml:space="preserve"> </w:t>
      </w:r>
      <w:r>
        <w:t xml:space="preserve">Readers should obtain the original images from the corresponding dataset providers and</w:t>
      </w:r>
      <w:r>
        <w:t xml:space="preserve"> </w:t>
      </w:r>
      <w:r>
        <w:t xml:space="preserve">respect their terms of use. The repository records source dataset identity, source</w:t>
      </w:r>
      <w:r>
        <w:t xml:space="preserve"> </w:t>
      </w:r>
      <w:r>
        <w:t xml:space="preserve">paths, cropped-image paths, reviewed labels, and selection metadata needed to reconstruct</w:t>
      </w:r>
      <w:r>
        <w:t xml:space="preserve"> </w:t>
      </w:r>
      <w:r>
        <w:t xml:space="preserve">the evaluation set, but the paper does not claim to newly release or relicense the</w:t>
      </w:r>
      <w:r>
        <w:t xml:space="preserve"> </w:t>
      </w:r>
      <w:r>
        <w:t xml:space="preserve">original third-party image collections.</w:t>
      </w:r>
    </w:p>
    <w:bookmarkEnd w:id="49"/>
    <w:bookmarkStart w:id="50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analysis and figure-generation code used for this manuscript draft is available in</w:t>
      </w:r>
      <w:r>
        <w:t xml:space="preserve"> </w:t>
      </w:r>
      <w:r>
        <w:t xml:space="preserve">the same repository at</w:t>
      </w:r>
      <w:r>
        <w:t xml:space="preserve"> </w:t>
      </w:r>
      <w:r>
        <w:rPr>
          <w:rStyle w:val="VerbatimChar"/>
        </w:rPr>
        <w:t xml:space="preserve">https://github.com/NorthDudu-Bird/multimodal_conflict_decision_boundary_hallucination</w:t>
      </w:r>
      <w:r>
        <w:t xml:space="preserve">.</w:t>
      </w:r>
      <w:r>
        <w:t xml:space="preserve"> </w:t>
      </w:r>
      <w:r>
        <w:t xml:space="preserve">The main reproduction entry points are documented in</w:t>
      </w:r>
      <w:r>
        <w:t xml:space="preserve"> </w:t>
      </w:r>
      <w:r>
        <w:rPr>
          <w:rStyle w:val="VerbatimChar"/>
        </w:rPr>
        <w:t xml:space="preserve">docs/reproduction.md</w:t>
      </w:r>
      <w:r>
        <w:t xml:space="preserve">; the current</w:t>
      </w:r>
      <w:r>
        <w:t xml:space="preserve"> </w:t>
      </w:r>
      <w:r>
        <w:t xml:space="preserve">conference-figure script is</w:t>
      </w:r>
      <w:r>
        <w:t xml:space="preserve"> </w:t>
      </w:r>
      <w:r>
        <w:rPr>
          <w:rStyle w:val="VerbatimChar"/>
        </w:rPr>
        <w:t xml:space="preserve">scripts/make_conference_figures.py</w:t>
      </w:r>
      <w:r>
        <w:t xml:space="preserve">. Model weights are not</w:t>
      </w:r>
      <w:r>
        <w:t xml:space="preserve"> </w:t>
      </w:r>
      <w:r>
        <w:t xml:space="preserve">redistributed by this repository and should be obtained from their respective model</w:t>
      </w:r>
      <w:r>
        <w:t xml:space="preserve"> </w:t>
      </w:r>
      <w:r>
        <w:t xml:space="preserve">providers.</w:t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Radford et al.,</w:t>
      </w:r>
      <w:r>
        <w:t xml:space="preserve"> </w:t>
      </w:r>
      <w:r>
        <w:t xml:space="preserve">“Learning Transferable Visual Models From Natural Language Supervision,”</w:t>
      </w:r>
      <w:r>
        <w:t xml:space="preserve"> </w:t>
      </w:r>
      <w:r>
        <w:t xml:space="preserve">in Proc. ICML, 2021.</w:t>
      </w:r>
    </w:p>
    <w:p>
      <w:pPr>
        <w:pStyle w:val="BodyText"/>
      </w:pPr>
      <w:r>
        <w:t xml:space="preserve">[2] J.-B. Alayrac et al.,</w:t>
      </w:r>
      <w:r>
        <w:t xml:space="preserve"> </w:t>
      </w:r>
      <w:r>
        <w:t xml:space="preserve">“Flamingo: a Visual Language Model for Few-Shot Learning,”</w:t>
      </w:r>
      <w:r>
        <w:t xml:space="preserve"> </w:t>
      </w:r>
      <w:r>
        <w:t xml:space="preserve">arXiv:2204.14198, 2022.</w:t>
      </w:r>
    </w:p>
    <w:p>
      <w:pPr>
        <w:pStyle w:val="BodyText"/>
      </w:pPr>
      <w:r>
        <w:t xml:space="preserve">[3] J. Li, D. Li, S. Savarese, and S. Hoi,</w:t>
      </w:r>
      <w:r>
        <w:t xml:space="preserve"> </w:t>
      </w:r>
      <w:r>
        <w:t xml:space="preserve">“BLIP-2: Bootstrapping Language-Image Pre-training with Frozen Image Encoders and Large Language Models,”</w:t>
      </w:r>
      <w:r>
        <w:t xml:space="preserve"> </w:t>
      </w:r>
      <w:r>
        <w:t xml:space="preserve">in Proc. ICML, 2023.</w:t>
      </w:r>
    </w:p>
    <w:p>
      <w:pPr>
        <w:pStyle w:val="BodyText"/>
      </w:pPr>
      <w:r>
        <w:t xml:space="preserve">[4] H. Liu, C. Li, Q. Wu, and Y. J. Lee,</w:t>
      </w:r>
      <w:r>
        <w:t xml:space="preserve"> </w:t>
      </w:r>
      <w:r>
        <w:t xml:space="preserve">“Visual Instruction Tuning,”</w:t>
      </w:r>
      <w:r>
        <w:t xml:space="preserve"> </w:t>
      </w:r>
      <w:r>
        <w:t xml:space="preserve">arXiv:2304.08485, 2023.</w:t>
      </w:r>
    </w:p>
    <w:p>
      <w:pPr>
        <w:pStyle w:val="BodyText"/>
      </w:pPr>
      <w:r>
        <w:t xml:space="preserve">[5] H. Liu, C. Li, Y. Li, and Y. J. Lee,</w:t>
      </w:r>
      <w:r>
        <w:t xml:space="preserve"> </w:t>
      </w:r>
      <w:r>
        <w:t xml:space="preserve">“Improved Baselines with Visual Instruction Tuning,”</w:t>
      </w:r>
      <w:r>
        <w:t xml:space="preserve"> </w:t>
      </w:r>
      <w:r>
        <w:t xml:space="preserve">arXiv:2310.03744, 2023.</w:t>
      </w:r>
    </w:p>
    <w:p>
      <w:pPr>
        <w:pStyle w:val="BodyText"/>
      </w:pPr>
      <w:r>
        <w:t xml:space="preserve">[6] Y. Goyal, T. Khot, D. Summers-Stay, D. Batra, and D. Parikh,</w:t>
      </w:r>
      <w:r>
        <w:t xml:space="preserve"> </w:t>
      </w:r>
      <w:r>
        <w:t xml:space="preserve">“Making the V in VQA Matter: Elevating the Role of Image Understanding in Visual Question Answering,”</w:t>
      </w:r>
      <w:r>
        <w:t xml:space="preserve"> </w:t>
      </w:r>
      <w:r>
        <w:t xml:space="preserve">in Proc. CVPR, 2017.</w:t>
      </w:r>
    </w:p>
    <w:p>
      <w:pPr>
        <w:pStyle w:val="BodyText"/>
      </w:pPr>
      <w:r>
        <w:t xml:space="preserve">[7] A. Agrawal, D. Batra, D. Parikh, and A. Kembhavi,</w:t>
      </w:r>
      <w:r>
        <w:t xml:space="preserve"> </w:t>
      </w:r>
      <w:r>
        <w:t xml:space="preserve">“Don’t Just Assume; Look and Answer: Overcoming Priors for Visual Question Answering,”</w:t>
      </w:r>
      <w:r>
        <w:t xml:space="preserve"> </w:t>
      </w:r>
      <w:r>
        <w:t xml:space="preserve">in Proc. CVPR, 2018.</w:t>
      </w:r>
    </w:p>
    <w:p>
      <w:pPr>
        <w:pStyle w:val="BodyText"/>
      </w:pPr>
      <w:r>
        <w:t xml:space="preserve">[8] Y. Li, Y. Du, K. Zhou, J. Wang, W. X. Zhao, and J.-R. Wen,</w:t>
      </w:r>
      <w:r>
        <w:t xml:space="preserve"> </w:t>
      </w:r>
      <w:r>
        <w:t xml:space="preserve">“Evaluating Object Hallucination in Large Vision-Language Models,”</w:t>
      </w:r>
      <w:r>
        <w:t xml:space="preserve"> </w:t>
      </w:r>
      <w:r>
        <w:t xml:space="preserve">arXiv:2305.10355, 2023.</w:t>
      </w:r>
    </w:p>
    <w:p>
      <w:pPr>
        <w:pStyle w:val="BodyText"/>
      </w:pPr>
      <w:r>
        <w:t xml:space="preserve">[9] T. Guan et al.,</w:t>
      </w:r>
      <w:r>
        <w:t xml:space="preserve"> </w:t>
      </w:r>
      <w:r>
        <w:t xml:space="preserve">“HallusionBench: An Advanced Diagnostic Suite for Entangled Language Hallucination and Visual Illusion in Large Vision-Language Models,”</w:t>
      </w:r>
      <w:r>
        <w:t xml:space="preserve"> </w:t>
      </w:r>
      <w:r>
        <w:t xml:space="preserve">arXiv:2310.14566, 2023.</w:t>
      </w:r>
    </w:p>
    <w:p>
      <w:pPr>
        <w:pStyle w:val="BodyText"/>
      </w:pPr>
      <w:r>
        <w:t xml:space="preserve">[10] K.-i. Lee, M. Kim, S. Yoon, M. Kim, D. Lee, H. Koh, and K. Jung,</w:t>
      </w:r>
      <w:r>
        <w:t xml:space="preserve"> </w:t>
      </w:r>
      <w:r>
        <w:t xml:space="preserve">“VLind-Bench: Measuring Language Priors in Large Vision-Language Models,”</w:t>
      </w:r>
      <w:r>
        <w:t xml:space="preserve"> </w:t>
      </w:r>
      <w:r>
        <w:t xml:space="preserve">arXiv:2406.08702, 2024.</w:t>
      </w:r>
    </w:p>
    <w:p>
      <w:pPr>
        <w:pStyle w:val="BodyText"/>
      </w:pPr>
      <w:r>
        <w:t xml:space="preserve">[11] Y. Liang et al.,</w:t>
      </w:r>
      <w:r>
        <w:t xml:space="preserve"> </w:t>
      </w:r>
      <w:r>
        <w:t xml:space="preserve">“ColorBench: Can VLMs See and Understand the Colorful World? A Comprehensive Benchmark for Color Perception, Reasoning, and Robustness,”</w:t>
      </w:r>
      <w:r>
        <w:t xml:space="preserve"> </w:t>
      </w:r>
      <w:r>
        <w:t xml:space="preserve">arXiv:2504.10514, 2025.</w:t>
      </w:r>
    </w:p>
    <w:p>
      <w:pPr>
        <w:pStyle w:val="BodyText"/>
      </w:pPr>
      <w:r>
        <w:t xml:space="preserve">[12] M. Yuksekgonul, F. Bianchi, P. Kalluri, D. Jurafsky, and J. Zou,</w:t>
      </w:r>
      <w:r>
        <w:t xml:space="preserve"> </w:t>
      </w:r>
      <w:r>
        <w:t xml:space="preserve">“When and Why Vision-Language Models Behave Like Bags-of-Words, and What to Do About It?,”</w:t>
      </w:r>
      <w:r>
        <w:t xml:space="preserve"> </w:t>
      </w:r>
      <w:r>
        <w:t xml:space="preserve">in Proc. ICLR, 2023.</w:t>
      </w:r>
    </w:p>
    <w:p>
      <w:pPr>
        <w:pStyle w:val="BodyText"/>
      </w:pPr>
      <w:r>
        <w:t xml:space="preserve">[13] T. Thrush et al.,</w:t>
      </w:r>
      <w:r>
        <w:t xml:space="preserve"> </w:t>
      </w:r>
      <w:r>
        <w:t xml:space="preserve">“Winoground: Probing Vision and Language Models for Visio-Linguistic Compositionality,”</w:t>
      </w:r>
      <w:r>
        <w:t xml:space="preserve"> </w:t>
      </w:r>
      <w:r>
        <w:t xml:space="preserve">in Proc. CVPR, 2022.</w:t>
      </w:r>
    </w:p>
    <w:p>
      <w:pPr>
        <w:pStyle w:val="BodyText"/>
      </w:pPr>
      <w:r>
        <w:t xml:space="preserve">[14] J. Krause, M. Stark, J. Deng, and L. Fei-Fei,</w:t>
      </w:r>
      <w:r>
        <w:t xml:space="preserve"> </w:t>
      </w:r>
      <w:r>
        <w:t xml:space="preserve">“3D Object Representations for Fine-Grained Categorization,”</w:t>
      </w:r>
      <w:r>
        <w:t xml:space="preserve"> </w:t>
      </w:r>
      <w:r>
        <w:t xml:space="preserve">in Proc. 4th International IEEE Workshop on 3D Representation and Recognition, 2013.</w:t>
      </w:r>
    </w:p>
    <w:p>
      <w:pPr>
        <w:pStyle w:val="BodyText"/>
      </w:pPr>
      <w:r>
        <w:t xml:space="preserve">[15] K. Panetta, L. Kezebou, V. Oludare, J. Intriligator, and S. Agaian,</w:t>
      </w:r>
      <w:r>
        <w:t xml:space="preserve"> </w:t>
      </w:r>
      <w:r>
        <w:t xml:space="preserve">“Artificial Intelligence for Text-Based Vehicle Search, Recognition, and Continuous Localization in Traffic Videos,”</w:t>
      </w:r>
      <w:r>
        <w:t xml:space="preserve"> </w:t>
      </w:r>
      <w:r>
        <w:t xml:space="preserve">AI, vol. 2, no. 4, pp. 684-704, 2021.</w:t>
      </w:r>
    </w:p>
    <w:p>
      <w:pPr>
        <w:pStyle w:val="BodyText"/>
      </w:pPr>
      <w:r>
        <w:t xml:space="preserve">[16] P. Wang et al.,</w:t>
      </w:r>
      <w:r>
        <w:t xml:space="preserve"> </w:t>
      </w:r>
      <w:r>
        <w:t xml:space="preserve">“Qwen2-VL: Enhancing Vision-Language Model’s Perception of the World at Any Resolution,”</w:t>
      </w:r>
      <w:r>
        <w:t xml:space="preserve"> </w:t>
      </w:r>
      <w:r>
        <w:t xml:space="preserve">arXiv:2409.12191, 2024.</w:t>
      </w:r>
    </w:p>
    <w:p>
      <w:pPr>
        <w:pStyle w:val="BodyText"/>
      </w:pPr>
      <w:r>
        <w:t xml:space="preserve">[17] Z. Chen et al.,</w:t>
      </w:r>
      <w:r>
        <w:t xml:space="preserve"> </w:t>
      </w:r>
      <w:r>
        <w:t xml:space="preserve">“InternVL: Scaling up Vision Foundation Models and Aligning for Generic Visual-Linguistic Tasks,”</w:t>
      </w:r>
      <w:r>
        <w:t xml:space="preserve"> </w:t>
      </w:r>
      <w:r>
        <w:t xml:space="preserve">arXiv:2312.14238, 2023.</w:t>
      </w:r>
    </w:p>
    <w:p>
      <w:pPr>
        <w:pStyle w:val="BodyText"/>
      </w:pPr>
      <w:r>
        <w:t xml:space="preserve">[18] Z. Chen et al.,</w:t>
      </w:r>
      <w:r>
        <w:t xml:space="preserve"> </w:t>
      </w:r>
      <w:r>
        <w:t xml:space="preserve">“How Far Are We to GPT-4V? Closing the Gap to Commercial Multimodal Models with Open-Source Suites,”</w:t>
      </w:r>
      <w:r>
        <w:t xml:space="preserve"> </w:t>
      </w:r>
      <w:r>
        <w:t xml:space="preserve">arXiv:2404.16821, 2024.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False Colour Cues Reveal Local Paired Shifts in Car-Colour VLMs</dc:title>
  <dc:creator/>
  <cp:keywords/>
  <dcterms:created xsi:type="dcterms:W3CDTF">2026-05-18T05:41:56Z</dcterms:created>
  <dcterms:modified xsi:type="dcterms:W3CDTF">2026-05-18T05:41:56Z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