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1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False Colour Cues Reveal Local Paired Shifts in Car-Colour VLMs</w:t>
      </w:r>
    </w:p>
    <w:bookmarkStart w:id="48" w:name="X36981489e51d4ab08f511a328bdbf275c003766"/>
    <w:p>
      <w:pPr>
        <w:pStyle w:val="Heading1"/>
      </w:pPr>
      <w:r>
        <w:t xml:space="preserve">False Colour Cues Reveal Local Paired Shifts in Car-Colour VLMs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Vision-language models are often evaluated with instructions that are consistent with</w:t>
      </w:r>
      <w:r>
        <w:t xml:space="preserve"> </w:t>
      </w:r>
      <w:r>
        <w:t xml:space="preserve">the image. In practical use, however, textual context may be wrong, and a wrong answer</w:t>
      </w:r>
      <w:r>
        <w:t xml:space="preserve"> </w:t>
      </w:r>
      <w:r>
        <w:t xml:space="preserve">under such conflict is difficult to attribute. It may reflect visual error, language</w:t>
      </w:r>
      <w:r>
        <w:t xml:space="preserve"> </w:t>
      </w:r>
      <w:r>
        <w:t xml:space="preserve">prior, prompt compliance, response-format pressure, output parsing, or local image</w:t>
      </w:r>
      <w:r>
        <w:t xml:space="preserve"> </w:t>
      </w:r>
      <w:r>
        <w:t xml:space="preserve">ambiguity. This study examines that attribution problem in a deliberately narrow</w:t>
      </w:r>
      <w:r>
        <w:t xml:space="preserve"> </w:t>
      </w:r>
      <w:r>
        <w:t xml:space="preserve">research setting: primary car-body colour recognition under false textual colour cues.</w:t>
      </w:r>
      <w:r>
        <w:t xml:space="preserve"> </w:t>
      </w:r>
      <w:r>
        <w:t xml:space="preserve">The protocol uses a balanced 300-image car set over six colours to evaluate</w:t>
      </w:r>
      <w:r>
        <w:t xml:space="preserve"> </w:t>
      </w:r>
      <w:r>
        <w:t xml:space="preserve">LLaVA-1.5-7B, Qwen2-VL-7B-Instruct, and InternVL2-8B under a neutral C0 prompt and four</w:t>
      </w:r>
      <w:r>
        <w:t xml:space="preserve"> </w:t>
      </w:r>
      <w:r>
        <w:t xml:space="preserve">single-turn conflict prompts, C1-C4. All three models were faithful under C0 on all</w:t>
      </w:r>
      <w:r>
        <w:t xml:space="preserve"> </w:t>
      </w:r>
      <w:r>
        <w:t xml:space="preserve">300 images. In the primary conflict family, LLaVA-1.5-7B showed the only clear shift,</w:t>
      </w:r>
      <w:r>
        <w:t xml:space="preserve"> </w:t>
      </w:r>
      <w:r>
        <w:t xml:space="preserve">with false-colour-aligned outputs in 27/300 C3 cases and 10/300 C4 cases.</w:t>
      </w:r>
      <w:r>
        <w:t xml:space="preserve"> </w:t>
      </w:r>
      <w:r>
        <w:t xml:space="preserve">Qwen2-VL-7B-Instruct had 1/300 in each of C3 and C4, and InternVL2-8B had 0/300 across</w:t>
      </w:r>
      <w:r>
        <w:t xml:space="preserve"> </w:t>
      </w:r>
      <w:r>
        <w:t xml:space="preserve">C0-C4. Because the same images were used across conditions, the LLaVA cases are</w:t>
      </w:r>
      <w:r>
        <w:t xml:space="preserve"> </w:t>
      </w:r>
      <w:r>
        <w:t xml:space="preserve">same-image flips from faithful C0 answers to false-text-aligned answers. Controlled</w:t>
      </w:r>
      <w:r>
        <w:t xml:space="preserve"> </w:t>
      </w:r>
      <w:r>
        <w:t xml:space="preserve">diagnostics showed that the effect weakened under C3 rewrites, decreased under</w:t>
      </w:r>
      <w:r>
        <w:t xml:space="preserve"> </w:t>
      </w:r>
      <w:r>
        <w:t xml:space="preserve">alternative answer formats, depended on prompt factor, and concentrated in the</w:t>
      </w:r>
      <w:r>
        <w:t xml:space="preserve"> </w:t>
      </w:r>
      <w:r>
        <w:t xml:space="preserve">white-to-black route. The evidence supports a local, conditional account of</w:t>
      </w:r>
      <w:r>
        <w:t xml:space="preserve"> </w:t>
      </w:r>
      <w:r>
        <w:t xml:space="preserve">text-sensitive behaviour, not a general claim that VLMs prioritise text over vision.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vision-language models; multimodal conflict; colour recognition; prompt</w:t>
      </w:r>
      <w:r>
        <w:t xml:space="preserve"> </w:t>
      </w:r>
      <w:r>
        <w:t xml:space="preserve">sensitivity; paired evaluation</w:t>
      </w:r>
    </w:p>
    <w:bookmarkEnd w:id="9"/>
    <w:bookmarkStart w:id="1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Vision-language models (VLMs) combine image inputs with natural-language instructions,</w:t>
      </w:r>
      <w:r>
        <w:t xml:space="preserve"> </w:t>
      </w:r>
      <w:r>
        <w:t xml:space="preserve">descriptions, and contextual claims [1-5]. This interface makes models useful for</w:t>
      </w:r>
      <w:r>
        <w:t xml:space="preserve"> </w:t>
      </w:r>
      <w:r>
        <w:t xml:space="preserve">interactive image interpretation, but it also creates a reliability problem. A user may</w:t>
      </w:r>
      <w:r>
        <w:t xml:space="preserve"> </w:t>
      </w:r>
      <w:r>
        <w:t xml:space="preserve">provide text that is false, leading, or only partially compatible with the image. The</w:t>
      </w:r>
      <w:r>
        <w:t xml:space="preserve"> </w:t>
      </w:r>
      <w:r>
        <w:t xml:space="preserve">central question is not only whether an answer is wrong, but why the answer changed.</w:t>
      </w:r>
    </w:p>
    <w:p>
      <w:pPr>
        <w:pStyle w:val="BodyText"/>
      </w:pPr>
      <w:r>
        <w:t xml:space="preserve">False-text-aligned outputs are not self-explanatory. A model may follow a false cue</w:t>
      </w:r>
      <w:r>
        <w:t xml:space="preserve"> </w:t>
      </w:r>
      <w:r>
        <w:t xml:space="preserve">because it misperceives the image, overuses language priors, complies with the prompt,</w:t>
      </w:r>
      <w:r>
        <w:t xml:space="preserve"> </w:t>
      </w:r>
      <w:r>
        <w:t xml:space="preserve">responds to the answer format, or exposes a parser artefact. Prior work on visual</w:t>
      </w:r>
      <w:r>
        <w:t xml:space="preserve"> </w:t>
      </w:r>
      <w:r>
        <w:t xml:space="preserve">question answering, language priors, hallucination, multimodal conflict, and attribute</w:t>
      </w:r>
      <w:r>
        <w:t xml:space="preserve"> </w:t>
      </w:r>
      <w:r>
        <w:t xml:space="preserve">binding has made these risks visible [6-13]. Yet broad tasks, open-ended outputs, and</w:t>
      </w:r>
      <w:r>
        <w:t xml:space="preserve"> </w:t>
      </w:r>
      <w:r>
        <w:t xml:space="preserve">changing image pools can make the source of a conflict error difficult to isolate.</w:t>
      </w:r>
    </w:p>
    <w:p>
      <w:pPr>
        <w:pStyle w:val="BodyText"/>
      </w:pPr>
      <w:r>
        <w:t xml:space="preserve">This study narrows the problem to a paired and reproducible observation. It asks</w:t>
      </w:r>
      <w:r>
        <w:t xml:space="preserve"> </w:t>
      </w:r>
      <w:r>
        <w:t xml:space="preserve">whether a false textual colour cue can move a model away from image evidence when the</w:t>
      </w:r>
      <w:r>
        <w:t xml:space="preserve"> </w:t>
      </w:r>
      <w:r>
        <w:t xml:space="preserve">visual attribute is simple, the answer space is fixed, and the same image is evaluated</w:t>
      </w:r>
      <w:r>
        <w:t xml:space="preserve"> </w:t>
      </w:r>
      <w:r>
        <w:t xml:space="preserve">under neutral and conflict prompts. The task is intentionally restricted to the primary</w:t>
      </w:r>
      <w:r>
        <w:t xml:space="preserve"> </w:t>
      </w:r>
      <w:r>
        <w:t xml:space="preserve">body colour of the principal car in a real image. It is not a test of general reasoning,</w:t>
      </w:r>
      <w:r>
        <w:t xml:space="preserve"> </w:t>
      </w:r>
      <w:r>
        <w:t xml:space="preserve">fine-grained vehicle recognition, object relations, or broad deployment robustness.</w:t>
      </w:r>
    </w:p>
    <w:p>
      <w:pPr>
        <w:pStyle w:val="BodyText"/>
      </w:pPr>
      <w:r>
        <w:t xml:space="preserve">The study design follows an MRD logic. The Methods section defines the paired protocol,</w:t>
      </w:r>
      <w:r>
        <w:t xml:space="preserve"> </w:t>
      </w:r>
      <w:r>
        <w:t xml:space="preserve">datasets, prompt conditions, parsing rules, metrics, diagnostics, and audit checks. The</w:t>
      </w:r>
      <w:r>
        <w:t xml:space="preserve"> </w:t>
      </w:r>
      <w:r>
        <w:t xml:space="preserve">Results section then reports the neutral visual baseline, the primary C0-C4 conflict</w:t>
      </w:r>
      <w:r>
        <w:t xml:space="preserve"> </w:t>
      </w:r>
      <w:r>
        <w:t xml:space="preserve">family, same-image paired flips, controlled diagnostics, and multi-turn extension. This</w:t>
      </w:r>
      <w:r>
        <w:t xml:space="preserve"> </w:t>
      </w:r>
      <w:r>
        <w:t xml:space="preserve">organization keeps the central claim close to the evidence and keeps auxiliary stress</w:t>
      </w:r>
      <w:r>
        <w:t xml:space="preserve"> </w:t>
      </w:r>
      <w:r>
        <w:t xml:space="preserve">tests outside the main evidence chain.</w:t>
      </w:r>
    </w:p>
    <w:p>
      <w:pPr>
        <w:pStyle w:val="BodyText"/>
      </w:pPr>
      <w:r>
        <w:drawing>
          <wp:inline>
            <wp:extent cx="5334000" cy="3193163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graphical_abstract_real_cas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3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Graphical overview. Real-prompt paired workflow.</w:t>
      </w:r>
      <w:r>
        <w:t xml:space="preserve"> </w:t>
      </w:r>
      <w:r>
        <w:t xml:space="preserve">One audited LLaVA paired case</w:t>
      </w:r>
      <w:r>
        <w:t xml:space="preserve"> </w:t>
      </w:r>
      <w:r>
        <w:t xml:space="preserve">illustrates the experimental unit: the same image is evaluated with the neutral C0</w:t>
      </w:r>
      <w:r>
        <w:t xml:space="preserve"> </w:t>
      </w:r>
      <w:r>
        <w:t xml:space="preserve">prompt and the false-colour C3 prompt, and the parsed answer changes from the true</w:t>
      </w:r>
      <w:r>
        <w:t xml:space="preserve"> </w:t>
      </w:r>
      <w:r>
        <w:t xml:space="preserve">colour to the embedded false cue. The panel is illustrative; the aggregate claim is</w:t>
      </w:r>
      <w:r>
        <w:t xml:space="preserve"> </w:t>
      </w:r>
      <w:r>
        <w:t xml:space="preserve">supported by the full C0-C4 results and diagnostics.</w:t>
      </w:r>
    </w:p>
    <w:bookmarkEnd w:id="13"/>
    <w:bookmarkStart w:id="14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t xml:space="preserve">Multimodal conflict and hallucination benchmarks test whether model outputs remain</w:t>
      </w:r>
      <w:r>
        <w:t xml:space="preserve"> </w:t>
      </w:r>
      <w:r>
        <w:t xml:space="preserve">grounded when visual evidence, textual context, or world knowledge are unreliable</w:t>
      </w:r>
      <w:r>
        <w:t xml:space="preserve"> </w:t>
      </w:r>
      <w:r>
        <w:t xml:space="preserve">[8-10]. These benchmarks motivate controlled conflict evaluation, but many cover broad</w:t>
      </w:r>
      <w:r>
        <w:t xml:space="preserve"> </w:t>
      </w:r>
      <w:r>
        <w:t xml:space="preserve">question types, object categories, or free-form outputs. The present study differs by</w:t>
      </w:r>
      <w:r>
        <w:t xml:space="preserve"> </w:t>
      </w:r>
      <w:r>
        <w:t xml:space="preserve">reducing the task to one visual attribute and by treating same-image paired flips as the</w:t>
      </w:r>
      <w:r>
        <w:t xml:space="preserve"> </w:t>
      </w:r>
      <w:r>
        <w:t xml:space="preserve">primary evidence unit.</w:t>
      </w:r>
    </w:p>
    <w:p>
      <w:pPr>
        <w:pStyle w:val="BodyText"/>
      </w:pPr>
      <w:r>
        <w:t xml:space="preserve">Language-prior work shows that plausible answers can be produced without adequate</w:t>
      </w:r>
      <w:r>
        <w:t xml:space="preserve"> </w:t>
      </w:r>
      <w:r>
        <w:t xml:space="preserve">visual grounding [6,7]. However, a false-text-aligned colour answer is not automatically</w:t>
      </w:r>
      <w:r>
        <w:t xml:space="preserve"> </w:t>
      </w:r>
      <w:r>
        <w:t xml:space="preserve">a pure language-prior effect. It can also reflect image visibility, ambiguous labels,</w:t>
      </w:r>
      <w:r>
        <w:t xml:space="preserve"> </w:t>
      </w:r>
      <w:r>
        <w:t xml:space="preserve">prompt wording, response constraints, or parser behaviour. This study therefore treats</w:t>
      </w:r>
      <w:r>
        <w:t xml:space="preserve"> </w:t>
      </w:r>
      <w:r>
        <w:t xml:space="preserve">diagnostic separation as part of the protocol rather than as a post-hoc explanation.</w:t>
      </w:r>
    </w:p>
    <w:p>
      <w:pPr>
        <w:pStyle w:val="BodyText"/>
      </w:pPr>
      <w:r>
        <w:t xml:space="preserve">Colour is interpretable, but it is not a trivial probe. Colour, compositionality, and</w:t>
      </w:r>
      <w:r>
        <w:t xml:space="preserve"> </w:t>
      </w:r>
      <w:r>
        <w:t xml:space="preserve">attribute-binding benchmarks show that VLM behaviour can vary with object category,</w:t>
      </w:r>
      <w:r>
        <w:t xml:space="preserve"> </w:t>
      </w:r>
      <w:r>
        <w:t xml:space="preserve">colour distribution, visual ambiguity, and prompt form [11-13]. Car-body colour is used</w:t>
      </w:r>
      <w:r>
        <w:t xml:space="preserve"> </w:t>
      </w:r>
      <w:r>
        <w:t xml:space="preserve">here as a controlled observation window, not as a basis for broad claims about colour</w:t>
      </w:r>
      <w:r>
        <w:t xml:space="preserve"> </w:t>
      </w:r>
      <w:r>
        <w:t xml:space="preserve">perception.</w:t>
      </w:r>
    </w:p>
    <w:bookmarkEnd w:id="14"/>
    <w:bookmarkStart w:id="23" w:name="methods"/>
    <w:p>
      <w:pPr>
        <w:pStyle w:val="Heading2"/>
      </w:pPr>
      <w:r>
        <w:t xml:space="preserve">3. Methods</w:t>
      </w:r>
    </w:p>
    <w:bookmarkStart w:id="18" w:name="study-design-and-task"/>
    <w:p>
      <w:pPr>
        <w:pStyle w:val="Heading3"/>
      </w:pPr>
      <w:r>
        <w:t xml:space="preserve">3.1 Study design and task</w:t>
      </w:r>
    </w:p>
    <w:p>
      <w:pPr>
        <w:pStyle w:val="FirstParagraph"/>
      </w:pPr>
      <w:r>
        <w:t xml:space="preserve">The study used a paired within-image design to isolate changes caused by prompt</w:t>
      </w:r>
      <w:r>
        <w:t xml:space="preserve"> </w:t>
      </w:r>
      <w:r>
        <w:t xml:space="preserve">condition. Each model saw the same 300 images under a neutral C0 prompt and four</w:t>
      </w:r>
      <w:r>
        <w:t xml:space="preserve"> </w:t>
      </w:r>
      <w:r>
        <w:t xml:space="preserve">single-turn conflict prompts, C1-C4. The principal outcome was a same-image paired flip:</w:t>
      </w:r>
      <w:r>
        <w:t xml:space="preserve"> </w:t>
      </w:r>
      <w:r>
        <w:t xml:space="preserve">a model answered faithfully under C0 on an image and followed the false prompt colour</w:t>
      </w:r>
      <w:r>
        <w:t xml:space="preserve"> </w:t>
      </w:r>
      <w:r>
        <w:t xml:space="preserve">for the same image under a conflict condition.</w:t>
      </w:r>
    </w:p>
    <w:p>
      <w:pPr>
        <w:pStyle w:val="BodyText"/>
      </w:pPr>
      <w:r>
        <w:t xml:space="preserve">The task was to identify the primary body colour of the principal car in an image. The</w:t>
      </w:r>
      <w:r>
        <w:t xml:space="preserve"> </w:t>
      </w:r>
      <w:r>
        <w:t xml:space="preserve">canonical labels were black, blue, green, red, white, and yellow, with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reserved</w:t>
      </w:r>
      <w:r>
        <w:t xml:space="preserve"> </w:t>
      </w:r>
      <w:r>
        <w:t xml:space="preserve">for outputs outside the target label set. A response was faithful if the parsed label</w:t>
      </w:r>
      <w:r>
        <w:t xml:space="preserve"> </w:t>
      </w:r>
      <w:r>
        <w:t xml:space="preserve">matched the ground-truth car-body colour. A response was conflict-following if the</w:t>
      </w:r>
      <w:r>
        <w:t xml:space="preserve"> </w:t>
      </w:r>
      <w:r>
        <w:t xml:space="preserve">parsed label matched the false colour introduced by the prompt.</w:t>
      </w:r>
    </w:p>
    <w:p>
      <w:pPr>
        <w:pStyle w:val="BodyText"/>
      </w:pPr>
      <w:r>
        <w:drawing>
          <wp:inline>
            <wp:extent cx="5334000" cy="163635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figure1_evidence_chai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6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 Evidence chain for same-image conflict-following analysis.</w:t>
      </w:r>
      <w:r>
        <w:t xml:space="preserve"> </w:t>
      </w:r>
      <w:r>
        <w:t xml:space="preserve">The schematic</w:t>
      </w:r>
      <w:r>
        <w:t xml:space="preserve"> </w:t>
      </w:r>
      <w:r>
        <w:t xml:space="preserve">shows the study logic: identical images, faithful C0 outputs, C1-C4 false-colour</w:t>
      </w:r>
      <w:r>
        <w:t xml:space="preserve"> </w:t>
      </w:r>
      <w:r>
        <w:t xml:space="preserve">prompts, paired flip definition, and boundary diagnostics.</w:t>
      </w:r>
    </w:p>
    <w:bookmarkEnd w:id="18"/>
    <w:bookmarkStart w:id="19" w:name="evaluation-set"/>
    <w:p>
      <w:pPr>
        <w:pStyle w:val="Heading3"/>
      </w:pPr>
      <w:r>
        <w:t xml:space="preserve">3.2 Evaluation set</w:t>
      </w:r>
    </w:p>
    <w:p>
      <w:pPr>
        <w:pStyle w:val="FirstParagraph"/>
      </w:pPr>
      <w:r>
        <w:t xml:space="preserve">The main evaluation set contained 300 real car images, balanced across six true colours</w:t>
      </w:r>
      <w:r>
        <w:t xml:space="preserve"> </w:t>
      </w:r>
      <w:r>
        <w:t xml:space="preserve">with 50 images per class. It combined 93 StanfordCars images and 207 VCoR images</w:t>
      </w:r>
      <w:r>
        <w:t xml:space="preserve"> </w:t>
      </w:r>
      <w:r>
        <w:t xml:space="preserve">[14,15]. Source identity was retained for provenance, sanity checks, and limitations,</w:t>
      </w:r>
      <w:r>
        <w:t xml:space="preserve"> </w:t>
      </w:r>
      <w:r>
        <w:t xml:space="preserve">but it was not used as a primary experimental factor. Both sources were used as real</w:t>
      </w:r>
      <w:r>
        <w:t xml:space="preserve"> </w:t>
      </w:r>
      <w:r>
        <w:t xml:space="preserve">vehicle-image inputs after cropping.</w:t>
      </w:r>
    </w:p>
    <w:p>
      <w:pPr>
        <w:pStyle w:val="BodyText"/>
      </w:pPr>
      <w:r>
        <w:rPr>
          <w:b/>
          <w:bCs/>
        </w:rPr>
        <w:t xml:space="preserve">Table 1. Evaluation set composition.</w:t>
      </w:r>
      <w:r>
        <w:t xml:space="preserve"> </w:t>
      </w:r>
      <w:r>
        <w:t xml:space="preserve">The main evaluation set contains 300 images balanced across six true colours. Source identity is retained for provenance and sanity checks, not as a primary comparison axis.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True colour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StanfordCars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VCoR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</w:tbl>
    <w:bookmarkEnd w:id="19"/>
    <w:bookmarkStart w:id="20" w:name="models-and-prompt-conditions"/>
    <w:p>
      <w:pPr>
        <w:pStyle w:val="Heading3"/>
      </w:pPr>
      <w:r>
        <w:t xml:space="preserve">3.3 Models and prompt conditions</w:t>
      </w:r>
    </w:p>
    <w:p>
      <w:pPr>
        <w:pStyle w:val="FirstParagraph"/>
      </w:pPr>
      <w:r>
        <w:t xml:space="preserve">The evaluated checkpoints were LLaVA-1.5-7B, Qwen2-VL-7B-Instruct, and InternVL2-8B.</w:t>
      </w:r>
      <w:r>
        <w:t xml:space="preserve"> </w:t>
      </w:r>
      <w:r>
        <w:t xml:space="preserve">The citations identify the model families and reports, but they are not evidence for</w:t>
      </w:r>
      <w:r>
        <w:t xml:space="preserve"> </w:t>
      </w:r>
      <w:r>
        <w:t xml:space="preserve">the robustness claims in this study [4,5,16-18]. The comparison is local to these</w:t>
      </w:r>
      <w:r>
        <w:t xml:space="preserve"> </w:t>
      </w:r>
      <w:r>
        <w:t xml:space="preserve">checkpoints, prompts, and images.</w:t>
      </w:r>
    </w:p>
    <w:p>
      <w:pPr>
        <w:pStyle w:val="BodyText"/>
      </w:pPr>
      <w:r>
        <w:t xml:space="preserve">The primary protocol used one neutral condition and four conflict conditions. C0 asked</w:t>
      </w:r>
      <w:r>
        <w:t xml:space="preserve"> </w:t>
      </w:r>
      <w:r>
        <w:t xml:space="preserve">for the car-body primary colour without a false cue. C1-C4 introduced erroneous colour</w:t>
      </w:r>
      <w:r>
        <w:t xml:space="preserve"> </w:t>
      </w:r>
      <w:r>
        <w:t xml:space="preserve">information with different wording strengths and frames. Full prompt text is reserved</w:t>
      </w:r>
      <w:r>
        <w:t xml:space="preserve"> </w:t>
      </w:r>
      <w:r>
        <w:t xml:space="preserve">for supplementary material.</w:t>
      </w:r>
    </w:p>
    <w:p>
      <w:pPr>
        <w:pStyle w:val="BodyText"/>
      </w:pPr>
      <w:r>
        <w:rPr>
          <w:b/>
          <w:bCs/>
        </w:rPr>
        <w:t xml:space="preserve">Table 2. Prompt condition roles.</w:t>
      </w:r>
      <w:r>
        <w:t xml:space="preserve"> </w:t>
      </w:r>
      <w:r>
        <w:t xml:space="preserve">C0 is the neutral reference condition. C1-C4 introduce erroneous colour information with increasing or different forms of textual conflict; full prompt text is reserved for supplementary material.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2"/>
        <w:gridCol w:w="1667"/>
        <w:gridCol w:w="3566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False-text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in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false colour 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faithful visual colour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Low-strength erroneous colour 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weak textual influence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prompt with a false colour 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direct false-text 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Presupposition, correction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colour embedded as a presupposition while correction remains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conflict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Stronger open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or stronger false-colour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stronger conflict condition</w:t>
            </w:r>
          </w:p>
        </w:tc>
      </w:tr>
    </w:tbl>
    <w:bookmarkEnd w:id="20"/>
    <w:bookmarkStart w:id="21" w:name="X8034ce8db43b7d60f3f51a907059b93eb3cd273"/>
    <w:p>
      <w:pPr>
        <w:pStyle w:val="Heading3"/>
      </w:pPr>
      <w:r>
        <w:t xml:space="preserve">3.4 Parsing, metrics, and statistical comparisons</w:t>
      </w:r>
    </w:p>
    <w:p>
      <w:pPr>
        <w:pStyle w:val="FirstParagraph"/>
      </w:pPr>
      <w:r>
        <w:t xml:space="preserve">Model outputs were parsed into the six target colour labels or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. The primary</w:t>
      </w:r>
      <w:r>
        <w:t xml:space="preserve"> </w:t>
      </w:r>
      <w:r>
        <w:t xml:space="preserve">C0-C4 outputs remained in the base single-label regime. The parser audit reported 4500</w:t>
      </w:r>
      <w:r>
        <w:t xml:space="preserve"> </w:t>
      </w:r>
      <w:r>
        <w:t xml:space="preserve">main parsed rows with no parse errors, refusals, corrections, or other-wrong outputs.</w:t>
      </w:r>
    </w:p>
    <w:p>
      <w:pPr>
        <w:pStyle w:val="BodyText"/>
      </w:pPr>
      <w:r>
        <w:t xml:space="preserve">The main metrics were faithfulness rate, conflict-following rate, answer-flip rate,</w:t>
      </w:r>
      <w:r>
        <w:t xml:space="preserve"> </w:t>
      </w:r>
      <w:r>
        <w:t xml:space="preserve">faithful retention rate, and paired exact tests against C0. Holm correction was used</w:t>
      </w:r>
      <w:r>
        <w:t xml:space="preserve"> </w:t>
      </w:r>
      <w:r>
        <w:t xml:space="preserve">for predefined multiple comparisons. The analysis also compared LLaVA with the stable</w:t>
      </w:r>
      <w:r>
        <w:t xml:space="preserve"> </w:t>
      </w:r>
      <w:r>
        <w:t xml:space="preserve">models on matched images to distinguish a model-specific shift from a shared template</w:t>
      </w:r>
      <w:r>
        <w:t xml:space="preserve"> </w:t>
      </w:r>
      <w:r>
        <w:t xml:space="preserve">effect.</w:t>
      </w:r>
    </w:p>
    <w:bookmarkEnd w:id="21"/>
    <w:bookmarkStart w:id="22" w:name="diagnostics-and-audits"/>
    <w:p>
      <w:pPr>
        <w:pStyle w:val="Heading3"/>
      </w:pPr>
      <w:r>
        <w:t xml:space="preserve">3.5 Diagnostics and audits</w:t>
      </w:r>
    </w:p>
    <w:p>
      <w:pPr>
        <w:pStyle w:val="FirstParagraph"/>
      </w:pPr>
      <w:r>
        <w:t xml:space="preserve">Controlled diagnostics tested whether the primary result survived changes in wording,</w:t>
      </w:r>
      <w:r>
        <w:t xml:space="preserve"> </w:t>
      </w:r>
      <w:r>
        <w:t xml:space="preserve">answer format, prompt factor, colour pair, source subset, and visual clarity. A1/A2 were</w:t>
      </w:r>
      <w:r>
        <w:t xml:space="preserve"> </w:t>
      </w:r>
      <w:r>
        <w:t xml:space="preserve">kept as auxiliary stress tests because they changed the task assumption or response</w:t>
      </w:r>
      <w:r>
        <w:t xml:space="preserve"> </w:t>
      </w:r>
      <w:r>
        <w:t xml:space="preserve">space. Multi-turn prompts were treated as a separate interaction regime and were not</w:t>
      </w:r>
      <w:r>
        <w:t xml:space="preserve"> </w:t>
      </w:r>
      <w:r>
        <w:t xml:space="preserve">used to reinterpret the single-turn C0-C4 result.</w:t>
      </w:r>
    </w:p>
    <w:p>
      <w:pPr>
        <w:pStyle w:val="BodyText"/>
      </w:pPr>
      <w:r>
        <w:t xml:space="preserve">Reproducibility was checked against locked experimental artifacts. The audit compared</w:t>
      </w:r>
      <w:r>
        <w:t xml:space="preserve"> </w:t>
      </w:r>
      <w:r>
        <w:t xml:space="preserve">manifests, parsed outputs, result tables, figure source data, and report files against</w:t>
      </w:r>
      <w:r>
        <w:t xml:space="preserve"> </w:t>
      </w:r>
      <w:r>
        <w:t xml:space="preserve">the snapshot used for the manuscript.</w:t>
      </w:r>
    </w:p>
    <w:bookmarkEnd w:id="22"/>
    <w:bookmarkEnd w:id="23"/>
    <w:bookmarkStart w:id="38" w:name="results"/>
    <w:p>
      <w:pPr>
        <w:pStyle w:val="Heading2"/>
      </w:pPr>
      <w:r>
        <w:t xml:space="preserve">4. Results</w:t>
      </w:r>
    </w:p>
    <w:bookmarkStart w:id="24" w:name="Xd4754902de237fb40e9c75d1ba3e7b01ef36327"/>
    <w:p>
      <w:pPr>
        <w:pStyle w:val="Heading3"/>
      </w:pPr>
      <w:r>
        <w:t xml:space="preserve">4.1 Neutral prompting established a stable visual baseline</w:t>
      </w:r>
    </w:p>
    <w:p>
      <w:pPr>
        <w:pStyle w:val="FirstParagraph"/>
      </w:pPr>
      <w:r>
        <w:t xml:space="preserve">All three models answered all 300 images faithfully under C0. For LLaVA-1.5-7B,</w:t>
      </w:r>
      <w:r>
        <w:t xml:space="preserve"> </w:t>
      </w:r>
      <w:r>
        <w:t xml:space="preserve">Qwen2-VL-7B-Instruct, and InternVL2-8B, the C0 results were faithful = 300/300 and</w:t>
      </w:r>
      <w:r>
        <w:t xml:space="preserve"> </w:t>
      </w:r>
      <w:r>
        <w:t xml:space="preserve">conflict_aligned = 0/300. The main C0-C4 table also contained no refusals, parse errors,</w:t>
      </w:r>
      <w:r>
        <w:t xml:space="preserve"> </w:t>
      </w:r>
      <w:r>
        <w:t xml:space="preserve">or other-wrong outputs. Thus, the primary task was not dominated by neutral-prompt</w:t>
      </w:r>
      <w:r>
        <w:t xml:space="preserve"> </w:t>
      </w:r>
      <w:r>
        <w:t xml:space="preserve">colour-recognition failure.</w:t>
      </w:r>
    </w:p>
    <w:p>
      <w:pPr>
        <w:pStyle w:val="BodyText"/>
      </w:pPr>
      <w:r>
        <w:rPr>
          <w:b/>
          <w:bCs/>
        </w:rPr>
        <w:t xml:space="preserve">Table 3. Main C0-C4 metrics.</w:t>
      </w:r>
      <w:r>
        <w:t xml:space="preserve"> </w:t>
      </w:r>
      <w:r>
        <w:t xml:space="preserve">Values are counts out of 300 with percentages and 95% confidence intervals in brackets. Asterisks and daggers follow the locked source table and mark the primary LLaVA C3/C4 findings.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9"/>
        <w:gridCol w:w="927"/>
        <w:gridCol w:w="356"/>
        <w:gridCol w:w="2425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False-colour 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Faithful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LLaVA-1.5-7B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LLaVA-1.5-7B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1/300 (0.33% [0.06%, 1.86%])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299/300 (99.67% [98.14%, 99.94%])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LLaVA-1.5-7B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3/300 (1.00% [0.34%, 2.90%])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297/300 (99.00% [97.10%, 99.66%])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LLaVA-1.5-7B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27/300 (9.00% [6.26%, 12.78%])*†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273/300 (91.00% [87.22%, 93.74%])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LLaVA-1.5-7B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10/300 (3.33% [1.82%, 6.03%])*†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290/300 (96.67% [93.97%, 98.18%])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Qwen2-VL-7B-Instruct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Qwen2-VL-7B-Instruct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Qwen2-VL-7B-Instruct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Qwen2-VL-7B-Instruct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1/300 (0.33% [0.06%, 1.86%])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299/300 (99.67% [98.14%, 99.94%])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Qwen2-VL-7B-Instruct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1/300 (0.33% [0.06%, 1.86%])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299/300 (99.67% [98.14%, 99.94%])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InternVL2-8B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InternVL2-8B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InternVL2-8B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InternVL2-8B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InternVL2-8B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</w:tbl>
    <w:bookmarkEnd w:id="24"/>
    <w:bookmarkStart w:id="28" w:name="X559092dc33149abda0a5dac5965ed2fbbcd0b0d"/>
    <w:p>
      <w:pPr>
        <w:pStyle w:val="Heading3"/>
      </w:pPr>
      <w:r>
        <w:t xml:space="preserve">4.2 Primary conflict prompts produced a limited LLaVA-specific shift</w:t>
      </w:r>
    </w:p>
    <w:p>
      <w:pPr>
        <w:pStyle w:val="FirstParagraph"/>
      </w:pPr>
      <w:r>
        <w:t xml:space="preserve">Most conflict-condition outputs remained visually faithful. Qwen2-VL-7B-Instruct</w:t>
      </w:r>
      <w:r>
        <w:t xml:space="preserve"> </w:t>
      </w:r>
      <w:r>
        <w:t xml:space="preserve">produced no conflict-following outputs in C1 or C2 and one in each of C3 and C4.</w:t>
      </w:r>
      <w:r>
        <w:t xml:space="preserve"> </w:t>
      </w:r>
      <w:r>
        <w:t xml:space="preserve">InternVL2-8B produced none across C0-C4. LLaVA-1.5-7B was the only model with a clear</w:t>
      </w:r>
      <w:r>
        <w:t xml:space="preserve"> </w:t>
      </w:r>
      <w:r>
        <w:t xml:space="preserve">primary shift: 1/300 in C1, 3/300 in C2, 27/300 in C3, and 10/300 in C4.</w:t>
      </w:r>
    </w:p>
    <w:p>
      <w:pPr>
        <w:pStyle w:val="BodyText"/>
      </w:pPr>
      <w:r>
        <w:t xml:space="preserve">The LLaVA C3 rate was 9.00%, with a 95% confidence interval of 6.26-12.78%. The C4 rate</w:t>
      </w:r>
      <w:r>
        <w:t xml:space="preserve"> </w:t>
      </w:r>
      <w:r>
        <w:t xml:space="preserve">was 3.33%, with a 95% confidence interval of 1.82-6.03%. The C3 and C4 increases were</w:t>
      </w:r>
      <w:r>
        <w:t xml:space="preserve"> </w:t>
      </w:r>
      <w:r>
        <w:t xml:space="preserve">significant in paired tests against C0 and in matched-image comparisons against the</w:t>
      </w:r>
      <w:r>
        <w:t xml:space="preserve"> </w:t>
      </w:r>
      <w:r>
        <w:t xml:space="preserve">stable models.</w:t>
      </w:r>
    </w:p>
    <w:p>
      <w:pPr>
        <w:pStyle w:val="BodyText"/>
      </w:pPr>
      <w:r>
        <w:drawing>
          <wp:inline>
            <wp:extent cx="3984280" cy="279357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figure2_main_conflict_rat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280" cy="2793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 Primary C0-C4 conflict-following rates.</w:t>
      </w:r>
      <w:r>
        <w:t xml:space="preserve"> </w:t>
      </w:r>
      <w:r>
        <w:t xml:space="preserve">Points show false-colour-aligned</w:t>
      </w:r>
      <w:r>
        <w:t xml:space="preserve"> </w:t>
      </w:r>
      <w:r>
        <w:t xml:space="preserve">output rates for each model-condition cell with Wilson confidence intervals. Non-zero</w:t>
      </w:r>
      <w:r>
        <w:t xml:space="preserve"> </w:t>
      </w:r>
      <w:r>
        <w:t xml:space="preserve">labels mark counts out of 300.</w:t>
      </w:r>
    </w:p>
    <w:bookmarkEnd w:id="28"/>
    <w:bookmarkStart w:id="32" w:name="X4db3d0f9ded3cbadc636195b20c2a9a8a827d9a"/>
    <w:p>
      <w:pPr>
        <w:pStyle w:val="Heading3"/>
      </w:pPr>
      <w:r>
        <w:t xml:space="preserve">4.3 Same-image flips narrowed the attribution</w:t>
      </w:r>
    </w:p>
    <w:p>
      <w:pPr>
        <w:pStyle w:val="FirstParagraph"/>
      </w:pPr>
      <w:r>
        <w:t xml:space="preserve">Because all conditions used the same images and all C0 outputs were faithful, the LLaVA</w:t>
      </w:r>
      <w:r>
        <w:t xml:space="preserve"> </w:t>
      </w:r>
      <w:r>
        <w:t xml:space="preserve">C3 and C4 conflict-following outputs can be written as same-image paired flips. LLaVA</w:t>
      </w:r>
      <w:r>
        <w:t xml:space="preserve"> </w:t>
      </w:r>
      <w:r>
        <w:t xml:space="preserve">had 27/300 faithful-to-conflict flips in C3 and 10/300 in C4. These correspond to</w:t>
      </w:r>
      <w:r>
        <w:t xml:space="preserve"> </w:t>
      </w:r>
      <w:r>
        <w:t xml:space="preserve">faithful retention rates of 91.00% and 96.67%. Qwen2-VL-7B-Instruct had one such flip</w:t>
      </w:r>
      <w:r>
        <w:t xml:space="preserve"> </w:t>
      </w:r>
      <w:r>
        <w:t xml:space="preserve">in each of C3 and C4. InternVL2-8B had none across C1-C4.</w:t>
      </w:r>
    </w:p>
    <w:p>
      <w:pPr>
        <w:pStyle w:val="BodyText"/>
      </w:pPr>
      <w:r>
        <w:t xml:space="preserve">This paired interpretation reduces a key ambiguity in conflict evaluation. It does not</w:t>
      </w:r>
      <w:r>
        <w:t xml:space="preserve"> </w:t>
      </w:r>
      <w:r>
        <w:t xml:space="preserve">identify a general causal mechanism, but it ties each changed answer to identical visual</w:t>
      </w:r>
      <w:r>
        <w:t xml:space="preserve"> </w:t>
      </w:r>
      <w:r>
        <w:t xml:space="preserve">evidence under a changed prompt.</w:t>
      </w:r>
    </w:p>
    <w:p>
      <w:pPr>
        <w:pStyle w:val="BodyText"/>
      </w:pPr>
      <w:r>
        <w:drawing>
          <wp:inline>
            <wp:extent cx="4732287" cy="297828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figure3_paired_flip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287" cy="2978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 Same-image paired faithful-to-conflict flips.</w:t>
      </w:r>
      <w:r>
        <w:t xml:space="preserve"> </w:t>
      </w:r>
      <w:r>
        <w:t xml:space="preserve">Bars show the number of</w:t>
      </w:r>
      <w:r>
        <w:t xml:space="preserve"> </w:t>
      </w:r>
      <w:r>
        <w:t xml:space="preserve">images for which a model is faithful under C0 and false-colour-aligned under C1-C4.</w:t>
      </w:r>
    </w:p>
    <w:bookmarkEnd w:id="32"/>
    <w:bookmarkStart w:id="36" w:name="diagnostics-bounded-the-main-result"/>
    <w:p>
      <w:pPr>
        <w:pStyle w:val="Heading3"/>
      </w:pPr>
      <w:r>
        <w:t xml:space="preserve">4.4 Diagnostics bounded the main result</w:t>
      </w:r>
    </w:p>
    <w:p>
      <w:pPr>
        <w:pStyle w:val="FirstParagraph"/>
      </w:pPr>
      <w:r>
        <w:t xml:space="preserve">Auxiliary stress tests showed that stronger constraints could push all tested models</w:t>
      </w:r>
      <w:r>
        <w:t xml:space="preserve"> </w:t>
      </w:r>
      <w:r>
        <w:t xml:space="preserve">toward the false-colour family. Qwen2-VL-7B-Instruct reached 55.67% in A1 and 90.67%</w:t>
      </w:r>
      <w:r>
        <w:t xml:space="preserve"> </w:t>
      </w:r>
      <w:r>
        <w:t xml:space="preserve">in A2. LLaVA-1.5-7B reached 85.33% in A1 and 100.00% in A2. InternVL2-8B reached</w:t>
      </w:r>
      <w:r>
        <w:t xml:space="preserve"> </w:t>
      </w:r>
      <w:r>
        <w:t xml:space="preserve">73.67% in A1 and 100.00% in A2. These results do not replace the open-answer C0-C4</w:t>
      </w:r>
      <w:r>
        <w:t xml:space="preserve"> </w:t>
      </w:r>
      <w:r>
        <w:t xml:space="preserve">evidence because they changed the task assumption or response space.</w:t>
      </w:r>
    </w:p>
    <w:p>
      <w:pPr>
        <w:pStyle w:val="BodyText"/>
      </w:pPr>
      <w:r>
        <w:t xml:space="preserve">The LLaVA C3/C4 result was conditional rather than stable across prompt variants. Under</w:t>
      </w:r>
      <w:r>
        <w:t xml:space="preserve"> </w:t>
      </w:r>
      <w:r>
        <w:t xml:space="preserve">C3 wording robustness, LLaVA dropped from 27/300 under canonical C3 to 5/300 under</w:t>
      </w:r>
      <w:r>
        <w:t xml:space="preserve"> </w:t>
      </w:r>
      <w:r>
        <w:t xml:space="preserve">C3-v2 and 0/300 under C3-v3. Answer format also changed the observed rate. Canonical C3</w:t>
      </w:r>
      <w:r>
        <w:t xml:space="preserve"> </w:t>
      </w:r>
      <w:r>
        <w:t xml:space="preserve">was larger than matched free-answer C3 at 7/300, multiple-choice C3 at 4/300, and yes/no</w:t>
      </w:r>
      <w:r>
        <w:t xml:space="preserve"> </w:t>
      </w:r>
      <w:r>
        <w:t xml:space="preserve">false-claim probing at 4/300.</w:t>
      </w:r>
    </w:p>
    <w:p>
      <w:pPr>
        <w:pStyle w:val="BodyText"/>
      </w:pPr>
      <w:r>
        <w:t xml:space="preserve">The effect was also concentrated in a small set of colour routes. Among LLaVA’s 27 C3</w:t>
      </w:r>
      <w:r>
        <w:t xml:space="preserve"> </w:t>
      </w:r>
      <w:r>
        <w:t xml:space="preserve">flips, 20 were white-to-black, 3 were black-to-white, and 4 were blue-to-red. C4 was</w:t>
      </w:r>
      <w:r>
        <w:t xml:space="preserve"> </w:t>
      </w:r>
      <w:r>
        <w:t xml:space="preserve">also concentrated in the white-to-black route, with 8/10 flips in that route and 2/10</w:t>
      </w:r>
      <w:r>
        <w:t xml:space="preserve"> </w:t>
      </w:r>
      <w:r>
        <w:t xml:space="preserve">in black-to-white. Thus, the 9.00% C3 result should not be described as broad</w:t>
      </w:r>
      <w:r>
        <w:t xml:space="preserve"> </w:t>
      </w:r>
      <w:r>
        <w:t xml:space="preserve">colour-task susceptibility.</w:t>
      </w:r>
    </w:p>
    <w:p>
      <w:pPr>
        <w:pStyle w:val="BodyText"/>
      </w:pPr>
      <w:r>
        <w:drawing>
          <wp:inline>
            <wp:extent cx="5334000" cy="398906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figure4_boundary_diagnostic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9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 Boundary diagnostics for the primary LLaVA shift.</w:t>
      </w:r>
      <w:r>
        <w:t xml:space="preserve"> </w:t>
      </w:r>
      <w:r>
        <w:t xml:space="preserve">Panels summarise C3</w:t>
      </w:r>
      <w:r>
        <w:t xml:space="preserve"> </w:t>
      </w:r>
      <w:r>
        <w:t xml:space="preserve">wording robustness, answer-format controls, colour-pair concentration, and</w:t>
      </w:r>
      <w:r>
        <w:t xml:space="preserve"> </w:t>
      </w:r>
      <w:r>
        <w:t xml:space="preserve">factorized-prompt effects. This figure bounds the primary claim rather than replacing</w:t>
      </w:r>
      <w:r>
        <w:t xml:space="preserve"> </w:t>
      </w:r>
      <w:r>
        <w:t xml:space="preserve">it.</w:t>
      </w:r>
    </w:p>
    <w:bookmarkEnd w:id="36"/>
    <w:bookmarkStart w:id="37" w:name="validity-checks-and-multi-turn-extension"/>
    <w:p>
      <w:pPr>
        <w:pStyle w:val="Heading3"/>
      </w:pPr>
      <w:r>
        <w:t xml:space="preserve">4.5 Validity checks and multi-turn extension</w:t>
      </w:r>
    </w:p>
    <w:p>
      <w:pPr>
        <w:pStyle w:val="FirstParagraph"/>
      </w:pPr>
      <w:r>
        <w:t xml:space="preserve">Source-stratified checks reduced the concern that the main pattern was confined to one</w:t>
      </w:r>
      <w:r>
        <w:t xml:space="preserve"> </w:t>
      </w:r>
      <w:r>
        <w:t xml:space="preserve">source subset. Under C0, all three models were faithful in both StanfordCars and VCoR.</w:t>
      </w:r>
      <w:r>
        <w:t xml:space="preserve"> </w:t>
      </w:r>
      <w:r>
        <w:t xml:space="preserve">Under C3, LLaVA conflict-following appeared in both source groups, with 13/93 in</w:t>
      </w:r>
      <w:r>
        <w:t xml:space="preserve"> </w:t>
      </w:r>
      <w:r>
        <w:t xml:space="preserve">StanfordCars and 14/207 in VCoR. This check supports source robustness as a sanity</w:t>
      </w:r>
      <w:r>
        <w:t xml:space="preserve"> </w:t>
      </w:r>
      <w:r>
        <w:t xml:space="preserve">check, not as a source-generalisation benchmark.</w:t>
      </w:r>
    </w:p>
    <w:p>
      <w:pPr>
        <w:pStyle w:val="BodyText"/>
      </w:pPr>
      <w:r>
        <w:t xml:space="preserve">The visual clarity audit reviewed 42 target flip rows and 42 matched faithful controls.</w:t>
      </w:r>
      <w:r>
        <w:t xml:space="preserve"> </w:t>
      </w:r>
      <w:r>
        <w:t xml:space="preserve">Most target rows were visually inspectable, with 38/42 clear compared with 39/42</w:t>
      </w:r>
      <w:r>
        <w:t xml:space="preserve"> </w:t>
      </w:r>
      <w:r>
        <w:t xml:space="preserve">controls. However, visual confound flags were more frequent among target rows than</w:t>
      </w:r>
      <w:r>
        <w:t xml:space="preserve"> </w:t>
      </w:r>
      <w:r>
        <w:t xml:space="preserve">controls, at 11/42 versus 4/42. Reflections, lighting, background colour, and multi-car</w:t>
      </w:r>
      <w:r>
        <w:t xml:space="preserve"> </w:t>
      </w:r>
      <w:r>
        <w:t xml:space="preserve">interference remain plausible local factors.</w:t>
      </w:r>
    </w:p>
    <w:p>
      <w:pPr>
        <w:pStyle w:val="BodyText"/>
      </w:pPr>
      <w:r>
        <w:t xml:space="preserve">The multi-turn diagnostic tested a separate interaction regime. LLaVA and Qwen remained</w:t>
      </w:r>
      <w:r>
        <w:t xml:space="preserve"> </w:t>
      </w:r>
      <w:r>
        <w:t xml:space="preserve">near zero in the tested multi-turn conditions, while InternVL2 rose to 21.33% in MT2</w:t>
      </w:r>
      <w:r>
        <w:t xml:space="preserve"> </w:t>
      </w:r>
      <w:r>
        <w:t xml:space="preserve">and 74.67% in MT3. Repeated dialogue context can therefore create a strong</w:t>
      </w:r>
      <w:r>
        <w:t xml:space="preserve"> </w:t>
      </w:r>
      <w:r>
        <w:t xml:space="preserve">model-specific vulnerability, but this result should not be folded into the single-turn</w:t>
      </w:r>
      <w:r>
        <w:t xml:space="preserve"> </w:t>
      </w:r>
      <w:r>
        <w:t xml:space="preserve">C0-C4 claim.</w:t>
      </w:r>
    </w:p>
    <w:bookmarkEnd w:id="37"/>
    <w:bookmarkEnd w:id="38"/>
    <w:bookmarkStart w:id="42" w:name="discussion"/>
    <w:p>
      <w:pPr>
        <w:pStyle w:val="Heading2"/>
      </w:pPr>
      <w:r>
        <w:t xml:space="preserve">5. Discussion</w:t>
      </w:r>
    </w:p>
    <w:p>
      <w:pPr>
        <w:pStyle w:val="FirstParagraph"/>
      </w:pPr>
      <w:r>
        <w:t xml:space="preserve">The central finding is a local paired observation. In a controlled car-body colour task,</w:t>
      </w:r>
      <w:r>
        <w:t xml:space="preserve"> </w:t>
      </w:r>
      <w:r>
        <w:t xml:space="preserve">all three models were fully faithful under neutral prompting, and most</w:t>
      </w:r>
      <w:r>
        <w:t xml:space="preserve"> </w:t>
      </w:r>
      <w:r>
        <w:t xml:space="preserve">conflict-condition outputs remained faithful. Within the primary single-turn prompt</w:t>
      </w:r>
      <w:r>
        <w:t xml:space="preserve"> </w:t>
      </w:r>
      <w:r>
        <w:t xml:space="preserve">family, LLaVA-1.5-7B showed limited same-image conflict-following under canonical C3</w:t>
      </w:r>
      <w:r>
        <w:t xml:space="preserve"> </w:t>
      </w:r>
      <w:r>
        <w:t xml:space="preserve">and C4. The paired design makes this observation more interpretable than an unpaired</w:t>
      </w:r>
      <w:r>
        <w:t xml:space="preserve"> </w:t>
      </w:r>
      <w:r>
        <w:t xml:space="preserve">aggregate comparison because each flip is tied to identical visual evidence.</w:t>
      </w:r>
    </w:p>
    <w:p>
      <w:pPr>
        <w:pStyle w:val="BodyText"/>
      </w:pPr>
      <w:r>
        <w:t xml:space="preserve">This finding refines, rather than replaces, prior concerns about multimodal</w:t>
      </w:r>
      <w:r>
        <w:t xml:space="preserve"> </w:t>
      </w:r>
      <w:r>
        <w:t xml:space="preserve">hallucination, language priors, and conflict sensitivity. The present evidence shows</w:t>
      </w:r>
      <w:r>
        <w:t xml:space="preserve"> </w:t>
      </w:r>
      <w:r>
        <w:t xml:space="preserve">that misleading text can matter in a simple visual attribute task. It also shows that</w:t>
      </w:r>
      <w:r>
        <w:t xml:space="preserve"> </w:t>
      </w:r>
      <w:r>
        <w:t xml:space="preserve">the effect can be model-, wording-, format-, and colour-pair-dependent. The result is</w:t>
      </w:r>
      <w:r>
        <w:t xml:space="preserve"> </w:t>
      </w:r>
      <w:r>
        <w:t xml:space="preserve">therefore best read as a bounded behavioural pattern, not as a stable cross-template law.</w:t>
      </w:r>
    </w:p>
    <w:p>
      <w:pPr>
        <w:pStyle w:val="BodyText"/>
      </w:pPr>
      <w:r>
        <w:t xml:space="preserve">The stable C0-C4 behaviour of Qwen2-VL-7B-Instruct and InternVL2-8B is also local. It</w:t>
      </w:r>
      <w:r>
        <w:t xml:space="preserve"> </w:t>
      </w:r>
      <w:r>
        <w:t xml:space="preserve">supports the statement that these two models were essentially stable in the present</w:t>
      </w:r>
      <w:r>
        <w:t xml:space="preserve"> </w:t>
      </w:r>
      <w:r>
        <w:t xml:space="preserve">primary template family. It does not imply global robustness to all misleading-text</w:t>
      </w:r>
      <w:r>
        <w:t xml:space="preserve"> </w:t>
      </w:r>
      <w:r>
        <w:t xml:space="preserve">designs. Factorized prompts and multi-turn diagnostics show that their behaviour can</w:t>
      </w:r>
      <w:r>
        <w:t xml:space="preserve"> </w:t>
      </w:r>
      <w:r>
        <w:t xml:space="preserve">change when the false-text form or interaction regime changes.</w:t>
      </w:r>
    </w:p>
    <w:p>
      <w:pPr>
        <w:pStyle w:val="BodyText"/>
      </w:pPr>
      <w:r>
        <w:drawing>
          <wp:inline>
            <wp:extent cx="5334000" cy="263703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s/claim_boundary_summar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7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Claim-boundary guide. Supported, bounded, and not claimed.</w:t>
      </w:r>
      <w:r>
        <w:t xml:space="preserve"> </w:t>
      </w:r>
      <w:r>
        <w:t xml:space="preserve">This guide restates the</w:t>
      </w:r>
      <w:r>
        <w:t xml:space="preserve"> </w:t>
      </w:r>
      <w:r>
        <w:t xml:space="preserve">interpretive boundary of the study: C0 faithfulness and LLaVA C3/C4 paired shifts are</w:t>
      </w:r>
      <w:r>
        <w:t xml:space="preserve"> </w:t>
      </w:r>
      <w:r>
        <w:t xml:space="preserve">supported, prompt and colour-pair dependence bound the conclusion, and the evidence does</w:t>
      </w:r>
      <w:r>
        <w:t xml:space="preserve"> </w:t>
      </w:r>
      <w:r>
        <w:t xml:space="preserve">not support a general text-over-vision claim.</w:t>
      </w:r>
    </w:p>
    <w:p>
      <w:pPr>
        <w:pStyle w:val="BodyText"/>
      </w:pPr>
      <w:r>
        <w:t xml:space="preserve">The main methodological value is the separation between primary paired evidence,</w:t>
      </w:r>
      <w:r>
        <w:t xml:space="preserve"> </w:t>
      </w:r>
      <w:r>
        <w:t xml:space="preserve">auxiliary stress tests, controlled diagnostics, validity checks, and extension</w:t>
      </w:r>
      <w:r>
        <w:t xml:space="preserve"> </w:t>
      </w:r>
      <w:r>
        <w:t xml:space="preserve">diagnostics. This separation gives reviewers a clearer basis for judging what the</w:t>
      </w:r>
      <w:r>
        <w:t xml:space="preserve"> </w:t>
      </w:r>
      <w:r>
        <w:t xml:space="preserve">evidence supports and where it stops.</w:t>
      </w:r>
    </w:p>
    <w:bookmarkEnd w:id="42"/>
    <w:bookmarkStart w:id="43" w:name="limitations"/>
    <w:p>
      <w:pPr>
        <w:pStyle w:val="Heading2"/>
      </w:pPr>
      <w:r>
        <w:t xml:space="preserve">6. Limitations</w:t>
      </w:r>
    </w:p>
    <w:p>
      <w:pPr>
        <w:pStyle w:val="FirstParagraph"/>
      </w:pPr>
      <w:r>
        <w:t xml:space="preserve">The task scope is intentionally narrow. The results concern primary car-body colour</w:t>
      </w:r>
      <w:r>
        <w:t xml:space="preserve"> </w:t>
      </w:r>
      <w:r>
        <w:t xml:space="preserve">recognition on a mixed-source 300-image evaluation set. They do not evaluate broad</w:t>
      </w:r>
      <w:r>
        <w:t xml:space="preserve"> </w:t>
      </w:r>
      <w:r>
        <w:t xml:space="preserve">multimodal understanding, multi-object reasoning, object relations, fine-grained vehicle</w:t>
      </w:r>
      <w:r>
        <w:t xml:space="preserve"> </w:t>
      </w:r>
      <w:r>
        <w:t xml:space="preserve">recognition, or deployment robustness.</w:t>
      </w:r>
    </w:p>
    <w:p>
      <w:pPr>
        <w:pStyle w:val="BodyText"/>
      </w:pPr>
      <w:r>
        <w:t xml:space="preserve">The model scope is limited to three checkpoints. Cross-model differences should be read</w:t>
      </w:r>
      <w:r>
        <w:t xml:space="preserve"> </w:t>
      </w:r>
      <w:r>
        <w:t xml:space="preserve">as local behavioural contrasts under the current protocol, not as architecture-level or</w:t>
      </w:r>
      <w:r>
        <w:t xml:space="preserve"> </w:t>
      </w:r>
      <w:r>
        <w:t xml:space="preserve">scale-level conclusions. The prompt scope is also limited. The clearest result occurs</w:t>
      </w:r>
      <w:r>
        <w:t xml:space="preserve"> </w:t>
      </w:r>
      <w:r>
        <w:t xml:space="preserve">under canonical C3 and, secondarily, C4. Wording, answer format, and prompt</w:t>
      </w:r>
      <w:r>
        <w:t xml:space="preserve"> </w:t>
      </w:r>
      <w:r>
        <w:t xml:space="preserve">factorization changed the observed rates.</w:t>
      </w:r>
    </w:p>
    <w:p>
      <w:pPr>
        <w:pStyle w:val="BodyText"/>
      </w:pPr>
      <w:r>
        <w:t xml:space="preserve">The visual clarity audit reduced but did not eliminate visual-confusion explanations.</w:t>
      </w:r>
      <w:r>
        <w:t xml:space="preserve"> </w:t>
      </w:r>
      <w:r>
        <w:t xml:space="preserve">Target flip rows were mostly inspectable, but local confounds were more common among</w:t>
      </w:r>
      <w:r>
        <w:t xml:space="preserve"> </w:t>
      </w:r>
      <w:r>
        <w:t xml:space="preserve">flips than controls. The current evidence supports a text-related shift in specific</w:t>
      </w:r>
      <w:r>
        <w:t xml:space="preserve"> </w:t>
      </w:r>
      <w:r>
        <w:t xml:space="preserve">cases. It does not show that every flip is free of visual ambiguity.</w:t>
      </w:r>
    </w:p>
    <w:p>
      <w:pPr>
        <w:pStyle w:val="BodyText"/>
      </w:pPr>
      <w:r>
        <w:t xml:space="preserve">The evaluation set is modest in size. The balanced design helps isolate paired prompt</w:t>
      </w:r>
      <w:r>
        <w:t xml:space="preserve"> </w:t>
      </w:r>
      <w:r>
        <w:t xml:space="preserve">effects, but it cannot estimate performance across all vehicle domains, camera</w:t>
      </w:r>
      <w:r>
        <w:t xml:space="preserve"> </w:t>
      </w:r>
      <w:r>
        <w:t xml:space="preserve">conditions, or colour distributions. Larger preregistered image sets would be needed to</w:t>
      </w:r>
      <w:r>
        <w:t xml:space="preserve"> </w:t>
      </w:r>
      <w:r>
        <w:t xml:space="preserve">turn the present behavioural pattern into a broader benchmark claim.</w:t>
      </w:r>
    </w:p>
    <w:bookmarkEnd w:id="43"/>
    <w:bookmarkStart w:id="44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This work demonstrates a bounded way to study false-text influence in VLM image</w:t>
      </w:r>
      <w:r>
        <w:t xml:space="preserve"> </w:t>
      </w:r>
      <w:r>
        <w:t xml:space="preserve">interpretation. In a paired car-body colour task, all three tested models were faithful</w:t>
      </w:r>
      <w:r>
        <w:t xml:space="preserve"> </w:t>
      </w:r>
      <w:r>
        <w:t xml:space="preserve">under neutral C0 prompting. In the primary single-turn C0-C4 prompt family,</w:t>
      </w:r>
      <w:r>
        <w:t xml:space="preserve"> </w:t>
      </w:r>
      <w:r>
        <w:t xml:space="preserve">LLaVA-1.5-7B showed limited but significant same-image conflict-following under</w:t>
      </w:r>
      <w:r>
        <w:t xml:space="preserve"> </w:t>
      </w:r>
      <w:r>
        <w:t xml:space="preserve">canonical C3 and C4, while Qwen2-VL-7B-Instruct and InternVL2-8B remained essentially</w:t>
      </w:r>
      <w:r>
        <w:t xml:space="preserve"> </w:t>
      </w:r>
      <w:r>
        <w:t xml:space="preserve">stable. Controlled diagnostics showed that the shift was wording-, format-, factor-,</w:t>
      </w:r>
      <w:r>
        <w:t xml:space="preserve"> </w:t>
      </w:r>
      <w:r>
        <w:t xml:space="preserve">and colour-pair-sensitive, and validity checks reduced but did not remove alternative</w:t>
      </w:r>
      <w:r>
        <w:t xml:space="preserve"> </w:t>
      </w:r>
      <w:r>
        <w:t xml:space="preserve">explanations. The strongest supported conclusion is therefore local: false textual cues</w:t>
      </w:r>
      <w:r>
        <w:t xml:space="preserve"> </w:t>
      </w:r>
      <w:r>
        <w:t xml:space="preserve">can shift one tested model in specific prompt settings, but the evidence does not</w:t>
      </w:r>
      <w:r>
        <w:t xml:space="preserve"> </w:t>
      </w:r>
      <w:r>
        <w:t xml:space="preserve">support a general text-over-vision claim.</w:t>
      </w:r>
    </w:p>
    <w:bookmarkEnd w:id="44"/>
    <w:bookmarkStart w:id="45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The processed manifests, reviewed colour labels, prompt condition tables, parsed model</w:t>
      </w:r>
      <w:r>
        <w:t xml:space="preserve"> </w:t>
      </w:r>
      <w:r>
        <w:t xml:space="preserve">outputs, result tables, figure source data, audit summaries, and reproducibility records</w:t>
      </w:r>
      <w:r>
        <w:t xml:space="preserve"> </w:t>
      </w:r>
      <w:r>
        <w:t xml:space="preserve">are available in the project repository at</w:t>
      </w:r>
      <w:r>
        <w:t xml:space="preserve"> </w:t>
      </w:r>
      <w:r>
        <w:rPr>
          <w:rStyle w:val="VerbatimChar"/>
        </w:rPr>
        <w:t xml:space="preserve">https://github.com/NorthDudu-Bird/multimodal_conflict_decision_boundary_hallucination</w:t>
      </w:r>
      <w:r>
        <w:t xml:space="preserve">.</w:t>
      </w:r>
      <w:r>
        <w:t xml:space="preserve"> </w:t>
      </w:r>
      <w:r>
        <w:t xml:space="preserve">This repository should be archived in a DOI-bearing release before submission. The</w:t>
      </w:r>
      <w:r>
        <w:t xml:space="preserve"> </w:t>
      </w:r>
      <w:r>
        <w:t xml:space="preserve">primary 300-image evaluation manifest is stored at</w:t>
      </w:r>
      <w:r>
        <w:t xml:space="preserve"> </w:t>
      </w:r>
      <w:r>
        <w:rPr>
          <w:rStyle w:val="VerbatimChar"/>
        </w:rPr>
        <w:t xml:space="preserve">data/balanced_eval_set/final_manifest.csv</w:t>
      </w:r>
      <w:r>
        <w:t xml:space="preserve">, with the balanced-set summary at</w:t>
      </w:r>
      <w:r>
        <w:t xml:space="preserve"> </w:t>
      </w:r>
      <w:r>
        <w:rPr>
          <w:rStyle w:val="VerbatimChar"/>
        </w:rPr>
        <w:t xml:space="preserve">data/metadata/balanced_eval_set/balanced_eval_set_summary.json</w:t>
      </w:r>
      <w:r>
        <w:t xml:space="preserve">. Figure source data for</w:t>
      </w:r>
      <w:r>
        <w:t xml:space="preserve"> </w:t>
      </w:r>
      <w:r>
        <w:t xml:space="preserve">the conference draft are provided under</w:t>
      </w:r>
      <w:r>
        <w:t xml:space="preserve"> </w:t>
      </w:r>
      <w:r>
        <w:rPr>
          <w:rStyle w:val="VerbatimChar"/>
        </w:rPr>
        <w:t xml:space="preserve">figures/conference/source_data/</w:t>
      </w:r>
      <w:r>
        <w:t xml:space="preserve">.</w:t>
      </w:r>
    </w:p>
    <w:p>
      <w:pPr>
        <w:pStyle w:val="BodyText"/>
      </w:pPr>
      <w:r>
        <w:t xml:space="preserve">The underlying vehicle images are reused third-party data from StanfordCars and VCoR.</w:t>
      </w:r>
      <w:r>
        <w:t xml:space="preserve"> </w:t>
      </w:r>
      <w:r>
        <w:t xml:space="preserve">Readers should obtain the original images from the corresponding dataset providers and</w:t>
      </w:r>
      <w:r>
        <w:t xml:space="preserve"> </w:t>
      </w:r>
      <w:r>
        <w:t xml:space="preserve">respect their terms of use. The repository records source dataset identity, source</w:t>
      </w:r>
      <w:r>
        <w:t xml:space="preserve"> </w:t>
      </w:r>
      <w:r>
        <w:t xml:space="preserve">paths, cropped-image paths, reviewed labels, and selection metadata needed to reconstruct</w:t>
      </w:r>
      <w:r>
        <w:t xml:space="preserve"> </w:t>
      </w:r>
      <w:r>
        <w:t xml:space="preserve">the evaluation set, but the paper does not claim to newly release or relicense the</w:t>
      </w:r>
      <w:r>
        <w:t xml:space="preserve"> </w:t>
      </w:r>
      <w:r>
        <w:t xml:space="preserve">original third-party image collections.</w:t>
      </w:r>
    </w:p>
    <w:bookmarkEnd w:id="45"/>
    <w:bookmarkStart w:id="46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The analysis and figure-generation code used for this manuscript draft is available in</w:t>
      </w:r>
      <w:r>
        <w:t xml:space="preserve"> </w:t>
      </w:r>
      <w:r>
        <w:t xml:space="preserve">the same repository at</w:t>
      </w:r>
      <w:r>
        <w:t xml:space="preserve"> </w:t>
      </w:r>
      <w:r>
        <w:rPr>
          <w:rStyle w:val="VerbatimChar"/>
        </w:rPr>
        <w:t xml:space="preserve">https://github.com/NorthDudu-Bird/multimodal_conflict_decision_boundary_hallucination</w:t>
      </w:r>
      <w:r>
        <w:t xml:space="preserve">.</w:t>
      </w:r>
      <w:r>
        <w:t xml:space="preserve"> </w:t>
      </w:r>
      <w:r>
        <w:t xml:space="preserve">The main reproduction entry points are documented in</w:t>
      </w:r>
      <w:r>
        <w:t xml:space="preserve"> </w:t>
      </w:r>
      <w:r>
        <w:rPr>
          <w:rStyle w:val="VerbatimChar"/>
        </w:rPr>
        <w:t xml:space="preserve">docs/reproduction.md</w:t>
      </w:r>
      <w:r>
        <w:t xml:space="preserve">; the current</w:t>
      </w:r>
      <w:r>
        <w:t xml:space="preserve"> </w:t>
      </w:r>
      <w:r>
        <w:t xml:space="preserve">conference-figure script is</w:t>
      </w:r>
      <w:r>
        <w:t xml:space="preserve"> </w:t>
      </w:r>
      <w:r>
        <w:rPr>
          <w:rStyle w:val="VerbatimChar"/>
        </w:rPr>
        <w:t xml:space="preserve">scripts/make_conference_figures.py</w:t>
      </w:r>
      <w:r>
        <w:t xml:space="preserve">. Model weights are not</w:t>
      </w:r>
      <w:r>
        <w:t xml:space="preserve"> </w:t>
      </w:r>
      <w:r>
        <w:t xml:space="preserve">redistributed by this repository and should be obtained from their respective model</w:t>
      </w:r>
      <w:r>
        <w:t xml:space="preserve"> </w:t>
      </w:r>
      <w:r>
        <w:t xml:space="preserve">providers.</w:t>
      </w:r>
    </w:p>
    <w:bookmarkEnd w:id="46"/>
    <w:bookmarkStart w:id="4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A. Radford et al.,</w:t>
      </w:r>
      <w:r>
        <w:t xml:space="preserve"> </w:t>
      </w:r>
      <w:r>
        <w:t xml:space="preserve">“Learning Transferable Visual Models From Natural Language Supervision,”</w:t>
      </w:r>
      <w:r>
        <w:t xml:space="preserve"> </w:t>
      </w:r>
      <w:r>
        <w:t xml:space="preserve">in Proc. ICML, 2021.</w:t>
      </w:r>
    </w:p>
    <w:p>
      <w:pPr>
        <w:pStyle w:val="BodyText"/>
      </w:pPr>
      <w:r>
        <w:t xml:space="preserve">[2] J.-B. Alayrac et al.,</w:t>
      </w:r>
      <w:r>
        <w:t xml:space="preserve"> </w:t>
      </w:r>
      <w:r>
        <w:t xml:space="preserve">“Flamingo: a Visual Language Model for Few-Shot Learning,”</w:t>
      </w:r>
      <w:r>
        <w:t xml:space="preserve"> </w:t>
      </w:r>
      <w:r>
        <w:t xml:space="preserve">arXiv:2204.14198, 2022.</w:t>
      </w:r>
    </w:p>
    <w:p>
      <w:pPr>
        <w:pStyle w:val="BodyText"/>
      </w:pPr>
      <w:r>
        <w:t xml:space="preserve">[3] J. Li, D. Li, S. Savarese, and S. Hoi,</w:t>
      </w:r>
      <w:r>
        <w:t xml:space="preserve"> </w:t>
      </w:r>
      <w:r>
        <w:t xml:space="preserve">“BLIP-2: Bootstrapping Language-Image Pre-training with Frozen Image Encoders and Large Language Models,”</w:t>
      </w:r>
      <w:r>
        <w:t xml:space="preserve"> </w:t>
      </w:r>
      <w:r>
        <w:t xml:space="preserve">in Proc. ICML, 2023.</w:t>
      </w:r>
    </w:p>
    <w:p>
      <w:pPr>
        <w:pStyle w:val="BodyText"/>
      </w:pPr>
      <w:r>
        <w:t xml:space="preserve">[4] H. Liu, C. Li, Q. Wu, and Y. J. Lee,</w:t>
      </w:r>
      <w:r>
        <w:t xml:space="preserve"> </w:t>
      </w:r>
      <w:r>
        <w:t xml:space="preserve">“Visual Instruction Tuning,”</w:t>
      </w:r>
      <w:r>
        <w:t xml:space="preserve"> </w:t>
      </w:r>
      <w:r>
        <w:t xml:space="preserve">arXiv:2304.08485, 2023.</w:t>
      </w:r>
    </w:p>
    <w:p>
      <w:pPr>
        <w:pStyle w:val="BodyText"/>
      </w:pPr>
      <w:r>
        <w:t xml:space="preserve">[5] H. Liu, C. Li, Y. Li, and Y. J. Lee,</w:t>
      </w:r>
      <w:r>
        <w:t xml:space="preserve"> </w:t>
      </w:r>
      <w:r>
        <w:t xml:space="preserve">“Improved Baselines with Visual Instruction Tuning,”</w:t>
      </w:r>
      <w:r>
        <w:t xml:space="preserve"> </w:t>
      </w:r>
      <w:r>
        <w:t xml:space="preserve">arXiv:2310.03744, 2023.</w:t>
      </w:r>
    </w:p>
    <w:p>
      <w:pPr>
        <w:pStyle w:val="BodyText"/>
      </w:pPr>
      <w:r>
        <w:t xml:space="preserve">[6] Y. Goyal, T. Khot, D. Summers-Stay, D. Batra, and D. Parikh,</w:t>
      </w:r>
      <w:r>
        <w:t xml:space="preserve"> </w:t>
      </w:r>
      <w:r>
        <w:t xml:space="preserve">“Making the V in VQA Matter: Elevating the Role of Image Understanding in Visual Question Answering,”</w:t>
      </w:r>
      <w:r>
        <w:t xml:space="preserve"> </w:t>
      </w:r>
      <w:r>
        <w:t xml:space="preserve">in Proc. CVPR, 2017.</w:t>
      </w:r>
    </w:p>
    <w:p>
      <w:pPr>
        <w:pStyle w:val="BodyText"/>
      </w:pPr>
      <w:r>
        <w:t xml:space="preserve">[7] A. Agrawal, D. Batra, D. Parikh, and A. Kembhavi,</w:t>
      </w:r>
      <w:r>
        <w:t xml:space="preserve"> </w:t>
      </w:r>
      <w:r>
        <w:t xml:space="preserve">“Don’t Just Assume; Look and Answer: Overcoming Priors for Visual Question Answering,”</w:t>
      </w:r>
      <w:r>
        <w:t xml:space="preserve"> </w:t>
      </w:r>
      <w:r>
        <w:t xml:space="preserve">in Proc. CVPR, 2018.</w:t>
      </w:r>
    </w:p>
    <w:p>
      <w:pPr>
        <w:pStyle w:val="BodyText"/>
      </w:pPr>
      <w:r>
        <w:t xml:space="preserve">[8] Y. Li, Y. Du, K. Zhou, J. Wang, W. X. Zhao, and J.-R. Wen,</w:t>
      </w:r>
      <w:r>
        <w:t xml:space="preserve"> </w:t>
      </w:r>
      <w:r>
        <w:t xml:space="preserve">“Evaluating Object Hallucination in Large Vision-Language Models,”</w:t>
      </w:r>
      <w:r>
        <w:t xml:space="preserve"> </w:t>
      </w:r>
      <w:r>
        <w:t xml:space="preserve">arXiv:2305.10355, 2023.</w:t>
      </w:r>
    </w:p>
    <w:p>
      <w:pPr>
        <w:pStyle w:val="BodyText"/>
      </w:pPr>
      <w:r>
        <w:t xml:space="preserve">[9] T. Guan et al.,</w:t>
      </w:r>
      <w:r>
        <w:t xml:space="preserve"> </w:t>
      </w:r>
      <w:r>
        <w:t xml:space="preserve">“HallusionBench: An Advanced Diagnostic Suite for Entangled Language Hallucination and Visual Illusion in Large Vision-Language Models,”</w:t>
      </w:r>
      <w:r>
        <w:t xml:space="preserve"> </w:t>
      </w:r>
      <w:r>
        <w:t xml:space="preserve">arXiv:2310.14566, 2023.</w:t>
      </w:r>
    </w:p>
    <w:p>
      <w:pPr>
        <w:pStyle w:val="BodyText"/>
      </w:pPr>
      <w:r>
        <w:t xml:space="preserve">[10] K.-i. Lee, M. Kim, S. Yoon, M. Kim, D. Lee, H. Koh, and K. Jung,</w:t>
      </w:r>
      <w:r>
        <w:t xml:space="preserve"> </w:t>
      </w:r>
      <w:r>
        <w:t xml:space="preserve">“VLind-Bench: Measuring Language Priors in Large Vision-Language Models,”</w:t>
      </w:r>
      <w:r>
        <w:t xml:space="preserve"> </w:t>
      </w:r>
      <w:r>
        <w:t xml:space="preserve">arXiv:2406.08702, 2024.</w:t>
      </w:r>
    </w:p>
    <w:p>
      <w:pPr>
        <w:pStyle w:val="BodyText"/>
      </w:pPr>
      <w:r>
        <w:t xml:space="preserve">[11] Y. Liang et al.,</w:t>
      </w:r>
      <w:r>
        <w:t xml:space="preserve"> </w:t>
      </w:r>
      <w:r>
        <w:t xml:space="preserve">“ColorBench: Can VLMs See and Understand the Colorful World? A Comprehensive Benchmark for Color Perception, Reasoning, and Robustness,”</w:t>
      </w:r>
      <w:r>
        <w:t xml:space="preserve"> </w:t>
      </w:r>
      <w:r>
        <w:t xml:space="preserve">arXiv:2504.10514, 2025.</w:t>
      </w:r>
    </w:p>
    <w:p>
      <w:pPr>
        <w:pStyle w:val="BodyText"/>
      </w:pPr>
      <w:r>
        <w:t xml:space="preserve">[12] M. Yuksekgonul, F. Bianchi, P. Kalluri, D. Jurafsky, and J. Zou,</w:t>
      </w:r>
      <w:r>
        <w:t xml:space="preserve"> </w:t>
      </w:r>
      <w:r>
        <w:t xml:space="preserve">“When and Why Vision-Language Models Behave Like Bags-of-Words, and What to Do About It?,”</w:t>
      </w:r>
      <w:r>
        <w:t xml:space="preserve"> </w:t>
      </w:r>
      <w:r>
        <w:t xml:space="preserve">in Proc. ICLR, 2023.</w:t>
      </w:r>
    </w:p>
    <w:p>
      <w:pPr>
        <w:pStyle w:val="BodyText"/>
      </w:pPr>
      <w:r>
        <w:t xml:space="preserve">[13] T. Thrush et al.,</w:t>
      </w:r>
      <w:r>
        <w:t xml:space="preserve"> </w:t>
      </w:r>
      <w:r>
        <w:t xml:space="preserve">“Winoground: Probing Vision and Language Models for Visio-Linguistic Compositionality,”</w:t>
      </w:r>
      <w:r>
        <w:t xml:space="preserve"> </w:t>
      </w:r>
      <w:r>
        <w:t xml:space="preserve">in Proc. CVPR, 2022.</w:t>
      </w:r>
    </w:p>
    <w:p>
      <w:pPr>
        <w:pStyle w:val="BodyText"/>
      </w:pPr>
      <w:r>
        <w:t xml:space="preserve">[14] J. Krause, M. Stark, J. Deng, and L. Fei-Fei,</w:t>
      </w:r>
      <w:r>
        <w:t xml:space="preserve"> </w:t>
      </w:r>
      <w:r>
        <w:t xml:space="preserve">“3D Object Representations for Fine-Grained Categorization,”</w:t>
      </w:r>
      <w:r>
        <w:t xml:space="preserve"> </w:t>
      </w:r>
      <w:r>
        <w:t xml:space="preserve">in Proc. 4th International IEEE Workshop on 3D Representation and Recognition, 2013.</w:t>
      </w:r>
    </w:p>
    <w:p>
      <w:pPr>
        <w:pStyle w:val="BodyText"/>
      </w:pPr>
      <w:r>
        <w:t xml:space="preserve">[15] K. Panetta, L. Kezebou, V. Oludare, J. Intriligator, and S. Agaian,</w:t>
      </w:r>
      <w:r>
        <w:t xml:space="preserve"> </w:t>
      </w:r>
      <w:r>
        <w:t xml:space="preserve">“Artificial Intelligence for Text-Based Vehicle Search, Recognition, and Continuous Localization in Traffic Videos,”</w:t>
      </w:r>
      <w:r>
        <w:t xml:space="preserve"> </w:t>
      </w:r>
      <w:r>
        <w:t xml:space="preserve">AI, vol. 2, no. 4, pp. 684-704, 2021.</w:t>
      </w:r>
    </w:p>
    <w:p>
      <w:pPr>
        <w:pStyle w:val="BodyText"/>
      </w:pPr>
      <w:r>
        <w:t xml:space="preserve">[16] P. Wang et al.,</w:t>
      </w:r>
      <w:r>
        <w:t xml:space="preserve"> </w:t>
      </w:r>
      <w:r>
        <w:t xml:space="preserve">“Qwen2-VL: Enhancing Vision-Language Model’s Perception of the World at Any Resolution,”</w:t>
      </w:r>
      <w:r>
        <w:t xml:space="preserve"> </w:t>
      </w:r>
      <w:r>
        <w:t xml:space="preserve">arXiv:2409.12191, 2024.</w:t>
      </w:r>
    </w:p>
    <w:p>
      <w:pPr>
        <w:pStyle w:val="BodyText"/>
      </w:pPr>
      <w:r>
        <w:t xml:space="preserve">[17] Z. Chen et al.,</w:t>
      </w:r>
      <w:r>
        <w:t xml:space="preserve"> </w:t>
      </w:r>
      <w:r>
        <w:t xml:space="preserve">“InternVL: Scaling up Vision Foundation Models and Aligning for Generic Visual-Linguistic Tasks,”</w:t>
      </w:r>
      <w:r>
        <w:t xml:space="preserve"> </w:t>
      </w:r>
      <w:r>
        <w:t xml:space="preserve">arXiv:2312.14238, 2023.</w:t>
      </w:r>
    </w:p>
    <w:p>
      <w:pPr>
        <w:pStyle w:val="BodyText"/>
      </w:pPr>
      <w:r>
        <w:t xml:space="preserve">[18] Z. Chen et al.,</w:t>
      </w:r>
      <w:r>
        <w:t xml:space="preserve"> </w:t>
      </w:r>
      <w:r>
        <w:t xml:space="preserve">“How Far Are We to GPT-4V? Closing the Gap to Commercial Multimodal Models with Open-Source Suites,”</w:t>
      </w:r>
      <w:r>
        <w:t xml:space="preserve"> </w:t>
      </w:r>
      <w:r>
        <w:t xml:space="preserve">arXiv:2404.16821, 2024.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15" Target="media/rId1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False Colour Cues Reveal Local Paired Shifts in Car-Colour VLMs</dc:title>
  <dc:creator/>
  <cp:keywords/>
  <dcterms:created xsi:type="dcterms:W3CDTF">2026-05-18T05:58:36Z</dcterms:created>
  <dcterms:modified xsi:type="dcterms:W3CDTF">2026-05-18T05:58:36Z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