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Ramp Readiness Playbook</w:t>
      </w:r>
    </w:p>
    <w:p>
      <w:pPr>
        <w:jc w:val="center"/>
      </w:pPr>
      <w:r>
        <w:rPr>
          <w:b/>
          <w:color w:val="2F75B5"/>
        </w:rPr>
        <w:t>HB-RAMP-2026-07  |  July 2026 cohort  |  Source records through 2026-07-15</w:t>
      </w:r>
    </w:p>
    <w:p>
      <w:pPr>
        <w:jc w:val="center"/>
      </w:pPr>
      <w:r>
        <w:rPr>
          <w:b/>
          <w:color w:val="C00000"/>
          <w:sz w:val="26"/>
        </w:rPr>
        <w:t>PENDING DESK MANAGER REVIEW — NO INDEPENDENT CUSTOMER COVERAGE AUTHORIZED</w:t>
      </w:r>
    </w:p>
    <w:p>
      <w:pPr>
        <w:pStyle w:val="Heading1"/>
      </w:pPr>
      <w:r>
        <w:t>1. Control statement</w:t>
      </w:r>
    </w:p>
    <w:p>
      <w:r>
        <w:t>This is an approval-ready request, not an execution notice. All ten representatives remain in one controlled population. Schedules, account handoffs, and checklists are staged only. Temporary owners keep customer actions until Rina Calder signs the readiness request.</w:t>
      </w:r>
    </w:p>
    <w:tbl>
      <w:tblPr>
        <w:tblStyle w:val="TableGrid"/>
        <w:tblW w:type="auto" w:w="0"/>
        <w:jc w:val="center"/>
        <w:tblLayout w:type="autofit"/>
        <w:tblLook w:firstColumn="1" w:firstRow="1" w:lastColumn="0" w:lastRow="0" w:noHBand="0" w:noVBand="1" w:val="04A0"/>
      </w:tblPr>
      <w:tblGrid>
        <w:gridCol w:w="5256"/>
        <w:gridCol w:w="5256"/>
      </w:tblGrid>
      <w:tr>
        <w:tc>
          <w:tcPr>
            <w:tcW w:type="dxa" w:w="5256"/>
            <w:vAlign w:val="center"/>
            <w:shd w:fill="2F75B5"/>
          </w:tcPr>
          <w:p>
            <w:r/>
            <w:r>
              <w:rPr>
                <w:b/>
                <w:color w:val="FFFFFF"/>
                <w:sz w:val="16"/>
              </w:rPr>
              <w:t>Control</w:t>
            </w:r>
          </w:p>
        </w:tc>
        <w:tc>
          <w:tcPr>
            <w:tcW w:type="dxa" w:w="5256"/>
            <w:vAlign w:val="center"/>
            <w:shd w:fill="2F75B5"/>
          </w:tcPr>
          <w:p>
            <w:r/>
            <w:r>
              <w:rPr>
                <w:b/>
                <w:color w:val="FFFFFF"/>
                <w:sz w:val="16"/>
              </w:rPr>
              <w:t>Value</w:t>
            </w:r>
          </w:p>
        </w:tc>
      </w:tr>
      <w:tr>
        <w:tc>
          <w:tcPr>
            <w:tcW w:type="dxa" w:w="5256"/>
            <w:vAlign w:val="center"/>
          </w:tcPr>
          <w:p>
            <w:r/>
            <w:r>
              <w:rPr>
                <w:b w:val="0"/>
                <w:sz w:val="16"/>
              </w:rPr>
              <w:t>Package ID</w:t>
            </w:r>
          </w:p>
        </w:tc>
        <w:tc>
          <w:tcPr>
            <w:tcW w:type="dxa" w:w="5256"/>
            <w:vAlign w:val="center"/>
          </w:tcPr>
          <w:p>
            <w:r/>
            <w:r>
              <w:rPr>
                <w:b w:val="0"/>
                <w:sz w:val="16"/>
              </w:rPr>
              <w:t>HB-RAMP-2026-07</w:t>
            </w:r>
          </w:p>
        </w:tc>
      </w:tr>
      <w:tr>
        <w:tc>
          <w:tcPr>
            <w:tcW w:type="dxa" w:w="5256"/>
            <w:vAlign w:val="center"/>
          </w:tcPr>
          <w:p>
            <w:r/>
            <w:r>
              <w:rPr>
                <w:b w:val="0"/>
                <w:sz w:val="16"/>
              </w:rPr>
              <w:t>Approval owner</w:t>
            </w:r>
          </w:p>
        </w:tc>
        <w:tc>
          <w:tcPr>
            <w:tcW w:type="dxa" w:w="5256"/>
            <w:vAlign w:val="center"/>
          </w:tcPr>
          <w:p>
            <w:r/>
            <w:r>
              <w:rPr>
                <w:b w:val="0"/>
                <w:sz w:val="16"/>
              </w:rPr>
              <w:t>Rina Calder, Desk Manager</w:t>
            </w:r>
          </w:p>
        </w:tc>
      </w:tr>
      <w:tr>
        <w:tc>
          <w:tcPr>
            <w:tcW w:type="dxa" w:w="5256"/>
            <w:vAlign w:val="center"/>
          </w:tcPr>
          <w:p>
            <w:r/>
            <w:r>
              <w:rPr>
                <w:b w:val="0"/>
                <w:sz w:val="16"/>
              </w:rPr>
              <w:t>Submission deadline</w:t>
            </w:r>
          </w:p>
        </w:tc>
        <w:tc>
          <w:tcPr>
            <w:tcW w:type="dxa" w:w="5256"/>
            <w:vAlign w:val="center"/>
          </w:tcPr>
          <w:p>
            <w:r/>
            <w:r>
              <w:rPr>
                <w:b w:val="0"/>
                <w:sz w:val="16"/>
              </w:rPr>
              <w:t>2026-07-17 17:00 UTC</w:t>
            </w:r>
          </w:p>
        </w:tc>
      </w:tr>
      <w:tr>
        <w:tc>
          <w:tcPr>
            <w:tcW w:type="dxa" w:w="5256"/>
            <w:vAlign w:val="center"/>
          </w:tcPr>
          <w:p>
            <w:r/>
            <w:r>
              <w:rPr>
                <w:b w:val="0"/>
                <w:sz w:val="16"/>
              </w:rPr>
              <w:t>Current approval state</w:t>
            </w:r>
          </w:p>
        </w:tc>
        <w:tc>
          <w:tcPr>
            <w:tcW w:type="dxa" w:w="5256"/>
            <w:vAlign w:val="center"/>
          </w:tcPr>
          <w:p>
            <w:r/>
            <w:r>
              <w:rPr>
                <w:b w:val="0"/>
                <w:sz w:val="16"/>
              </w:rPr>
              <w:t>Pending</w:t>
            </w:r>
          </w:p>
        </w:tc>
      </w:tr>
      <w:tr>
        <w:tc>
          <w:tcPr>
            <w:tcW w:type="dxa" w:w="5256"/>
            <w:vAlign w:val="center"/>
          </w:tcPr>
          <w:p>
            <w:r/>
            <w:r>
              <w:rPr>
                <w:b w:val="0"/>
                <w:sz w:val="16"/>
              </w:rPr>
              <w:t>Independent coverage</w:t>
            </w:r>
          </w:p>
        </w:tc>
        <w:tc>
          <w:tcPr>
            <w:tcW w:type="dxa" w:w="5256"/>
            <w:vAlign w:val="center"/>
          </w:tcPr>
          <w:p>
            <w:r/>
            <w:r>
              <w:rPr>
                <w:b w:val="0"/>
                <w:sz w:val="16"/>
              </w:rPr>
              <w:t>Not authorized for any representative</w:t>
            </w:r>
          </w:p>
        </w:tc>
      </w:tr>
    </w:tbl>
    <w:p>
      <w:pPr>
        <w:pStyle w:val="Heading1"/>
      </w:pPr>
      <w:r>
        <w:t>2. Controlled population and disposition</w:t>
      </w:r>
    </w:p>
    <w:p>
      <w:r>
        <w:t>Reconciled population: 10. Ready but pending manager approval: 3; limited exception: 1; remediation: 2; pending evidence: 2; blocked: 2.</w:t>
      </w:r>
    </w:p>
    <w:tbl>
      <w:tblPr>
        <w:tblStyle w:val="TableGrid"/>
        <w:tblW w:type="auto" w:w="0"/>
        <w:jc w:val="center"/>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vAlign w:val="center"/>
            <w:shd w:fill="2F75B5"/>
          </w:tcPr>
          <w:p>
            <w:r/>
            <w:r>
              <w:rPr>
                <w:b/>
                <w:color w:val="FFFFFF"/>
                <w:sz w:val="16"/>
              </w:rPr>
              <w:t>Rep ID</w:t>
            </w:r>
          </w:p>
        </w:tc>
        <w:tc>
          <w:tcPr>
            <w:tcW w:type="dxa" w:w="1502"/>
            <w:vAlign w:val="center"/>
            <w:shd w:fill="2F75B5"/>
          </w:tcPr>
          <w:p>
            <w:r/>
            <w:r>
              <w:rPr>
                <w:b/>
                <w:color w:val="FFFFFF"/>
                <w:sz w:val="16"/>
              </w:rPr>
              <w:t>Representative</w:t>
            </w:r>
          </w:p>
        </w:tc>
        <w:tc>
          <w:tcPr>
            <w:tcW w:type="dxa" w:w="1502"/>
            <w:vAlign w:val="center"/>
            <w:shd w:fill="2F75B5"/>
          </w:tcPr>
          <w:p>
            <w:r/>
            <w:r>
              <w:rPr>
                <w:b/>
                <w:color w:val="FFFFFF"/>
                <w:sz w:val="16"/>
              </w:rPr>
              <w:t>Segment</w:t>
            </w:r>
          </w:p>
        </w:tc>
        <w:tc>
          <w:tcPr>
            <w:tcW w:type="dxa" w:w="1502"/>
            <w:vAlign w:val="center"/>
            <w:shd w:fill="2F75B5"/>
          </w:tcPr>
          <w:p>
            <w:r/>
            <w:r>
              <w:rPr>
                <w:b/>
                <w:color w:val="FFFFFF"/>
                <w:sz w:val="16"/>
              </w:rPr>
              <w:t>Controlled status</w:t>
            </w:r>
          </w:p>
        </w:tc>
        <w:tc>
          <w:tcPr>
            <w:tcW w:type="dxa" w:w="1502"/>
            <w:vAlign w:val="center"/>
            <w:shd w:fill="2F75B5"/>
          </w:tcPr>
          <w:p>
            <w:r/>
            <w:r>
              <w:rPr>
                <w:b/>
                <w:color w:val="FFFFFF"/>
                <w:sz w:val="16"/>
              </w:rPr>
              <w:t>Next owner</w:t>
            </w:r>
          </w:p>
        </w:tc>
        <w:tc>
          <w:tcPr>
            <w:tcW w:type="dxa" w:w="1502"/>
            <w:vAlign w:val="center"/>
            <w:shd w:fill="2F75B5"/>
          </w:tcPr>
          <w:p>
            <w:r/>
            <w:r>
              <w:rPr>
                <w:b/>
                <w:color w:val="FFFFFF"/>
                <w:sz w:val="16"/>
              </w:rPr>
              <w:t>Due</w:t>
            </w:r>
          </w:p>
        </w:tc>
        <w:tc>
          <w:tcPr>
            <w:tcW w:type="dxa" w:w="1502"/>
            <w:vAlign w:val="center"/>
            <w:shd w:fill="2F75B5"/>
          </w:tcPr>
          <w:p>
            <w:r/>
            <w:r>
              <w:rPr>
                <w:b/>
                <w:color w:val="FFFFFF"/>
                <w:sz w:val="16"/>
              </w:rPr>
              <w:t>Required action / boundary</w:t>
            </w:r>
          </w:p>
        </w:tc>
      </w:tr>
      <w:tr>
        <w:tc>
          <w:tcPr>
            <w:tcW w:type="dxa" w:w="1502"/>
            <w:vAlign w:val="center"/>
          </w:tcPr>
          <w:p>
            <w:r/>
            <w:r>
              <w:rPr>
                <w:b w:val="0"/>
                <w:sz w:val="16"/>
              </w:rPr>
              <w:t>REP-2701</w:t>
            </w:r>
          </w:p>
        </w:tc>
        <w:tc>
          <w:tcPr>
            <w:tcW w:type="dxa" w:w="1502"/>
            <w:vAlign w:val="center"/>
          </w:tcPr>
          <w:p>
            <w:r/>
            <w:r>
              <w:rPr>
                <w:b w:val="0"/>
                <w:sz w:val="16"/>
              </w:rPr>
              <w:t>Maya Chen</w:t>
            </w:r>
          </w:p>
        </w:tc>
        <w:tc>
          <w:tcPr>
            <w:tcW w:type="dxa" w:w="1502"/>
            <w:vAlign w:val="center"/>
          </w:tcPr>
          <w:p>
            <w:r/>
            <w:r>
              <w:rPr>
                <w:b w:val="0"/>
                <w:sz w:val="16"/>
              </w:rPr>
              <w:t>Corporate</w:t>
            </w:r>
          </w:p>
        </w:tc>
        <w:tc>
          <w:tcPr>
            <w:tcW w:type="dxa" w:w="1502"/>
            <w:vAlign w:val="center"/>
          </w:tcPr>
          <w:p>
            <w:r/>
            <w:r>
              <w:rPr>
                <w:b w:val="0"/>
                <w:sz w:val="16"/>
              </w:rPr>
              <w:t>Ready — manager approval pending</w:t>
            </w:r>
          </w:p>
        </w:tc>
        <w:tc>
          <w:tcPr>
            <w:tcW w:type="dxa" w:w="1502"/>
            <w:vAlign w:val="center"/>
          </w:tcPr>
          <w:p>
            <w:r/>
            <w:r>
              <w:rPr>
                <w:b w:val="0"/>
                <w:sz w:val="16"/>
              </w:rPr>
              <w:t>Desk Manager</w:t>
            </w:r>
          </w:p>
        </w:tc>
        <w:tc>
          <w:tcPr>
            <w:tcW w:type="dxa" w:w="1502"/>
            <w:vAlign w:val="center"/>
          </w:tcPr>
          <w:p>
            <w:r/>
            <w:r>
              <w:rPr>
                <w:b w:val="0"/>
                <w:sz w:val="16"/>
              </w:rPr>
              <w:t>2026-07-17</w:t>
            </w:r>
          </w:p>
        </w:tc>
        <w:tc>
          <w:tcPr>
            <w:tcW w:type="dxa" w:w="1502"/>
            <w:vAlign w:val="center"/>
          </w:tcPr>
          <w:p>
            <w:r/>
            <w:r>
              <w:rPr>
                <w:b w:val="0"/>
                <w:sz w:val="16"/>
              </w:rPr>
              <w:t>Evidence complete; independent coverage still requires desk manager approval</w:t>
            </w:r>
          </w:p>
        </w:tc>
      </w:tr>
      <w:tr>
        <w:tc>
          <w:tcPr>
            <w:tcW w:type="dxa" w:w="1502"/>
            <w:vAlign w:val="center"/>
          </w:tcPr>
          <w:p>
            <w:r/>
            <w:r>
              <w:rPr>
                <w:b w:val="0"/>
                <w:sz w:val="16"/>
              </w:rPr>
              <w:t>REP-2702</w:t>
            </w:r>
          </w:p>
        </w:tc>
        <w:tc>
          <w:tcPr>
            <w:tcW w:type="dxa" w:w="1502"/>
            <w:vAlign w:val="center"/>
          </w:tcPr>
          <w:p>
            <w:r/>
            <w:r>
              <w:rPr>
                <w:b w:val="0"/>
                <w:sz w:val="16"/>
              </w:rPr>
              <w:t>Jordan Patel</w:t>
            </w:r>
          </w:p>
        </w:tc>
        <w:tc>
          <w:tcPr>
            <w:tcW w:type="dxa" w:w="1502"/>
            <w:vAlign w:val="center"/>
          </w:tcPr>
          <w:p>
            <w:r/>
            <w:r>
              <w:rPr>
                <w:b w:val="0"/>
                <w:sz w:val="16"/>
              </w:rPr>
              <w:t>Affinity</w:t>
            </w:r>
          </w:p>
        </w:tc>
        <w:tc>
          <w:tcPr>
            <w:tcW w:type="dxa" w:w="1502"/>
            <w:vAlign w:val="center"/>
          </w:tcPr>
          <w:p>
            <w:r/>
            <w:r>
              <w:rPr>
                <w:b w:val="0"/>
                <w:sz w:val="16"/>
              </w:rPr>
              <w:t>Limited exception</w:t>
            </w:r>
          </w:p>
        </w:tc>
        <w:tc>
          <w:tcPr>
            <w:tcW w:type="dxa" w:w="1502"/>
            <w:vAlign w:val="center"/>
          </w:tcPr>
          <w:p>
            <w:r/>
            <w:r>
              <w:rPr>
                <w:b w:val="0"/>
                <w:sz w:val="16"/>
              </w:rPr>
              <w:t>SUP-411</w:t>
            </w:r>
          </w:p>
        </w:tc>
        <w:tc>
          <w:tcPr>
            <w:tcW w:type="dxa" w:w="1502"/>
            <w:vAlign w:val="center"/>
          </w:tcPr>
          <w:p>
            <w:r/>
            <w:r>
              <w:rPr>
                <w:b w:val="0"/>
                <w:sz w:val="16"/>
              </w:rPr>
              <w:t>2026-07-20</w:t>
            </w:r>
          </w:p>
        </w:tc>
        <w:tc>
          <w:tcPr>
            <w:tcW w:type="dxa" w:w="1502"/>
            <w:vAlign w:val="center"/>
          </w:tcPr>
          <w:p>
            <w:r/>
            <w:r>
              <w:rPr>
                <w:b w:val="0"/>
                <w:sz w:val="16"/>
              </w:rPr>
              <w:t>GS-C07: Live observation moved to 2026-07-20; approved limited supervised low-risk coverage only</w:t>
            </w:r>
          </w:p>
        </w:tc>
      </w:tr>
      <w:tr>
        <w:tc>
          <w:tcPr>
            <w:tcW w:type="dxa" w:w="1502"/>
            <w:vAlign w:val="center"/>
          </w:tcPr>
          <w:p>
            <w:r/>
            <w:r>
              <w:rPr>
                <w:b w:val="0"/>
                <w:sz w:val="16"/>
              </w:rPr>
              <w:t>REP-2703</w:t>
            </w:r>
          </w:p>
        </w:tc>
        <w:tc>
          <w:tcPr>
            <w:tcW w:type="dxa" w:w="1502"/>
            <w:vAlign w:val="center"/>
          </w:tcPr>
          <w:p>
            <w:r/>
            <w:r>
              <w:rPr>
                <w:b w:val="0"/>
                <w:sz w:val="16"/>
              </w:rPr>
              <w:t>Sofia Ramirez</w:t>
            </w:r>
          </w:p>
        </w:tc>
        <w:tc>
          <w:tcPr>
            <w:tcW w:type="dxa" w:w="1502"/>
            <w:vAlign w:val="center"/>
          </w:tcPr>
          <w:p>
            <w:r/>
            <w:r>
              <w:rPr>
                <w:b w:val="0"/>
                <w:sz w:val="16"/>
              </w:rPr>
              <w:t>Education</w:t>
            </w:r>
          </w:p>
        </w:tc>
        <w:tc>
          <w:tcPr>
            <w:tcW w:type="dxa" w:w="1502"/>
            <w:vAlign w:val="center"/>
          </w:tcPr>
          <w:p>
            <w:r/>
            <w:r>
              <w:rPr>
                <w:b w:val="0"/>
                <w:sz w:val="16"/>
              </w:rPr>
              <w:t>Remediation</w:t>
            </w:r>
          </w:p>
        </w:tc>
        <w:tc>
          <w:tcPr>
            <w:tcW w:type="dxa" w:w="1502"/>
            <w:vAlign w:val="center"/>
          </w:tcPr>
          <w:p>
            <w:r/>
            <w:r>
              <w:rPr>
                <w:b w:val="0"/>
                <w:sz w:val="16"/>
              </w:rPr>
              <w:t>TRN-503</w:t>
            </w:r>
          </w:p>
        </w:tc>
        <w:tc>
          <w:tcPr>
            <w:tcW w:type="dxa" w:w="1502"/>
            <w:vAlign w:val="center"/>
          </w:tcPr>
          <w:p>
            <w:r/>
            <w:r>
              <w:rPr>
                <w:b w:val="0"/>
                <w:sz w:val="16"/>
              </w:rPr>
              <w:t>2026-07-17</w:t>
            </w:r>
          </w:p>
        </w:tc>
        <w:tc>
          <w:tcPr>
            <w:tcW w:type="dxa" w:w="1502"/>
            <w:vAlign w:val="center"/>
          </w:tcPr>
          <w:p>
            <w:r/>
            <w:r>
              <w:rPr>
                <w:b w:val="0"/>
                <w:sz w:val="16"/>
              </w:rPr>
              <w:t>GS-C03: Contract terms retest scheduled 2026-07-17; GS-C07: Live observation blocked until contract retest passes</w:t>
            </w:r>
          </w:p>
        </w:tc>
      </w:tr>
      <w:tr>
        <w:tc>
          <w:tcPr>
            <w:tcW w:type="dxa" w:w="1502"/>
            <w:vAlign w:val="center"/>
          </w:tcPr>
          <w:p>
            <w:r/>
            <w:r>
              <w:rPr>
                <w:b w:val="0"/>
                <w:sz w:val="16"/>
              </w:rPr>
              <w:t>REP-2704</w:t>
            </w:r>
          </w:p>
        </w:tc>
        <w:tc>
          <w:tcPr>
            <w:tcW w:type="dxa" w:w="1502"/>
            <w:vAlign w:val="center"/>
          </w:tcPr>
          <w:p>
            <w:r/>
            <w:r>
              <w:rPr>
                <w:b w:val="0"/>
                <w:sz w:val="16"/>
              </w:rPr>
              <w:t>Ethan Brooks</w:t>
            </w:r>
          </w:p>
        </w:tc>
        <w:tc>
          <w:tcPr>
            <w:tcW w:type="dxa" w:w="1502"/>
            <w:vAlign w:val="center"/>
          </w:tcPr>
          <w:p>
            <w:r/>
            <w:r>
              <w:rPr>
                <w:b w:val="0"/>
                <w:sz w:val="16"/>
              </w:rPr>
              <w:t>Meetings</w:t>
            </w:r>
          </w:p>
        </w:tc>
        <w:tc>
          <w:tcPr>
            <w:tcW w:type="dxa" w:w="1502"/>
            <w:vAlign w:val="center"/>
          </w:tcPr>
          <w:p>
            <w:r/>
            <w:r>
              <w:rPr>
                <w:b w:val="0"/>
                <w:sz w:val="16"/>
              </w:rPr>
              <w:t>Blocked</w:t>
            </w:r>
          </w:p>
        </w:tc>
        <w:tc>
          <w:tcPr>
            <w:tcW w:type="dxa" w:w="1502"/>
            <w:vAlign w:val="center"/>
          </w:tcPr>
          <w:p>
            <w:r/>
            <w:r>
              <w:rPr>
                <w:b w:val="0"/>
                <w:sz w:val="16"/>
              </w:rPr>
              <w:t>COM-201</w:t>
            </w:r>
          </w:p>
        </w:tc>
        <w:tc>
          <w:tcPr>
            <w:tcW w:type="dxa" w:w="1502"/>
            <w:vAlign w:val="center"/>
          </w:tcPr>
          <w:p>
            <w:r/>
            <w:r>
              <w:rPr>
                <w:b w:val="0"/>
                <w:sz w:val="16"/>
              </w:rPr>
              <w:t>2026-07-22</w:t>
            </w:r>
          </w:p>
        </w:tc>
        <w:tc>
          <w:tcPr>
            <w:tcW w:type="dxa" w:w="1502"/>
            <w:vAlign w:val="center"/>
          </w:tcPr>
          <w:p>
            <w:r/>
            <w:r>
              <w:rPr>
                <w:b w:val="0"/>
                <w:sz w:val="16"/>
              </w:rPr>
              <w:t>GS-C04: State seller-of-travel licensing hold blocks compliance signoff; GS-C06: Escalation scenario held until licensing release; GS-C07: No live observation until licensing release</w:t>
            </w:r>
          </w:p>
        </w:tc>
      </w:tr>
      <w:tr>
        <w:tc>
          <w:tcPr>
            <w:tcW w:type="dxa" w:w="1502"/>
            <w:vAlign w:val="center"/>
          </w:tcPr>
          <w:p>
            <w:r/>
            <w:r>
              <w:rPr>
                <w:b w:val="0"/>
                <w:sz w:val="16"/>
              </w:rPr>
              <w:t>REP-2705</w:t>
            </w:r>
          </w:p>
        </w:tc>
        <w:tc>
          <w:tcPr>
            <w:tcW w:type="dxa" w:w="1502"/>
            <w:vAlign w:val="center"/>
          </w:tcPr>
          <w:p>
            <w:r/>
            <w:r>
              <w:rPr>
                <w:b w:val="0"/>
                <w:sz w:val="16"/>
              </w:rPr>
              <w:t>Priya Nair</w:t>
            </w:r>
          </w:p>
        </w:tc>
        <w:tc>
          <w:tcPr>
            <w:tcW w:type="dxa" w:w="1502"/>
            <w:vAlign w:val="center"/>
          </w:tcPr>
          <w:p>
            <w:r/>
            <w:r>
              <w:rPr>
                <w:b w:val="0"/>
                <w:sz w:val="16"/>
              </w:rPr>
              <w:t>Corporate</w:t>
            </w:r>
          </w:p>
        </w:tc>
        <w:tc>
          <w:tcPr>
            <w:tcW w:type="dxa" w:w="1502"/>
            <w:vAlign w:val="center"/>
          </w:tcPr>
          <w:p>
            <w:r/>
            <w:r>
              <w:rPr>
                <w:b w:val="0"/>
                <w:sz w:val="16"/>
              </w:rPr>
              <w:t>Remediation</w:t>
            </w:r>
          </w:p>
        </w:tc>
        <w:tc>
          <w:tcPr>
            <w:tcW w:type="dxa" w:w="1502"/>
            <w:vAlign w:val="center"/>
          </w:tcPr>
          <w:p>
            <w:r/>
            <w:r>
              <w:rPr>
                <w:b w:val="0"/>
                <w:sz w:val="16"/>
              </w:rPr>
              <w:t>TRN-503</w:t>
            </w:r>
          </w:p>
        </w:tc>
        <w:tc>
          <w:tcPr>
            <w:tcW w:type="dxa" w:w="1502"/>
            <w:vAlign w:val="center"/>
          </w:tcPr>
          <w:p>
            <w:r/>
            <w:r>
              <w:rPr>
                <w:b w:val="0"/>
                <w:sz w:val="16"/>
              </w:rPr>
              <w:t>2026-07-16</w:t>
            </w:r>
          </w:p>
        </w:tc>
        <w:tc>
          <w:tcPr>
            <w:tcW w:type="dxa" w:w="1502"/>
            <w:vAlign w:val="center"/>
          </w:tcPr>
          <w:p>
            <w:r/>
            <w:r>
              <w:rPr>
                <w:b w:val="0"/>
                <w:sz w:val="16"/>
              </w:rPr>
              <w:t>GS-C05: CRM audit missed deposit follow-up note; remediation scheduled</w:t>
            </w:r>
          </w:p>
        </w:tc>
      </w:tr>
      <w:tr>
        <w:tc>
          <w:tcPr>
            <w:tcW w:type="dxa" w:w="1502"/>
            <w:vAlign w:val="center"/>
          </w:tcPr>
          <w:p>
            <w:r/>
            <w:r>
              <w:rPr>
                <w:b w:val="0"/>
                <w:sz w:val="16"/>
              </w:rPr>
              <w:t>REP-2706</w:t>
            </w:r>
          </w:p>
        </w:tc>
        <w:tc>
          <w:tcPr>
            <w:tcW w:type="dxa" w:w="1502"/>
            <w:vAlign w:val="center"/>
          </w:tcPr>
          <w:p>
            <w:r/>
            <w:r>
              <w:rPr>
                <w:b w:val="0"/>
                <w:sz w:val="16"/>
              </w:rPr>
              <w:t>Liam O'Neill</w:t>
            </w:r>
          </w:p>
        </w:tc>
        <w:tc>
          <w:tcPr>
            <w:tcW w:type="dxa" w:w="1502"/>
            <w:vAlign w:val="center"/>
          </w:tcPr>
          <w:p>
            <w:r/>
            <w:r>
              <w:rPr>
                <w:b w:val="0"/>
                <w:sz w:val="16"/>
              </w:rPr>
              <w:t>Affinity</w:t>
            </w:r>
          </w:p>
        </w:tc>
        <w:tc>
          <w:tcPr>
            <w:tcW w:type="dxa" w:w="1502"/>
            <w:vAlign w:val="center"/>
          </w:tcPr>
          <w:p>
            <w:r/>
            <w:r>
              <w:rPr>
                <w:b w:val="0"/>
                <w:sz w:val="16"/>
              </w:rPr>
              <w:t>Pending evidence</w:t>
            </w:r>
          </w:p>
        </w:tc>
        <w:tc>
          <w:tcPr>
            <w:tcW w:type="dxa" w:w="1502"/>
            <w:vAlign w:val="center"/>
          </w:tcPr>
          <w:p>
            <w:r/>
            <w:r>
              <w:rPr>
                <w:b w:val="0"/>
                <w:sz w:val="16"/>
              </w:rPr>
              <w:t>TRN-505</w:t>
            </w:r>
          </w:p>
        </w:tc>
        <w:tc>
          <w:tcPr>
            <w:tcW w:type="dxa" w:w="1502"/>
            <w:vAlign w:val="center"/>
          </w:tcPr>
          <w:p>
            <w:r/>
            <w:r>
              <w:rPr>
                <w:b w:val="0"/>
                <w:sz w:val="16"/>
              </w:rPr>
              <w:t>2026-07-17</w:t>
            </w:r>
          </w:p>
        </w:tc>
        <w:tc>
          <w:tcPr>
            <w:tcW w:type="dxa" w:w="1502"/>
            <w:vAlign w:val="center"/>
          </w:tcPr>
          <w:p>
            <w:r/>
            <w:r>
              <w:rPr>
                <w:b w:val="0"/>
                <w:sz w:val="16"/>
              </w:rPr>
              <w:t>GS-C07: Missed live observation due trainer calibration blackout</w:t>
            </w:r>
          </w:p>
        </w:tc>
      </w:tr>
      <w:tr>
        <w:tc>
          <w:tcPr>
            <w:tcW w:type="dxa" w:w="1502"/>
            <w:vAlign w:val="center"/>
          </w:tcPr>
          <w:p>
            <w:r/>
            <w:r>
              <w:rPr>
                <w:b w:val="0"/>
                <w:sz w:val="16"/>
              </w:rPr>
              <w:t>REP-2707</w:t>
            </w:r>
          </w:p>
        </w:tc>
        <w:tc>
          <w:tcPr>
            <w:tcW w:type="dxa" w:w="1502"/>
            <w:vAlign w:val="center"/>
          </w:tcPr>
          <w:p>
            <w:r/>
            <w:r>
              <w:rPr>
                <w:b w:val="0"/>
                <w:sz w:val="16"/>
              </w:rPr>
              <w:t>Ava Thompson</w:t>
            </w:r>
          </w:p>
        </w:tc>
        <w:tc>
          <w:tcPr>
            <w:tcW w:type="dxa" w:w="1502"/>
            <w:vAlign w:val="center"/>
          </w:tcPr>
          <w:p>
            <w:r/>
            <w:r>
              <w:rPr>
                <w:b w:val="0"/>
                <w:sz w:val="16"/>
              </w:rPr>
              <w:t>Education</w:t>
            </w:r>
          </w:p>
        </w:tc>
        <w:tc>
          <w:tcPr>
            <w:tcW w:type="dxa" w:w="1502"/>
            <w:vAlign w:val="center"/>
          </w:tcPr>
          <w:p>
            <w:r/>
            <w:r>
              <w:rPr>
                <w:b w:val="0"/>
                <w:sz w:val="16"/>
              </w:rPr>
              <w:t>Ready — manager approval pending</w:t>
            </w:r>
          </w:p>
        </w:tc>
        <w:tc>
          <w:tcPr>
            <w:tcW w:type="dxa" w:w="1502"/>
            <w:vAlign w:val="center"/>
          </w:tcPr>
          <w:p>
            <w:r/>
            <w:r>
              <w:rPr>
                <w:b w:val="0"/>
                <w:sz w:val="16"/>
              </w:rPr>
              <w:t>Desk Manager</w:t>
            </w:r>
          </w:p>
        </w:tc>
        <w:tc>
          <w:tcPr>
            <w:tcW w:type="dxa" w:w="1502"/>
            <w:vAlign w:val="center"/>
          </w:tcPr>
          <w:p>
            <w:r/>
            <w:r>
              <w:rPr>
                <w:b w:val="0"/>
                <w:sz w:val="16"/>
              </w:rPr>
              <w:t>2026-07-17</w:t>
            </w:r>
          </w:p>
        </w:tc>
        <w:tc>
          <w:tcPr>
            <w:tcW w:type="dxa" w:w="1502"/>
            <w:vAlign w:val="center"/>
          </w:tcPr>
          <w:p>
            <w:r/>
            <w:r>
              <w:rPr>
                <w:b w:val="0"/>
                <w:sz w:val="16"/>
              </w:rPr>
              <w:t>Evidence complete; independent coverage still requires desk manager approval</w:t>
            </w:r>
          </w:p>
        </w:tc>
      </w:tr>
      <w:tr>
        <w:tc>
          <w:tcPr>
            <w:tcW w:type="dxa" w:w="1502"/>
            <w:vAlign w:val="center"/>
          </w:tcPr>
          <w:p>
            <w:r/>
            <w:r>
              <w:rPr>
                <w:b w:val="0"/>
                <w:sz w:val="16"/>
              </w:rPr>
              <w:t>REP-2708</w:t>
            </w:r>
          </w:p>
        </w:tc>
        <w:tc>
          <w:tcPr>
            <w:tcW w:type="dxa" w:w="1502"/>
            <w:vAlign w:val="center"/>
          </w:tcPr>
          <w:p>
            <w:r/>
            <w:r>
              <w:rPr>
                <w:b w:val="0"/>
                <w:sz w:val="16"/>
              </w:rPr>
              <w:t>Noah Kim</w:t>
            </w:r>
          </w:p>
        </w:tc>
        <w:tc>
          <w:tcPr>
            <w:tcW w:type="dxa" w:w="1502"/>
            <w:vAlign w:val="center"/>
          </w:tcPr>
          <w:p>
            <w:r/>
            <w:r>
              <w:rPr>
                <w:b w:val="0"/>
                <w:sz w:val="16"/>
              </w:rPr>
              <w:t>Meetings</w:t>
            </w:r>
          </w:p>
        </w:tc>
        <w:tc>
          <w:tcPr>
            <w:tcW w:type="dxa" w:w="1502"/>
            <w:vAlign w:val="center"/>
          </w:tcPr>
          <w:p>
            <w:r/>
            <w:r>
              <w:rPr>
                <w:b w:val="0"/>
                <w:sz w:val="16"/>
              </w:rPr>
              <w:t>Blocked</w:t>
            </w:r>
          </w:p>
        </w:tc>
        <w:tc>
          <w:tcPr>
            <w:tcW w:type="dxa" w:w="1502"/>
            <w:vAlign w:val="center"/>
          </w:tcPr>
          <w:p>
            <w:r/>
            <w:r>
              <w:rPr>
                <w:b w:val="0"/>
                <w:sz w:val="16"/>
              </w:rPr>
              <w:t>COM-201</w:t>
            </w:r>
          </w:p>
        </w:tc>
        <w:tc>
          <w:tcPr>
            <w:tcW w:type="dxa" w:w="1502"/>
            <w:vAlign w:val="center"/>
          </w:tcPr>
          <w:p>
            <w:r/>
            <w:r>
              <w:rPr>
                <w:b w:val="0"/>
                <w:sz w:val="16"/>
              </w:rPr>
              <w:t>2026-07-18</w:t>
            </w:r>
          </w:p>
        </w:tc>
        <w:tc>
          <w:tcPr>
            <w:tcW w:type="dxa" w:w="1502"/>
            <w:vAlign w:val="center"/>
          </w:tcPr>
          <w:p>
            <w:r/>
            <w:r>
              <w:rPr>
                <w:b w:val="0"/>
                <w:sz w:val="16"/>
              </w:rPr>
              <w:t>GS-C04: Critical disclosure miss on privacy wording; compliance retest required; GS-C07: Live observation held until compliance retest passes</w:t>
            </w:r>
          </w:p>
        </w:tc>
      </w:tr>
      <w:tr>
        <w:tc>
          <w:tcPr>
            <w:tcW w:type="dxa" w:w="1502"/>
            <w:vAlign w:val="center"/>
          </w:tcPr>
          <w:p>
            <w:r/>
            <w:r>
              <w:rPr>
                <w:b w:val="0"/>
                <w:sz w:val="16"/>
              </w:rPr>
              <w:t>REP-2709</w:t>
            </w:r>
          </w:p>
        </w:tc>
        <w:tc>
          <w:tcPr>
            <w:tcW w:type="dxa" w:w="1502"/>
            <w:vAlign w:val="center"/>
          </w:tcPr>
          <w:p>
            <w:r/>
            <w:r>
              <w:rPr>
                <w:b w:val="0"/>
                <w:sz w:val="16"/>
              </w:rPr>
              <w:t>Isabella Reed</w:t>
            </w:r>
          </w:p>
        </w:tc>
        <w:tc>
          <w:tcPr>
            <w:tcW w:type="dxa" w:w="1502"/>
            <w:vAlign w:val="center"/>
          </w:tcPr>
          <w:p>
            <w:r/>
            <w:r>
              <w:rPr>
                <w:b w:val="0"/>
                <w:sz w:val="16"/>
              </w:rPr>
              <w:t>Corporate</w:t>
            </w:r>
          </w:p>
        </w:tc>
        <w:tc>
          <w:tcPr>
            <w:tcW w:type="dxa" w:w="1502"/>
            <w:vAlign w:val="center"/>
          </w:tcPr>
          <w:p>
            <w:r/>
            <w:r>
              <w:rPr>
                <w:b w:val="0"/>
                <w:sz w:val="16"/>
              </w:rPr>
              <w:t>Pending evidence</w:t>
            </w:r>
          </w:p>
        </w:tc>
        <w:tc>
          <w:tcPr>
            <w:tcW w:type="dxa" w:w="1502"/>
            <w:vAlign w:val="center"/>
          </w:tcPr>
          <w:p>
            <w:r/>
            <w:r>
              <w:rPr>
                <w:b w:val="0"/>
                <w:sz w:val="16"/>
              </w:rPr>
              <w:t>SUP-410</w:t>
            </w:r>
          </w:p>
        </w:tc>
        <w:tc>
          <w:tcPr>
            <w:tcW w:type="dxa" w:w="1502"/>
            <w:vAlign w:val="center"/>
          </w:tcPr>
          <w:p>
            <w:r/>
            <w:r>
              <w:rPr>
                <w:b w:val="0"/>
                <w:sz w:val="16"/>
              </w:rPr>
              <w:t>2026-07-17</w:t>
            </w:r>
          </w:p>
        </w:tc>
        <w:tc>
          <w:tcPr>
            <w:tcW w:type="dxa" w:w="1502"/>
            <w:vAlign w:val="center"/>
          </w:tcPr>
          <w:p>
            <w:r/>
            <w:r>
              <w:rPr>
                <w:b w:val="0"/>
                <w:sz w:val="16"/>
              </w:rPr>
              <w:t>GS-C07: Supervisor recommendation panel scheduled 2026-07-17</w:t>
            </w:r>
          </w:p>
        </w:tc>
      </w:tr>
      <w:tr>
        <w:tc>
          <w:tcPr>
            <w:tcW w:type="dxa" w:w="1502"/>
            <w:vAlign w:val="center"/>
          </w:tcPr>
          <w:p>
            <w:r/>
            <w:r>
              <w:rPr>
                <w:b w:val="0"/>
                <w:sz w:val="16"/>
              </w:rPr>
              <w:t>REP-2710</w:t>
            </w:r>
          </w:p>
        </w:tc>
        <w:tc>
          <w:tcPr>
            <w:tcW w:type="dxa" w:w="1502"/>
            <w:vAlign w:val="center"/>
          </w:tcPr>
          <w:p>
            <w:r/>
            <w:r>
              <w:rPr>
                <w:b w:val="0"/>
                <w:sz w:val="16"/>
              </w:rPr>
              <w:t>Marcus Lee</w:t>
            </w:r>
          </w:p>
        </w:tc>
        <w:tc>
          <w:tcPr>
            <w:tcW w:type="dxa" w:w="1502"/>
            <w:vAlign w:val="center"/>
          </w:tcPr>
          <w:p>
            <w:r/>
            <w:r>
              <w:rPr>
                <w:b w:val="0"/>
                <w:sz w:val="16"/>
              </w:rPr>
              <w:t>Affinity</w:t>
            </w:r>
          </w:p>
        </w:tc>
        <w:tc>
          <w:tcPr>
            <w:tcW w:type="dxa" w:w="1502"/>
            <w:vAlign w:val="center"/>
          </w:tcPr>
          <w:p>
            <w:r/>
            <w:r>
              <w:rPr>
                <w:b w:val="0"/>
                <w:sz w:val="16"/>
              </w:rPr>
              <w:t>Ready — manager approval pending</w:t>
            </w:r>
          </w:p>
        </w:tc>
        <w:tc>
          <w:tcPr>
            <w:tcW w:type="dxa" w:w="1502"/>
            <w:vAlign w:val="center"/>
          </w:tcPr>
          <w:p>
            <w:r/>
            <w:r>
              <w:rPr>
                <w:b w:val="0"/>
                <w:sz w:val="16"/>
              </w:rPr>
              <w:t>Desk Manager</w:t>
            </w:r>
          </w:p>
        </w:tc>
        <w:tc>
          <w:tcPr>
            <w:tcW w:type="dxa" w:w="1502"/>
            <w:vAlign w:val="center"/>
          </w:tcPr>
          <w:p>
            <w:r/>
            <w:r>
              <w:rPr>
                <w:b w:val="0"/>
                <w:sz w:val="16"/>
              </w:rPr>
              <w:t>2026-07-17</w:t>
            </w:r>
          </w:p>
        </w:tc>
        <w:tc>
          <w:tcPr>
            <w:tcW w:type="dxa" w:w="1502"/>
            <w:vAlign w:val="center"/>
          </w:tcPr>
          <w:p>
            <w:r/>
            <w:r>
              <w:rPr>
                <w:b w:val="0"/>
                <w:sz w:val="16"/>
              </w:rPr>
              <w:t>Evidence complete; independent coverage still requires desk manager approval</w:t>
            </w:r>
          </w:p>
        </w:tc>
      </w:tr>
    </w:tbl>
    <w:p>
      <w:pPr>
        <w:pStyle w:val="Heading1"/>
      </w:pPr>
      <w:r>
        <w:t>3. Evidence gate and decision rules</w:t>
      </w:r>
    </w:p>
    <w:p>
      <w:r>
        <w:t>Apply the source-standard gate in this order:</w:t>
      </w:r>
    </w:p>
    <w:p>
      <w:pPr>
        <w:pStyle w:val="ListNumber"/>
      </w:pPr>
      <w:r>
        <w:t>Reconcile cohort intake, supervisor, segment, territory, and target dates.</w:t>
      </w:r>
    </w:p>
    <w:p>
      <w:pPr>
        <w:pStyle w:val="ListNumber"/>
      </w:pPr>
      <w:r>
        <w:t>Confirm GS-C01 through GS-C07 evidence against the curriculum minimum rules.</w:t>
      </w:r>
    </w:p>
    <w:p>
      <w:pPr>
        <w:pStyle w:val="ListNumber"/>
      </w:pPr>
      <w:r>
        <w:t>Route failed or open evidence to a named owner, due date, remediation, and retest.</w:t>
      </w:r>
    </w:p>
    <w:p>
      <w:pPr>
        <w:pStyle w:val="ListNumber"/>
      </w:pPr>
      <w:r>
        <w:t>Keep licensing and compliance holds blocked until the compliance owner clears them.</w:t>
      </w:r>
    </w:p>
    <w:p>
      <w:pPr>
        <w:pStyle w:val="ListNumber"/>
      </w:pPr>
      <w:r>
        <w:t>Treat Jordan Patel's exception as supervised low-risk affinity renewal coverage only; it is not independent coverage.</w:t>
      </w:r>
    </w:p>
    <w:p>
      <w:pPr>
        <w:pStyle w:val="ListNumber"/>
      </w:pPr>
      <w:r>
        <w:t>Supervisor may recommend readiness; only the desk manager may approve independent coverage.</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vAlign w:val="center"/>
            <w:shd w:fill="2F75B5"/>
          </w:tcPr>
          <w:p>
            <w:r/>
            <w:r>
              <w:rPr>
                <w:b/>
                <w:color w:val="FFFFFF"/>
                <w:sz w:val="16"/>
              </w:rPr>
              <w:t>ID</w:t>
            </w:r>
          </w:p>
        </w:tc>
        <w:tc>
          <w:tcPr>
            <w:tcW w:type="dxa" w:w="2102"/>
            <w:vAlign w:val="center"/>
            <w:shd w:fill="2F75B5"/>
          </w:tcPr>
          <w:p>
            <w:r/>
            <w:r>
              <w:rPr>
                <w:b/>
                <w:color w:val="FFFFFF"/>
                <w:sz w:val="16"/>
              </w:rPr>
              <w:t>Competency</w:t>
            </w:r>
          </w:p>
        </w:tc>
        <w:tc>
          <w:tcPr>
            <w:tcW w:type="dxa" w:w="2102"/>
            <w:vAlign w:val="center"/>
            <w:shd w:fill="2F75B5"/>
          </w:tcPr>
          <w:p>
            <w:r/>
            <w:r>
              <w:rPr>
                <w:b/>
                <w:color w:val="FFFFFF"/>
                <w:sz w:val="16"/>
              </w:rPr>
              <w:t>Evidence</w:t>
            </w:r>
          </w:p>
        </w:tc>
        <w:tc>
          <w:tcPr>
            <w:tcW w:type="dxa" w:w="2102"/>
            <w:vAlign w:val="center"/>
            <w:shd w:fill="2F75B5"/>
          </w:tcPr>
          <w:p>
            <w:r/>
            <w:r>
              <w:rPr>
                <w:b/>
                <w:color w:val="FFFFFF"/>
                <w:sz w:val="16"/>
              </w:rPr>
              <w:t>Minimum</w:t>
            </w:r>
          </w:p>
        </w:tc>
        <w:tc>
          <w:tcPr>
            <w:tcW w:type="dxa" w:w="2102"/>
            <w:vAlign w:val="center"/>
            <w:shd w:fill="2F75B5"/>
          </w:tcPr>
          <w:p>
            <w:r/>
            <w:r>
              <w:rPr>
                <w:b/>
                <w:color w:val="FFFFFF"/>
                <w:sz w:val="16"/>
              </w:rPr>
              <w:t>Approval role</w:t>
            </w:r>
          </w:p>
        </w:tc>
      </w:tr>
      <w:tr>
        <w:tc>
          <w:tcPr>
            <w:tcW w:type="dxa" w:w="2102"/>
            <w:vAlign w:val="center"/>
          </w:tcPr>
          <w:p>
            <w:r/>
            <w:r>
              <w:rPr>
                <w:b w:val="0"/>
                <w:sz w:val="16"/>
              </w:rPr>
              <w:t>GS-C01</w:t>
            </w:r>
          </w:p>
        </w:tc>
        <w:tc>
          <w:tcPr>
            <w:tcW w:type="dxa" w:w="2102"/>
            <w:vAlign w:val="center"/>
          </w:tcPr>
          <w:p>
            <w:r/>
            <w:r>
              <w:rPr>
                <w:b w:val="0"/>
                <w:sz w:val="16"/>
              </w:rPr>
              <w:t>Discovery and qualification</w:t>
            </w:r>
          </w:p>
        </w:tc>
        <w:tc>
          <w:tcPr>
            <w:tcW w:type="dxa" w:w="2102"/>
            <w:vAlign w:val="center"/>
          </w:tcPr>
          <w:p>
            <w:r/>
            <w:r>
              <w:rPr>
                <w:b w:val="0"/>
                <w:sz w:val="16"/>
              </w:rPr>
              <w:t>Discovery simulation pass</w:t>
            </w:r>
          </w:p>
        </w:tc>
        <w:tc>
          <w:tcPr>
            <w:tcW w:type="dxa" w:w="2102"/>
            <w:vAlign w:val="center"/>
          </w:tcPr>
          <w:p>
            <w:r/>
            <w:r>
              <w:rPr>
                <w:b w:val="0"/>
                <w:sz w:val="16"/>
              </w:rPr>
              <w:t>Score &gt;= 85</w:t>
            </w:r>
          </w:p>
        </w:tc>
        <w:tc>
          <w:tcPr>
            <w:tcW w:type="dxa" w:w="2102"/>
            <w:vAlign w:val="center"/>
          </w:tcPr>
          <w:p>
            <w:r/>
            <w:r>
              <w:rPr>
                <w:b w:val="0"/>
                <w:sz w:val="16"/>
              </w:rPr>
              <w:t>Trainer signoff</w:t>
            </w:r>
          </w:p>
        </w:tc>
      </w:tr>
      <w:tr>
        <w:tc>
          <w:tcPr>
            <w:tcW w:type="dxa" w:w="2102"/>
            <w:vAlign w:val="center"/>
          </w:tcPr>
          <w:p>
            <w:r/>
            <w:r>
              <w:rPr>
                <w:b w:val="0"/>
                <w:sz w:val="16"/>
              </w:rPr>
              <w:t>GS-C02</w:t>
            </w:r>
          </w:p>
        </w:tc>
        <w:tc>
          <w:tcPr>
            <w:tcW w:type="dxa" w:w="2102"/>
            <w:vAlign w:val="center"/>
          </w:tcPr>
          <w:p>
            <w:r/>
            <w:r>
              <w:rPr>
                <w:b w:val="0"/>
                <w:sz w:val="16"/>
              </w:rPr>
              <w:t>Group fare quote mechanics</w:t>
            </w:r>
          </w:p>
        </w:tc>
        <w:tc>
          <w:tcPr>
            <w:tcW w:type="dxa" w:w="2102"/>
            <w:vAlign w:val="center"/>
          </w:tcPr>
          <w:p>
            <w:r/>
            <w:r>
              <w:rPr>
                <w:b w:val="0"/>
                <w:sz w:val="16"/>
              </w:rPr>
              <w:t>Quote assessment pass</w:t>
            </w:r>
          </w:p>
        </w:tc>
        <w:tc>
          <w:tcPr>
            <w:tcW w:type="dxa" w:w="2102"/>
            <w:vAlign w:val="center"/>
          </w:tcPr>
          <w:p>
            <w:r/>
            <w:r>
              <w:rPr>
                <w:b w:val="0"/>
                <w:sz w:val="16"/>
              </w:rPr>
              <w:t>Score &gt;= 88</w:t>
            </w:r>
          </w:p>
        </w:tc>
        <w:tc>
          <w:tcPr>
            <w:tcW w:type="dxa" w:w="2102"/>
            <w:vAlign w:val="center"/>
          </w:tcPr>
          <w:p>
            <w:r/>
            <w:r>
              <w:rPr>
                <w:b w:val="0"/>
                <w:sz w:val="16"/>
              </w:rPr>
              <w:t>Product trainer signoff</w:t>
            </w:r>
          </w:p>
        </w:tc>
      </w:tr>
      <w:tr>
        <w:tc>
          <w:tcPr>
            <w:tcW w:type="dxa" w:w="2102"/>
            <w:vAlign w:val="center"/>
          </w:tcPr>
          <w:p>
            <w:r/>
            <w:r>
              <w:rPr>
                <w:b w:val="0"/>
                <w:sz w:val="16"/>
              </w:rPr>
              <w:t>GS-C03</w:t>
            </w:r>
          </w:p>
        </w:tc>
        <w:tc>
          <w:tcPr>
            <w:tcW w:type="dxa" w:w="2102"/>
            <w:vAlign w:val="center"/>
          </w:tcPr>
          <w:p>
            <w:r/>
            <w:r>
              <w:rPr>
                <w:b w:val="0"/>
                <w:sz w:val="16"/>
              </w:rPr>
              <w:t>Contract and deposit terms</w:t>
            </w:r>
          </w:p>
        </w:tc>
        <w:tc>
          <w:tcPr>
            <w:tcW w:type="dxa" w:w="2102"/>
            <w:vAlign w:val="center"/>
          </w:tcPr>
          <w:p>
            <w:r/>
            <w:r>
              <w:rPr>
                <w:b w:val="0"/>
                <w:sz w:val="16"/>
              </w:rPr>
              <w:t>Terms assessment pass</w:t>
            </w:r>
          </w:p>
        </w:tc>
        <w:tc>
          <w:tcPr>
            <w:tcW w:type="dxa" w:w="2102"/>
            <w:vAlign w:val="center"/>
          </w:tcPr>
          <w:p>
            <w:r/>
            <w:r>
              <w:rPr>
                <w:b w:val="0"/>
                <w:sz w:val="16"/>
              </w:rPr>
              <w:t>Score &gt;= 90</w:t>
            </w:r>
          </w:p>
        </w:tc>
        <w:tc>
          <w:tcPr>
            <w:tcW w:type="dxa" w:w="2102"/>
            <w:vAlign w:val="center"/>
          </w:tcPr>
          <w:p>
            <w:r/>
            <w:r>
              <w:rPr>
                <w:b w:val="0"/>
                <w:sz w:val="16"/>
              </w:rPr>
              <w:t>Contract trainer signoff</w:t>
            </w:r>
          </w:p>
        </w:tc>
      </w:tr>
      <w:tr>
        <w:tc>
          <w:tcPr>
            <w:tcW w:type="dxa" w:w="2102"/>
            <w:vAlign w:val="center"/>
          </w:tcPr>
          <w:p>
            <w:r/>
            <w:r>
              <w:rPr>
                <w:b w:val="0"/>
                <w:sz w:val="16"/>
              </w:rPr>
              <w:t>GS-C04</w:t>
            </w:r>
          </w:p>
        </w:tc>
        <w:tc>
          <w:tcPr>
            <w:tcW w:type="dxa" w:w="2102"/>
            <w:vAlign w:val="center"/>
          </w:tcPr>
          <w:p>
            <w:r/>
            <w:r>
              <w:rPr>
                <w:b w:val="0"/>
                <w:sz w:val="16"/>
              </w:rPr>
              <w:t>Compliance disclosures</w:t>
            </w:r>
          </w:p>
        </w:tc>
        <w:tc>
          <w:tcPr>
            <w:tcW w:type="dxa" w:w="2102"/>
            <w:vAlign w:val="center"/>
          </w:tcPr>
          <w:p>
            <w:r/>
            <w:r>
              <w:rPr>
                <w:b w:val="0"/>
                <w:sz w:val="16"/>
              </w:rPr>
              <w:t>Compliance checklist pass</w:t>
            </w:r>
          </w:p>
        </w:tc>
        <w:tc>
          <w:tcPr>
            <w:tcW w:type="dxa" w:w="2102"/>
            <w:vAlign w:val="center"/>
          </w:tcPr>
          <w:p>
            <w:r/>
            <w:r>
              <w:rPr>
                <w:b w:val="0"/>
                <w:sz w:val="16"/>
              </w:rPr>
              <w:t>Pass with no critical miss</w:t>
            </w:r>
          </w:p>
        </w:tc>
        <w:tc>
          <w:tcPr>
            <w:tcW w:type="dxa" w:w="2102"/>
            <w:vAlign w:val="center"/>
          </w:tcPr>
          <w:p>
            <w:r/>
            <w:r>
              <w:rPr>
                <w:b w:val="0"/>
                <w:sz w:val="16"/>
              </w:rPr>
              <w:t>Compliance signoff</w:t>
            </w:r>
          </w:p>
        </w:tc>
      </w:tr>
      <w:tr>
        <w:tc>
          <w:tcPr>
            <w:tcW w:type="dxa" w:w="2102"/>
            <w:vAlign w:val="center"/>
          </w:tcPr>
          <w:p>
            <w:r/>
            <w:r>
              <w:rPr>
                <w:b w:val="0"/>
                <w:sz w:val="16"/>
              </w:rPr>
              <w:t>GS-C05</w:t>
            </w:r>
          </w:p>
        </w:tc>
        <w:tc>
          <w:tcPr>
            <w:tcW w:type="dxa" w:w="2102"/>
            <w:vAlign w:val="center"/>
          </w:tcPr>
          <w:p>
            <w:r/>
            <w:r>
              <w:rPr>
                <w:b w:val="0"/>
                <w:sz w:val="16"/>
              </w:rPr>
              <w:t>CRM opportunity hygiene</w:t>
            </w:r>
          </w:p>
        </w:tc>
        <w:tc>
          <w:tcPr>
            <w:tcW w:type="dxa" w:w="2102"/>
            <w:vAlign w:val="center"/>
          </w:tcPr>
          <w:p>
            <w:r/>
            <w:r>
              <w:rPr>
                <w:b w:val="0"/>
                <w:sz w:val="16"/>
              </w:rPr>
              <w:t>CRM audit pass</w:t>
            </w:r>
          </w:p>
        </w:tc>
        <w:tc>
          <w:tcPr>
            <w:tcW w:type="dxa" w:w="2102"/>
            <w:vAlign w:val="center"/>
          </w:tcPr>
          <w:p>
            <w:r/>
            <w:r>
              <w:rPr>
                <w:b w:val="0"/>
                <w:sz w:val="16"/>
              </w:rPr>
              <w:t>Score &gt;= 95</w:t>
            </w:r>
          </w:p>
        </w:tc>
        <w:tc>
          <w:tcPr>
            <w:tcW w:type="dxa" w:w="2102"/>
            <w:vAlign w:val="center"/>
          </w:tcPr>
          <w:p>
            <w:r/>
            <w:r>
              <w:rPr>
                <w:b w:val="0"/>
                <w:sz w:val="16"/>
              </w:rPr>
              <w:t>QA signoff</w:t>
            </w:r>
          </w:p>
        </w:tc>
      </w:tr>
      <w:tr>
        <w:tc>
          <w:tcPr>
            <w:tcW w:type="dxa" w:w="2102"/>
            <w:vAlign w:val="center"/>
          </w:tcPr>
          <w:p>
            <w:r/>
            <w:r>
              <w:rPr>
                <w:b w:val="0"/>
                <w:sz w:val="16"/>
              </w:rPr>
              <w:t>GS-C06</w:t>
            </w:r>
          </w:p>
        </w:tc>
        <w:tc>
          <w:tcPr>
            <w:tcW w:type="dxa" w:w="2102"/>
            <w:vAlign w:val="center"/>
          </w:tcPr>
          <w:p>
            <w:r/>
            <w:r>
              <w:rPr>
                <w:b w:val="0"/>
                <w:sz w:val="16"/>
              </w:rPr>
              <w:t>Escalation judgment</w:t>
            </w:r>
          </w:p>
        </w:tc>
        <w:tc>
          <w:tcPr>
            <w:tcW w:type="dxa" w:w="2102"/>
            <w:vAlign w:val="center"/>
          </w:tcPr>
          <w:p>
            <w:r/>
            <w:r>
              <w:rPr>
                <w:b w:val="0"/>
                <w:sz w:val="16"/>
              </w:rPr>
              <w:t>Escalation scenario pass</w:t>
            </w:r>
          </w:p>
        </w:tc>
        <w:tc>
          <w:tcPr>
            <w:tcW w:type="dxa" w:w="2102"/>
            <w:vAlign w:val="center"/>
          </w:tcPr>
          <w:p>
            <w:r/>
            <w:r>
              <w:rPr>
                <w:b w:val="0"/>
                <w:sz w:val="16"/>
              </w:rPr>
              <w:t>Score &gt;= 85</w:t>
            </w:r>
          </w:p>
        </w:tc>
        <w:tc>
          <w:tcPr>
            <w:tcW w:type="dxa" w:w="2102"/>
            <w:vAlign w:val="center"/>
          </w:tcPr>
          <w:p>
            <w:r/>
            <w:r>
              <w:rPr>
                <w:b w:val="0"/>
                <w:sz w:val="16"/>
              </w:rPr>
              <w:t>Supervisor recommendation</w:t>
            </w:r>
          </w:p>
        </w:tc>
      </w:tr>
      <w:tr>
        <w:tc>
          <w:tcPr>
            <w:tcW w:type="dxa" w:w="2102"/>
            <w:vAlign w:val="center"/>
          </w:tcPr>
          <w:p>
            <w:r/>
            <w:r>
              <w:rPr>
                <w:b w:val="0"/>
                <w:sz w:val="16"/>
              </w:rPr>
              <w:t>GS-C07</w:t>
            </w:r>
          </w:p>
        </w:tc>
        <w:tc>
          <w:tcPr>
            <w:tcW w:type="dxa" w:w="2102"/>
            <w:vAlign w:val="center"/>
          </w:tcPr>
          <w:p>
            <w:r/>
            <w:r>
              <w:rPr>
                <w:b w:val="0"/>
                <w:sz w:val="16"/>
              </w:rPr>
              <w:t>Customer handoff readiness</w:t>
            </w:r>
          </w:p>
        </w:tc>
        <w:tc>
          <w:tcPr>
            <w:tcW w:type="dxa" w:w="2102"/>
            <w:vAlign w:val="center"/>
          </w:tcPr>
          <w:p>
            <w:r/>
            <w:r>
              <w:rPr>
                <w:b w:val="0"/>
                <w:sz w:val="16"/>
              </w:rPr>
              <w:t>Live observation and handoff note</w:t>
            </w:r>
          </w:p>
        </w:tc>
        <w:tc>
          <w:tcPr>
            <w:tcW w:type="dxa" w:w="2102"/>
            <w:vAlign w:val="center"/>
          </w:tcPr>
          <w:p>
            <w:r/>
            <w:r>
              <w:rPr>
                <w:b w:val="0"/>
                <w:sz w:val="16"/>
              </w:rPr>
              <w:t>QA score &gt;= 90 and supervisor signoff</w:t>
            </w:r>
          </w:p>
        </w:tc>
        <w:tc>
          <w:tcPr>
            <w:tcW w:type="dxa" w:w="2102"/>
            <w:vAlign w:val="center"/>
          </w:tcPr>
          <w:p>
            <w:r/>
            <w:r>
              <w:rPr>
                <w:b w:val="0"/>
                <w:sz w:val="16"/>
              </w:rPr>
              <w:t>Desk manager approval</w:t>
            </w:r>
          </w:p>
        </w:tc>
      </w:tr>
    </w:tbl>
    <w:p>
      <w:pPr>
        <w:pStyle w:val="Heading1"/>
      </w:pPr>
      <w:r>
        <w:t>4. Exception and remediation routes</w:t>
      </w:r>
    </w:p>
    <w:tbl>
      <w:tblPr>
        <w:tblStyle w:val="TableGrid"/>
        <w:tblW w:type="auto" w:w="0"/>
        <w:jc w:val="center"/>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vAlign w:val="center"/>
            <w:shd w:fill="2F75B5"/>
          </w:tcPr>
          <w:p>
            <w:r/>
            <w:r>
              <w:rPr>
                <w:b/>
                <w:color w:val="FFFFFF"/>
                <w:sz w:val="16"/>
              </w:rPr>
              <w:t>Code</w:t>
            </w:r>
          </w:p>
        </w:tc>
        <w:tc>
          <w:tcPr>
            <w:tcW w:type="dxa" w:w="1502"/>
            <w:vAlign w:val="center"/>
            <w:shd w:fill="2F75B5"/>
          </w:tcPr>
          <w:p>
            <w:r/>
            <w:r>
              <w:rPr>
                <w:b/>
                <w:color w:val="FFFFFF"/>
                <w:sz w:val="16"/>
              </w:rPr>
              <w:t>Rep</w:t>
            </w:r>
          </w:p>
        </w:tc>
        <w:tc>
          <w:tcPr>
            <w:tcW w:type="dxa" w:w="1502"/>
            <w:vAlign w:val="center"/>
            <w:shd w:fill="2F75B5"/>
          </w:tcPr>
          <w:p>
            <w:r/>
            <w:r>
              <w:rPr>
                <w:b/>
                <w:color w:val="FFFFFF"/>
                <w:sz w:val="16"/>
              </w:rPr>
              <w:t>Gate</w:t>
            </w:r>
          </w:p>
        </w:tc>
        <w:tc>
          <w:tcPr>
            <w:tcW w:type="dxa" w:w="1502"/>
            <w:vAlign w:val="center"/>
            <w:shd w:fill="2F75B5"/>
          </w:tcPr>
          <w:p>
            <w:r/>
            <w:r>
              <w:rPr>
                <w:b/>
                <w:color w:val="FFFFFF"/>
                <w:sz w:val="16"/>
              </w:rPr>
              <w:t>State</w:t>
            </w:r>
          </w:p>
        </w:tc>
        <w:tc>
          <w:tcPr>
            <w:tcW w:type="dxa" w:w="1502"/>
            <w:vAlign w:val="center"/>
            <w:shd w:fill="2F75B5"/>
          </w:tcPr>
          <w:p>
            <w:r/>
            <w:r>
              <w:rPr>
                <w:b/>
                <w:color w:val="FFFFFF"/>
                <w:sz w:val="16"/>
              </w:rPr>
              <w:t>Owner</w:t>
            </w:r>
          </w:p>
        </w:tc>
        <w:tc>
          <w:tcPr>
            <w:tcW w:type="dxa" w:w="1502"/>
            <w:vAlign w:val="center"/>
            <w:shd w:fill="2F75B5"/>
          </w:tcPr>
          <w:p>
            <w:r/>
            <w:r>
              <w:rPr>
                <w:b/>
                <w:color w:val="FFFFFF"/>
                <w:sz w:val="16"/>
              </w:rPr>
              <w:t>Due</w:t>
            </w:r>
          </w:p>
        </w:tc>
        <w:tc>
          <w:tcPr>
            <w:tcW w:type="dxa" w:w="1502"/>
            <w:vAlign w:val="center"/>
            <w:shd w:fill="2F75B5"/>
          </w:tcPr>
          <w:p>
            <w:r/>
            <w:r>
              <w:rPr>
                <w:b/>
                <w:color w:val="FFFFFF"/>
                <w:sz w:val="16"/>
              </w:rPr>
              <w:t>Next action</w:t>
            </w:r>
          </w:p>
        </w:tc>
      </w:tr>
      <w:tr>
        <w:tc>
          <w:tcPr>
            <w:tcW w:type="dxa" w:w="1502"/>
            <w:vAlign w:val="center"/>
          </w:tcPr>
          <w:p>
            <w:r/>
            <w:r>
              <w:rPr>
                <w:b w:val="0"/>
                <w:sz w:val="16"/>
              </w:rPr>
              <w:t>EX-LIM-2702</w:t>
            </w:r>
          </w:p>
        </w:tc>
        <w:tc>
          <w:tcPr>
            <w:tcW w:type="dxa" w:w="1502"/>
            <w:vAlign w:val="center"/>
          </w:tcPr>
          <w:p>
            <w:r/>
            <w:r>
              <w:rPr>
                <w:b w:val="0"/>
                <w:sz w:val="16"/>
              </w:rPr>
              <w:t>REP-2702</w:t>
            </w:r>
          </w:p>
        </w:tc>
        <w:tc>
          <w:tcPr>
            <w:tcW w:type="dxa" w:w="1502"/>
            <w:vAlign w:val="center"/>
          </w:tcPr>
          <w:p>
            <w:r/>
            <w:r>
              <w:rPr>
                <w:b w:val="0"/>
                <w:sz w:val="16"/>
              </w:rPr>
              <w:t>GS-C07</w:t>
            </w:r>
          </w:p>
        </w:tc>
        <w:tc>
          <w:tcPr>
            <w:tcW w:type="dxa" w:w="1502"/>
            <w:vAlign w:val="center"/>
          </w:tcPr>
          <w:p>
            <w:r/>
            <w:r>
              <w:rPr>
                <w:b w:val="0"/>
                <w:sz w:val="16"/>
              </w:rPr>
              <w:t>Approved limited exception</w:t>
            </w:r>
          </w:p>
        </w:tc>
        <w:tc>
          <w:tcPr>
            <w:tcW w:type="dxa" w:w="1502"/>
            <w:vAlign w:val="center"/>
          </w:tcPr>
          <w:p>
            <w:r/>
            <w:r>
              <w:rPr>
                <w:b w:val="0"/>
                <w:sz w:val="16"/>
              </w:rPr>
              <w:t>SUP-411</w:t>
            </w:r>
          </w:p>
        </w:tc>
        <w:tc>
          <w:tcPr>
            <w:tcW w:type="dxa" w:w="1502"/>
            <w:vAlign w:val="center"/>
          </w:tcPr>
          <w:p>
            <w:r/>
            <w:r>
              <w:rPr>
                <w:b w:val="0"/>
                <w:sz w:val="16"/>
              </w:rPr>
              <w:t>2026-07-20</w:t>
            </w:r>
          </w:p>
        </w:tc>
        <w:tc>
          <w:tcPr>
            <w:tcW w:type="dxa" w:w="1502"/>
            <w:vAlign w:val="center"/>
          </w:tcPr>
          <w:p>
            <w:r/>
            <w:r>
              <w:rPr>
                <w:b w:val="0"/>
                <w:sz w:val="16"/>
              </w:rPr>
              <w:t>Keep Jordan on low-risk affinity renewals with senior rep review until live observation closes</w:t>
            </w:r>
          </w:p>
        </w:tc>
      </w:tr>
      <w:tr>
        <w:tc>
          <w:tcPr>
            <w:tcW w:type="dxa" w:w="1502"/>
            <w:vAlign w:val="center"/>
          </w:tcPr>
          <w:p>
            <w:r/>
            <w:r>
              <w:rPr>
                <w:b w:val="0"/>
                <w:sz w:val="16"/>
              </w:rPr>
              <w:t>EX-REM-2703</w:t>
            </w:r>
          </w:p>
        </w:tc>
        <w:tc>
          <w:tcPr>
            <w:tcW w:type="dxa" w:w="1502"/>
            <w:vAlign w:val="center"/>
          </w:tcPr>
          <w:p>
            <w:r/>
            <w:r>
              <w:rPr>
                <w:b w:val="0"/>
                <w:sz w:val="16"/>
              </w:rPr>
              <w:t>REP-2703</w:t>
            </w:r>
          </w:p>
        </w:tc>
        <w:tc>
          <w:tcPr>
            <w:tcW w:type="dxa" w:w="1502"/>
            <w:vAlign w:val="center"/>
          </w:tcPr>
          <w:p>
            <w:r/>
            <w:r>
              <w:rPr>
                <w:b w:val="0"/>
                <w:sz w:val="16"/>
              </w:rPr>
              <w:t>GS-C03</w:t>
            </w:r>
          </w:p>
        </w:tc>
        <w:tc>
          <w:tcPr>
            <w:tcW w:type="dxa" w:w="1502"/>
            <w:vAlign w:val="center"/>
          </w:tcPr>
          <w:p>
            <w:r/>
            <w:r>
              <w:rPr>
                <w:b w:val="0"/>
                <w:sz w:val="16"/>
              </w:rPr>
              <w:t>Remediation scheduled</w:t>
            </w:r>
          </w:p>
        </w:tc>
        <w:tc>
          <w:tcPr>
            <w:tcW w:type="dxa" w:w="1502"/>
            <w:vAlign w:val="center"/>
          </w:tcPr>
          <w:p>
            <w:r/>
            <w:r>
              <w:rPr>
                <w:b w:val="0"/>
                <w:sz w:val="16"/>
              </w:rPr>
              <w:t>TRN-503</w:t>
            </w:r>
          </w:p>
        </w:tc>
        <w:tc>
          <w:tcPr>
            <w:tcW w:type="dxa" w:w="1502"/>
            <w:vAlign w:val="center"/>
          </w:tcPr>
          <w:p>
            <w:r/>
            <w:r>
              <w:rPr>
                <w:b w:val="0"/>
                <w:sz w:val="16"/>
              </w:rPr>
              <w:t>2026-07-17</w:t>
            </w:r>
          </w:p>
        </w:tc>
        <w:tc>
          <w:tcPr>
            <w:tcW w:type="dxa" w:w="1502"/>
            <w:vAlign w:val="center"/>
          </w:tcPr>
          <w:p>
            <w:r/>
            <w:r>
              <w:rPr>
                <w:b w:val="0"/>
                <w:sz w:val="16"/>
              </w:rPr>
              <w:t>Complete M301 remediation and retest before live observation</w:t>
            </w:r>
          </w:p>
        </w:tc>
      </w:tr>
      <w:tr>
        <w:tc>
          <w:tcPr>
            <w:tcW w:type="dxa" w:w="1502"/>
            <w:vAlign w:val="center"/>
          </w:tcPr>
          <w:p>
            <w:r/>
            <w:r>
              <w:rPr>
                <w:b w:val="0"/>
                <w:sz w:val="16"/>
              </w:rPr>
              <w:t>EX-LIC-2704</w:t>
            </w:r>
          </w:p>
        </w:tc>
        <w:tc>
          <w:tcPr>
            <w:tcW w:type="dxa" w:w="1502"/>
            <w:vAlign w:val="center"/>
          </w:tcPr>
          <w:p>
            <w:r/>
            <w:r>
              <w:rPr>
                <w:b w:val="0"/>
                <w:sz w:val="16"/>
              </w:rPr>
              <w:t>REP-2704</w:t>
            </w:r>
          </w:p>
        </w:tc>
        <w:tc>
          <w:tcPr>
            <w:tcW w:type="dxa" w:w="1502"/>
            <w:vAlign w:val="center"/>
          </w:tcPr>
          <w:p>
            <w:r/>
            <w:r>
              <w:rPr>
                <w:b w:val="0"/>
                <w:sz w:val="16"/>
              </w:rPr>
              <w:t>GS-C04</w:t>
            </w:r>
          </w:p>
        </w:tc>
        <w:tc>
          <w:tcPr>
            <w:tcW w:type="dxa" w:w="1502"/>
            <w:vAlign w:val="center"/>
          </w:tcPr>
          <w:p>
            <w:r/>
            <w:r>
              <w:rPr>
                <w:b w:val="0"/>
                <w:sz w:val="16"/>
              </w:rPr>
              <w:t>Unresolved</w:t>
            </w:r>
          </w:p>
        </w:tc>
        <w:tc>
          <w:tcPr>
            <w:tcW w:type="dxa" w:w="1502"/>
            <w:vAlign w:val="center"/>
          </w:tcPr>
          <w:p>
            <w:r/>
            <w:r>
              <w:rPr>
                <w:b w:val="0"/>
                <w:sz w:val="16"/>
              </w:rPr>
              <w:t>COM-201</w:t>
            </w:r>
          </w:p>
        </w:tc>
        <w:tc>
          <w:tcPr>
            <w:tcW w:type="dxa" w:w="1502"/>
            <w:vAlign w:val="center"/>
          </w:tcPr>
          <w:p>
            <w:r/>
            <w:r>
              <w:rPr>
                <w:b w:val="0"/>
                <w:sz w:val="16"/>
              </w:rPr>
              <w:t>2026-07-22</w:t>
            </w:r>
          </w:p>
        </w:tc>
        <w:tc>
          <w:tcPr>
            <w:tcW w:type="dxa" w:w="1502"/>
            <w:vAlign w:val="center"/>
          </w:tcPr>
          <w:p>
            <w:r/>
            <w:r>
              <w:rPr>
                <w:b w:val="0"/>
                <w:sz w:val="16"/>
              </w:rPr>
              <w:t>Compliance to confirm seller-of-travel license clearance</w:t>
            </w:r>
          </w:p>
        </w:tc>
      </w:tr>
      <w:tr>
        <w:tc>
          <w:tcPr>
            <w:tcW w:type="dxa" w:w="1502"/>
            <w:vAlign w:val="center"/>
          </w:tcPr>
          <w:p>
            <w:r/>
            <w:r>
              <w:rPr>
                <w:b w:val="0"/>
                <w:sz w:val="16"/>
              </w:rPr>
              <w:t>EX-CRM-2705</w:t>
            </w:r>
          </w:p>
        </w:tc>
        <w:tc>
          <w:tcPr>
            <w:tcW w:type="dxa" w:w="1502"/>
            <w:vAlign w:val="center"/>
          </w:tcPr>
          <w:p>
            <w:r/>
            <w:r>
              <w:rPr>
                <w:b w:val="0"/>
                <w:sz w:val="16"/>
              </w:rPr>
              <w:t>REP-2705</w:t>
            </w:r>
          </w:p>
        </w:tc>
        <w:tc>
          <w:tcPr>
            <w:tcW w:type="dxa" w:w="1502"/>
            <w:vAlign w:val="center"/>
          </w:tcPr>
          <w:p>
            <w:r/>
            <w:r>
              <w:rPr>
                <w:b w:val="0"/>
                <w:sz w:val="16"/>
              </w:rPr>
              <w:t>GS-C05</w:t>
            </w:r>
          </w:p>
        </w:tc>
        <w:tc>
          <w:tcPr>
            <w:tcW w:type="dxa" w:w="1502"/>
            <w:vAlign w:val="center"/>
          </w:tcPr>
          <w:p>
            <w:r/>
            <w:r>
              <w:rPr>
                <w:b w:val="0"/>
                <w:sz w:val="16"/>
              </w:rPr>
              <w:t>Remediation scheduled</w:t>
            </w:r>
          </w:p>
        </w:tc>
        <w:tc>
          <w:tcPr>
            <w:tcW w:type="dxa" w:w="1502"/>
            <w:vAlign w:val="center"/>
          </w:tcPr>
          <w:p>
            <w:r/>
            <w:r>
              <w:rPr>
                <w:b w:val="0"/>
                <w:sz w:val="16"/>
              </w:rPr>
              <w:t>TRN-503</w:t>
            </w:r>
          </w:p>
        </w:tc>
        <w:tc>
          <w:tcPr>
            <w:tcW w:type="dxa" w:w="1502"/>
            <w:vAlign w:val="center"/>
          </w:tcPr>
          <w:p>
            <w:r/>
            <w:r>
              <w:rPr>
                <w:b w:val="0"/>
                <w:sz w:val="16"/>
              </w:rPr>
              <w:t>2026-07-16</w:t>
            </w:r>
          </w:p>
        </w:tc>
        <w:tc>
          <w:tcPr>
            <w:tcW w:type="dxa" w:w="1502"/>
            <w:vAlign w:val="center"/>
          </w:tcPr>
          <w:p>
            <w:r/>
            <w:r>
              <w:rPr>
                <w:b w:val="0"/>
                <w:sz w:val="16"/>
              </w:rPr>
              <w:t>Rebuild CRM opportunity notes and pass audit</w:t>
            </w:r>
          </w:p>
        </w:tc>
      </w:tr>
      <w:tr>
        <w:tc>
          <w:tcPr>
            <w:tcW w:type="dxa" w:w="1502"/>
            <w:vAlign w:val="center"/>
          </w:tcPr>
          <w:p>
            <w:r/>
            <w:r>
              <w:rPr>
                <w:b w:val="0"/>
                <w:sz w:val="16"/>
              </w:rPr>
              <w:t>EX-LIVE-2706</w:t>
            </w:r>
          </w:p>
        </w:tc>
        <w:tc>
          <w:tcPr>
            <w:tcW w:type="dxa" w:w="1502"/>
            <w:vAlign w:val="center"/>
          </w:tcPr>
          <w:p>
            <w:r/>
            <w:r>
              <w:rPr>
                <w:b w:val="0"/>
                <w:sz w:val="16"/>
              </w:rPr>
              <w:t>REP-2706</w:t>
            </w:r>
          </w:p>
        </w:tc>
        <w:tc>
          <w:tcPr>
            <w:tcW w:type="dxa" w:w="1502"/>
            <w:vAlign w:val="center"/>
          </w:tcPr>
          <w:p>
            <w:r/>
            <w:r>
              <w:rPr>
                <w:b w:val="0"/>
                <w:sz w:val="16"/>
              </w:rPr>
              <w:t>GS-C07</w:t>
            </w:r>
          </w:p>
        </w:tc>
        <w:tc>
          <w:tcPr>
            <w:tcW w:type="dxa" w:w="1502"/>
            <w:vAlign w:val="center"/>
          </w:tcPr>
          <w:p>
            <w:r/>
            <w:r>
              <w:rPr>
                <w:b w:val="0"/>
                <w:sz w:val="16"/>
              </w:rPr>
              <w:t>Pending evidence</w:t>
            </w:r>
          </w:p>
        </w:tc>
        <w:tc>
          <w:tcPr>
            <w:tcW w:type="dxa" w:w="1502"/>
            <w:vAlign w:val="center"/>
          </w:tcPr>
          <w:p>
            <w:r/>
            <w:r>
              <w:rPr>
                <w:b w:val="0"/>
                <w:sz w:val="16"/>
              </w:rPr>
              <w:t>TRN-505</w:t>
            </w:r>
          </w:p>
        </w:tc>
        <w:tc>
          <w:tcPr>
            <w:tcW w:type="dxa" w:w="1502"/>
            <w:vAlign w:val="center"/>
          </w:tcPr>
          <w:p>
            <w:r/>
            <w:r>
              <w:rPr>
                <w:b w:val="0"/>
                <w:sz w:val="16"/>
              </w:rPr>
              <w:t>2026-07-17</w:t>
            </w:r>
          </w:p>
        </w:tc>
        <w:tc>
          <w:tcPr>
            <w:tcW w:type="dxa" w:w="1502"/>
            <w:vAlign w:val="center"/>
          </w:tcPr>
          <w:p>
            <w:r/>
            <w:r>
              <w:rPr>
                <w:b w:val="0"/>
                <w:sz w:val="16"/>
              </w:rPr>
              <w:t>Complete live call observation before manager approval</w:t>
            </w:r>
          </w:p>
        </w:tc>
      </w:tr>
      <w:tr>
        <w:tc>
          <w:tcPr>
            <w:tcW w:type="dxa" w:w="1502"/>
            <w:vAlign w:val="center"/>
          </w:tcPr>
          <w:p>
            <w:r/>
            <w:r>
              <w:rPr>
                <w:b w:val="0"/>
                <w:sz w:val="16"/>
              </w:rPr>
              <w:t>EX-COMP-2708</w:t>
            </w:r>
          </w:p>
        </w:tc>
        <w:tc>
          <w:tcPr>
            <w:tcW w:type="dxa" w:w="1502"/>
            <w:vAlign w:val="center"/>
          </w:tcPr>
          <w:p>
            <w:r/>
            <w:r>
              <w:rPr>
                <w:b w:val="0"/>
                <w:sz w:val="16"/>
              </w:rPr>
              <w:t>REP-2708</w:t>
            </w:r>
          </w:p>
        </w:tc>
        <w:tc>
          <w:tcPr>
            <w:tcW w:type="dxa" w:w="1502"/>
            <w:vAlign w:val="center"/>
          </w:tcPr>
          <w:p>
            <w:r/>
            <w:r>
              <w:rPr>
                <w:b w:val="0"/>
                <w:sz w:val="16"/>
              </w:rPr>
              <w:t>GS-C04</w:t>
            </w:r>
          </w:p>
        </w:tc>
        <w:tc>
          <w:tcPr>
            <w:tcW w:type="dxa" w:w="1502"/>
            <w:vAlign w:val="center"/>
          </w:tcPr>
          <w:p>
            <w:r/>
            <w:r>
              <w:rPr>
                <w:b w:val="0"/>
                <w:sz w:val="16"/>
              </w:rPr>
              <w:t>Unresolved</w:t>
            </w:r>
          </w:p>
        </w:tc>
        <w:tc>
          <w:tcPr>
            <w:tcW w:type="dxa" w:w="1502"/>
            <w:vAlign w:val="center"/>
          </w:tcPr>
          <w:p>
            <w:r/>
            <w:r>
              <w:rPr>
                <w:b w:val="0"/>
                <w:sz w:val="16"/>
              </w:rPr>
              <w:t>COM-201</w:t>
            </w:r>
          </w:p>
        </w:tc>
        <w:tc>
          <w:tcPr>
            <w:tcW w:type="dxa" w:w="1502"/>
            <w:vAlign w:val="center"/>
          </w:tcPr>
          <w:p>
            <w:r/>
            <w:r>
              <w:rPr>
                <w:b w:val="0"/>
                <w:sz w:val="16"/>
              </w:rPr>
              <w:t>2026-07-18</w:t>
            </w:r>
          </w:p>
        </w:tc>
        <w:tc>
          <w:tcPr>
            <w:tcW w:type="dxa" w:w="1502"/>
            <w:vAlign w:val="center"/>
          </w:tcPr>
          <w:p>
            <w:r/>
            <w:r>
              <w:rPr>
                <w:b w:val="0"/>
                <w:sz w:val="16"/>
              </w:rPr>
              <w:t>Pass disclosure retest and compliance review</w:t>
            </w:r>
          </w:p>
        </w:tc>
      </w:tr>
      <w:tr>
        <w:tc>
          <w:tcPr>
            <w:tcW w:type="dxa" w:w="1502"/>
            <w:vAlign w:val="center"/>
          </w:tcPr>
          <w:p>
            <w:r/>
            <w:r>
              <w:rPr>
                <w:b w:val="0"/>
                <w:sz w:val="16"/>
              </w:rPr>
              <w:t>EX-PANEL-2709</w:t>
            </w:r>
          </w:p>
        </w:tc>
        <w:tc>
          <w:tcPr>
            <w:tcW w:type="dxa" w:w="1502"/>
            <w:vAlign w:val="center"/>
          </w:tcPr>
          <w:p>
            <w:r/>
            <w:r>
              <w:rPr>
                <w:b w:val="0"/>
                <w:sz w:val="16"/>
              </w:rPr>
              <w:t>REP-2709</w:t>
            </w:r>
          </w:p>
        </w:tc>
        <w:tc>
          <w:tcPr>
            <w:tcW w:type="dxa" w:w="1502"/>
            <w:vAlign w:val="center"/>
          </w:tcPr>
          <w:p>
            <w:r/>
            <w:r>
              <w:rPr>
                <w:b w:val="0"/>
                <w:sz w:val="16"/>
              </w:rPr>
              <w:t>GS-C07</w:t>
            </w:r>
          </w:p>
        </w:tc>
        <w:tc>
          <w:tcPr>
            <w:tcW w:type="dxa" w:w="1502"/>
            <w:vAlign w:val="center"/>
          </w:tcPr>
          <w:p>
            <w:r/>
            <w:r>
              <w:rPr>
                <w:b w:val="0"/>
                <w:sz w:val="16"/>
              </w:rPr>
              <w:t>Pending evidence</w:t>
            </w:r>
          </w:p>
        </w:tc>
        <w:tc>
          <w:tcPr>
            <w:tcW w:type="dxa" w:w="1502"/>
            <w:vAlign w:val="center"/>
          </w:tcPr>
          <w:p>
            <w:r/>
            <w:r>
              <w:rPr>
                <w:b w:val="0"/>
                <w:sz w:val="16"/>
              </w:rPr>
              <w:t>SUP-410</w:t>
            </w:r>
          </w:p>
        </w:tc>
        <w:tc>
          <w:tcPr>
            <w:tcW w:type="dxa" w:w="1502"/>
            <w:vAlign w:val="center"/>
          </w:tcPr>
          <w:p>
            <w:r/>
            <w:r>
              <w:rPr>
                <w:b w:val="0"/>
                <w:sz w:val="16"/>
              </w:rPr>
              <w:t>2026-07-17</w:t>
            </w:r>
          </w:p>
        </w:tc>
        <w:tc>
          <w:tcPr>
            <w:tcW w:type="dxa" w:w="1502"/>
            <w:vAlign w:val="center"/>
          </w:tcPr>
          <w:p>
            <w:r/>
            <w:r>
              <w:rPr>
                <w:b w:val="0"/>
                <w:sz w:val="16"/>
              </w:rPr>
              <w:t>Complete supervisor recommendation panel</w:t>
            </w:r>
          </w:p>
        </w:tc>
      </w:tr>
    </w:tbl>
    <w:p>
      <w:r>
        <w:t>Capacity conflict: Noah Kim's compliance coaching fits the published TRN-504 window on 2026-07-17, but the required 120-minute M401-to-A-C04 buffer leaves no compliant retest time before that window closes. The retest remains explicitly unscheduled and blocked pending a new trainer window.</w:t>
      </w:r>
    </w:p>
    <w:p>
      <w:pPr>
        <w:pStyle w:val="Heading1"/>
      </w:pPr>
      <w:r>
        <w:t>5. Training, observation, and coverage controls</w:t>
      </w:r>
    </w:p>
    <w:p>
      <w:r>
        <w:t>The companion schedule uses only published trainer windows, respects blackouts, and exposes unschedulable dependencies. The companion coverage model retains all 16 accounts with their source temporary owners, deadlines, customer actions, values, margins, and proposed representatives.</w:t>
      </w:r>
    </w:p>
    <w:p>
      <w:r>
        <w:t>Coverage capacity review: the supplied records assign four accounts each to SUP-410 and SUP-412 while each has a source capacity limit of three. The accounts remain with those source owners in this staged package; the manager must resolve or explicitly accept both one-account variances before execution.</w:t>
      </w:r>
    </w:p>
    <w:p>
      <w:pPr>
        <w:pStyle w:val="ListBullet"/>
      </w:pPr>
      <w:r>
        <w:t>Do not communicate staged handoffs as customer commitments.</w:t>
      </w:r>
    </w:p>
    <w:p>
      <w:pPr>
        <w:pStyle w:val="ListBullet"/>
      </w:pPr>
      <w:r>
        <w:t>Do not replace a temporary owner with a proposed representative before signed desk manager approval.</w:t>
      </w:r>
    </w:p>
    <w:p>
      <w:pPr>
        <w:pStyle w:val="ListBullet"/>
      </w:pPr>
      <w:r>
        <w:t>For remediation or pending evidence, close the named action and refresh the evidence register from source exports.</w:t>
      </w:r>
    </w:p>
    <w:p>
      <w:pPr>
        <w:pStyle w:val="ListBullet"/>
      </w:pPr>
      <w:r>
        <w:t>For blocked representatives, clear compliance or licensing first; downstream observations remain blocked.</w:t>
      </w:r>
    </w:p>
    <w:p>
      <w:pPr>
        <w:pStyle w:val="ListBullet"/>
      </w:pPr>
      <w:r>
        <w:t>Rebuild all four deliverables together after any source-record change.</w:t>
      </w:r>
    </w:p>
    <w:p>
      <w:pPr>
        <w:pStyle w:val="Heading1"/>
      </w:pPr>
      <w:r>
        <w:t>6. Manager review checklist</w:t>
      </w:r>
    </w:p>
    <w:tbl>
      <w:tblPr>
        <w:tblStyle w:val="TableGrid"/>
        <w:tblW w:type="auto" w:w="0"/>
        <w:jc w:val="center"/>
        <w:tblLayout w:type="autofit"/>
        <w:tblLook w:firstColumn="1" w:firstRow="1" w:lastColumn="0" w:lastRow="0" w:noHBand="0" w:noVBand="1" w:val="04A0"/>
      </w:tblPr>
      <w:tblGrid>
        <w:gridCol w:w="3504"/>
        <w:gridCol w:w="3504"/>
        <w:gridCol w:w="3504"/>
      </w:tblGrid>
      <w:tr>
        <w:tc>
          <w:tcPr>
            <w:tcW w:type="dxa" w:w="3504"/>
            <w:vAlign w:val="center"/>
            <w:shd w:fill="2F75B5"/>
          </w:tcPr>
          <w:p>
            <w:r/>
            <w:r>
              <w:rPr>
                <w:b/>
                <w:color w:val="FFFFFF"/>
                <w:sz w:val="16"/>
              </w:rPr>
              <w:t>Check</w:t>
            </w:r>
          </w:p>
        </w:tc>
        <w:tc>
          <w:tcPr>
            <w:tcW w:type="dxa" w:w="3504"/>
            <w:vAlign w:val="center"/>
            <w:shd w:fill="2F75B5"/>
          </w:tcPr>
          <w:p>
            <w:r/>
            <w:r>
              <w:rPr>
                <w:b/>
                <w:color w:val="FFFFFF"/>
                <w:sz w:val="16"/>
              </w:rPr>
              <w:t>Review item</w:t>
            </w:r>
          </w:p>
        </w:tc>
        <w:tc>
          <w:tcPr>
            <w:tcW w:type="dxa" w:w="3504"/>
            <w:vAlign w:val="center"/>
            <w:shd w:fill="2F75B5"/>
          </w:tcPr>
          <w:p>
            <w:r/>
            <w:r>
              <w:rPr>
                <w:b/>
                <w:color w:val="FFFFFF"/>
                <w:sz w:val="16"/>
              </w:rPr>
              <w:t>State</w:t>
            </w:r>
          </w:p>
        </w:tc>
      </w:tr>
      <w:tr>
        <w:tc>
          <w:tcPr>
            <w:tcW w:type="dxa" w:w="3504"/>
            <w:vAlign w:val="center"/>
          </w:tcPr>
          <w:p>
            <w:r/>
            <w:r>
              <w:rPr>
                <w:b w:val="0"/>
                <w:sz w:val="16"/>
              </w:rPr>
              <w:t>☐</w:t>
            </w:r>
          </w:p>
        </w:tc>
        <w:tc>
          <w:tcPr>
            <w:tcW w:type="dxa" w:w="3504"/>
            <w:vAlign w:val="center"/>
          </w:tcPr>
          <w:p>
            <w:r/>
            <w:r>
              <w:rPr>
                <w:b w:val="0"/>
                <w:sz w:val="16"/>
              </w:rPr>
              <w:t>All ten Rep_IDs reconciled</w:t>
            </w:r>
          </w:p>
        </w:tc>
        <w:tc>
          <w:tcPr>
            <w:tcW w:type="dxa" w:w="3504"/>
            <w:vAlign w:val="center"/>
          </w:tcPr>
          <w:p>
            <w:r/>
            <w:r>
              <w:rPr>
                <w:b w:val="0"/>
                <w:sz w:val="16"/>
              </w:rPr>
              <w:t>Required</w:t>
            </w:r>
          </w:p>
        </w:tc>
      </w:tr>
      <w:tr>
        <w:tc>
          <w:tcPr>
            <w:tcW w:type="dxa" w:w="3504"/>
            <w:vAlign w:val="center"/>
          </w:tcPr>
          <w:p>
            <w:r/>
            <w:r>
              <w:rPr>
                <w:b w:val="0"/>
                <w:sz w:val="16"/>
              </w:rPr>
              <w:t>☐</w:t>
            </w:r>
          </w:p>
        </w:tc>
        <w:tc>
          <w:tcPr>
            <w:tcW w:type="dxa" w:w="3504"/>
            <w:vAlign w:val="center"/>
          </w:tcPr>
          <w:p>
            <w:r/>
            <w:r>
              <w:rPr>
                <w:b w:val="0"/>
                <w:sz w:val="16"/>
              </w:rPr>
              <w:t>All 70 competency rows reconciled</w:t>
            </w:r>
          </w:p>
        </w:tc>
        <w:tc>
          <w:tcPr>
            <w:tcW w:type="dxa" w:w="3504"/>
            <w:vAlign w:val="center"/>
          </w:tcPr>
          <w:p>
            <w:r/>
            <w:r>
              <w:rPr>
                <w:b w:val="0"/>
                <w:sz w:val="16"/>
              </w:rPr>
              <w:t>Required</w:t>
            </w:r>
          </w:p>
        </w:tc>
      </w:tr>
      <w:tr>
        <w:tc>
          <w:tcPr>
            <w:tcW w:type="dxa" w:w="3504"/>
            <w:vAlign w:val="center"/>
          </w:tcPr>
          <w:p>
            <w:r/>
            <w:r>
              <w:rPr>
                <w:b w:val="0"/>
                <w:sz w:val="16"/>
              </w:rPr>
              <w:t>☐</w:t>
            </w:r>
          </w:p>
        </w:tc>
        <w:tc>
          <w:tcPr>
            <w:tcW w:type="dxa" w:w="3504"/>
            <w:vAlign w:val="center"/>
          </w:tcPr>
          <w:p>
            <w:r/>
            <w:r>
              <w:rPr>
                <w:b w:val="0"/>
                <w:sz w:val="16"/>
              </w:rPr>
              <w:t>Seven exceptions have owner, reason, next action, and due date</w:t>
            </w:r>
          </w:p>
        </w:tc>
        <w:tc>
          <w:tcPr>
            <w:tcW w:type="dxa" w:w="3504"/>
            <w:vAlign w:val="center"/>
          </w:tcPr>
          <w:p>
            <w:r/>
            <w:r>
              <w:rPr>
                <w:b w:val="0"/>
                <w:sz w:val="16"/>
              </w:rPr>
              <w:t>Required</w:t>
            </w:r>
          </w:p>
        </w:tc>
      </w:tr>
      <w:tr>
        <w:tc>
          <w:tcPr>
            <w:tcW w:type="dxa" w:w="3504"/>
            <w:vAlign w:val="center"/>
          </w:tcPr>
          <w:p>
            <w:r/>
            <w:r>
              <w:rPr>
                <w:b w:val="0"/>
                <w:sz w:val="16"/>
              </w:rPr>
              <w:t>☐</w:t>
            </w:r>
          </w:p>
        </w:tc>
        <w:tc>
          <w:tcPr>
            <w:tcW w:type="dxa" w:w="3504"/>
            <w:vAlign w:val="center"/>
          </w:tcPr>
          <w:p>
            <w:r/>
            <w:r>
              <w:rPr>
                <w:b w:val="0"/>
                <w:sz w:val="16"/>
              </w:rPr>
              <w:t>Sixteen account records retain temporary owners</w:t>
            </w:r>
          </w:p>
        </w:tc>
        <w:tc>
          <w:tcPr>
            <w:tcW w:type="dxa" w:w="3504"/>
            <w:vAlign w:val="center"/>
          </w:tcPr>
          <w:p>
            <w:r/>
            <w:r>
              <w:rPr>
                <w:b w:val="0"/>
                <w:sz w:val="16"/>
              </w:rPr>
              <w:t>Required</w:t>
            </w:r>
          </w:p>
        </w:tc>
      </w:tr>
      <w:tr>
        <w:tc>
          <w:tcPr>
            <w:tcW w:type="dxa" w:w="3504"/>
            <w:vAlign w:val="center"/>
          </w:tcPr>
          <w:p>
            <w:r/>
            <w:r>
              <w:rPr>
                <w:b w:val="0"/>
                <w:sz w:val="16"/>
              </w:rPr>
              <w:t>☐</w:t>
            </w:r>
          </w:p>
        </w:tc>
        <w:tc>
          <w:tcPr>
            <w:tcW w:type="dxa" w:w="3504"/>
            <w:vAlign w:val="center"/>
          </w:tcPr>
          <w:p>
            <w:r/>
            <w:r>
              <w:rPr>
                <w:b w:val="0"/>
                <w:sz w:val="16"/>
              </w:rPr>
              <w:t>No output authorizes independent coverage</w:t>
            </w:r>
          </w:p>
        </w:tc>
        <w:tc>
          <w:tcPr>
            <w:tcW w:type="dxa" w:w="3504"/>
            <w:vAlign w:val="center"/>
          </w:tcPr>
          <w:p>
            <w:r/>
            <w:r>
              <w:rPr>
                <w:b w:val="0"/>
                <w:sz w:val="16"/>
              </w:rPr>
              <w:t>Required</w:t>
            </w:r>
          </w:p>
        </w:tc>
      </w:tr>
      <w:tr>
        <w:tc>
          <w:tcPr>
            <w:tcW w:type="dxa" w:w="3504"/>
            <w:vAlign w:val="center"/>
          </w:tcPr>
          <w:p>
            <w:r/>
            <w:r>
              <w:rPr>
                <w:b w:val="0"/>
                <w:sz w:val="16"/>
              </w:rPr>
              <w:t>☐</w:t>
            </w:r>
          </w:p>
        </w:tc>
        <w:tc>
          <w:tcPr>
            <w:tcW w:type="dxa" w:w="3504"/>
            <w:vAlign w:val="center"/>
          </w:tcPr>
          <w:p>
            <w:r/>
            <w:r>
              <w:rPr>
                <w:b w:val="0"/>
                <w:sz w:val="16"/>
              </w:rPr>
              <w:t>Open trainer-capacity conflict reviewed</w:t>
            </w:r>
          </w:p>
        </w:tc>
        <w:tc>
          <w:tcPr>
            <w:tcW w:type="dxa" w:w="3504"/>
            <w:vAlign w:val="center"/>
          </w:tcPr>
          <w:p>
            <w:r/>
            <w:r>
              <w:rPr>
                <w:b w:val="0"/>
                <w:sz w:val="16"/>
              </w:rPr>
              <w:t>Required</w:t>
            </w:r>
          </w:p>
        </w:tc>
      </w:tr>
      <w:tr>
        <w:tc>
          <w:tcPr>
            <w:tcW w:type="dxa" w:w="3504"/>
            <w:vAlign w:val="center"/>
          </w:tcPr>
          <w:p>
            <w:r/>
            <w:r>
              <w:rPr>
                <w:b w:val="0"/>
                <w:sz w:val="16"/>
              </w:rPr>
              <w:t>☐</w:t>
            </w:r>
          </w:p>
        </w:tc>
        <w:tc>
          <w:tcPr>
            <w:tcW w:type="dxa" w:w="3504"/>
            <w:vAlign w:val="center"/>
          </w:tcPr>
          <w:p>
            <w:r/>
            <w:r>
              <w:rPr>
                <w:b w:val="0"/>
                <w:sz w:val="16"/>
              </w:rPr>
              <w:t>SUP-410 and SUP-412 source capacity variances reviewed</w:t>
            </w:r>
          </w:p>
        </w:tc>
        <w:tc>
          <w:tcPr>
            <w:tcW w:type="dxa" w:w="3504"/>
            <w:vAlign w:val="center"/>
          </w:tcPr>
          <w:p>
            <w:r/>
            <w:r>
              <w:rPr>
                <w:b w:val="0"/>
                <w:sz w:val="16"/>
              </w:rPr>
              <w:t>Required</w:t>
            </w:r>
          </w:p>
        </w:tc>
      </w:tr>
    </w:tbl>
    <w:p>
      <w:r>
        <w:t>Decision:  ☐ Approve independent coverage as specified   ☐ Return for remediation   ☐ Continue pending</w:t>
      </w:r>
    </w:p>
    <w:p>
      <w:r>
        <w:t>Desk Manager: ____________________   Signature: ____________________   Date/Time (UTC): ____________________</w:t>
      </w:r>
    </w:p>
    <w:p>
      <w:pPr>
        <w:pStyle w:val="Heading1"/>
      </w:pPr>
      <w:r>
        <w:t>7. Revision history and source lineage</w:t>
      </w:r>
    </w:p>
    <w:tbl>
      <w:tblPr>
        <w:tblStyle w:val="TableGrid"/>
        <w:tblW w:type="auto" w:w="0"/>
        <w:jc w:val="center"/>
        <w:tblLayout w:type="autofit"/>
        <w:tblLook w:firstColumn="1" w:firstRow="1" w:lastColumn="0" w:lastRow="0" w:noHBand="0" w:noVBand="1" w:val="04A0"/>
      </w:tblPr>
      <w:tblGrid>
        <w:gridCol w:w="5256"/>
        <w:gridCol w:w="5256"/>
      </w:tblGrid>
      <w:tr>
        <w:tc>
          <w:tcPr>
            <w:tcW w:type="dxa" w:w="5256"/>
            <w:vAlign w:val="center"/>
            <w:shd w:fill="2F75B5"/>
          </w:tcPr>
          <w:p>
            <w:r/>
            <w:r>
              <w:rPr>
                <w:b/>
                <w:color w:val="FFFFFF"/>
                <w:sz w:val="16"/>
              </w:rPr>
              <w:t>Date</w:t>
            </w:r>
          </w:p>
        </w:tc>
        <w:tc>
          <w:tcPr>
            <w:tcW w:type="dxa" w:w="5256"/>
            <w:vAlign w:val="center"/>
            <w:shd w:fill="2F75B5"/>
          </w:tcPr>
          <w:p>
            <w:r/>
            <w:r>
              <w:rPr>
                <w:b/>
                <w:color w:val="FFFFFF"/>
                <w:sz w:val="16"/>
              </w:rPr>
              <w:t>Revision</w:t>
            </w:r>
          </w:p>
        </w:tc>
      </w:tr>
      <w:tr>
        <w:tc>
          <w:tcPr>
            <w:tcW w:type="dxa" w:w="5256"/>
            <w:vAlign w:val="center"/>
          </w:tcPr>
          <w:p>
            <w:r/>
            <w:r>
              <w:rPr>
                <w:b w:val="0"/>
                <w:sz w:val="16"/>
              </w:rPr>
              <w:t>2026-07-10</w:t>
            </w:r>
          </w:p>
        </w:tc>
        <w:tc>
          <w:tcPr>
            <w:tcW w:type="dxa" w:w="5256"/>
            <w:vAlign w:val="center"/>
          </w:tcPr>
          <w:p>
            <w:r/>
            <w:r>
              <w:rPr>
                <w:b w:val="0"/>
                <w:sz w:val="16"/>
              </w:rPr>
              <w:t>Initial request: full July cohort and all four segments.</w:t>
            </w:r>
          </w:p>
        </w:tc>
      </w:tr>
      <w:tr>
        <w:tc>
          <w:tcPr>
            <w:tcW w:type="dxa" w:w="5256"/>
            <w:vAlign w:val="center"/>
          </w:tcPr>
          <w:p>
            <w:r/>
            <w:r>
              <w:rPr>
                <w:b w:val="0"/>
                <w:sz w:val="16"/>
              </w:rPr>
              <w:t>2026-07-13</w:t>
            </w:r>
          </w:p>
        </w:tc>
        <w:tc>
          <w:tcPr>
            <w:tcW w:type="dxa" w:w="5256"/>
            <w:vAlign w:val="center"/>
          </w:tcPr>
          <w:p>
            <w:r/>
            <w:r>
              <w:rPr>
                <w:b w:val="0"/>
                <w:sz w:val="16"/>
              </w:rPr>
              <w:t>Temporary account coverage obligations and customer-response deadlines added.</w:t>
            </w:r>
          </w:p>
        </w:tc>
      </w:tr>
      <w:tr>
        <w:tc>
          <w:tcPr>
            <w:tcW w:type="dxa" w:w="5256"/>
            <w:vAlign w:val="center"/>
          </w:tcPr>
          <w:p>
            <w:r/>
            <w:r>
              <w:rPr>
                <w:b w:val="0"/>
                <w:sz w:val="16"/>
              </w:rPr>
              <w:t>2026-07-14</w:t>
            </w:r>
          </w:p>
        </w:tc>
        <w:tc>
          <w:tcPr>
            <w:tcW w:type="dxa" w:w="5256"/>
            <w:vAlign w:val="center"/>
          </w:tcPr>
          <w:p>
            <w:r/>
            <w:r>
              <w:rPr>
                <w:b w:val="0"/>
                <w:sz w:val="16"/>
              </w:rPr>
              <w:t>Jordan Patel limited supervised low-risk affinity renewal exception added; no independent coverage.</w:t>
            </w:r>
          </w:p>
        </w:tc>
      </w:tr>
      <w:tr>
        <w:tc>
          <w:tcPr>
            <w:tcW w:type="dxa" w:w="5256"/>
            <w:vAlign w:val="center"/>
          </w:tcPr>
          <w:p>
            <w:r/>
            <w:r>
              <w:rPr>
                <w:b w:val="0"/>
                <w:sz w:val="16"/>
              </w:rPr>
              <w:t>2026-07-15</w:t>
            </w:r>
          </w:p>
        </w:tc>
        <w:tc>
          <w:tcPr>
            <w:tcW w:type="dxa" w:w="5256"/>
            <w:vAlign w:val="center"/>
          </w:tcPr>
          <w:p>
            <w:r/>
            <w:r>
              <w:rPr>
                <w:b w:val="0"/>
                <w:sz w:val="16"/>
              </w:rPr>
              <w:t>Noah Kim compliance miss, Ethan Brooks licensing hold, and Priya Nair CRM remediation retained as explicit controls.</w:t>
            </w:r>
          </w:p>
        </w:tc>
      </w:tr>
    </w:tbl>
    <w:tbl>
      <w:tblPr>
        <w:tblStyle w:val="TableGrid"/>
        <w:tblW w:type="auto" w:w="0"/>
        <w:jc w:val="center"/>
        <w:tblLayout w:type="autofit"/>
        <w:tblLook w:firstColumn="1" w:firstRow="1" w:lastColumn="0" w:lastRow="0" w:noHBand="0" w:noVBand="1" w:val="04A0"/>
      </w:tblPr>
      <w:tblGrid>
        <w:gridCol w:w="3504"/>
        <w:gridCol w:w="3504"/>
        <w:gridCol w:w="3504"/>
      </w:tblGrid>
      <w:tr>
        <w:tc>
          <w:tcPr>
            <w:tcW w:type="dxa" w:w="3504"/>
            <w:vAlign w:val="center"/>
            <w:shd w:fill="2F75B5"/>
          </w:tcPr>
          <w:p>
            <w:r/>
            <w:r>
              <w:rPr>
                <w:b/>
                <w:color w:val="FFFFFF"/>
                <w:sz w:val="16"/>
              </w:rPr>
              <w:t>Source file</w:t>
            </w:r>
          </w:p>
        </w:tc>
        <w:tc>
          <w:tcPr>
            <w:tcW w:type="dxa" w:w="3504"/>
            <w:vAlign w:val="center"/>
            <w:shd w:fill="2F75B5"/>
          </w:tcPr>
          <w:p>
            <w:r/>
            <w:r>
              <w:rPr>
                <w:b/>
                <w:color w:val="FFFFFF"/>
                <w:sz w:val="16"/>
              </w:rPr>
              <w:t>Bytes</w:t>
            </w:r>
          </w:p>
        </w:tc>
        <w:tc>
          <w:tcPr>
            <w:tcW w:type="dxa" w:w="3504"/>
            <w:vAlign w:val="center"/>
            <w:shd w:fill="2F75B5"/>
          </w:tcPr>
          <w:p>
            <w:r/>
            <w:r>
              <w:rPr>
                <w:b/>
                <w:color w:val="FFFFFF"/>
                <w:sz w:val="16"/>
              </w:rPr>
              <w:t>SHA-256</w:t>
            </w:r>
          </w:p>
        </w:tc>
      </w:tr>
      <w:tr>
        <w:tc>
          <w:tcPr>
            <w:tcW w:type="dxa" w:w="3504"/>
            <w:vAlign w:val="center"/>
          </w:tcPr>
          <w:p>
            <w:r/>
            <w:r>
              <w:rPr>
                <w:b w:val="0"/>
                <w:sz w:val="16"/>
              </w:rPr>
              <w:t>data/cohort_setup/july_new_rep_intake_targets.xlsx</w:t>
            </w:r>
          </w:p>
        </w:tc>
        <w:tc>
          <w:tcPr>
            <w:tcW w:type="dxa" w:w="3504"/>
            <w:vAlign w:val="center"/>
          </w:tcPr>
          <w:p>
            <w:r/>
            <w:r>
              <w:rPr>
                <w:b w:val="0"/>
                <w:sz w:val="16"/>
              </w:rPr>
              <w:t>9915</w:t>
            </w:r>
          </w:p>
        </w:tc>
        <w:tc>
          <w:tcPr>
            <w:tcW w:type="dxa" w:w="3504"/>
            <w:vAlign w:val="center"/>
          </w:tcPr>
          <w:p>
            <w:r/>
            <w:r>
              <w:rPr>
                <w:b w:val="0"/>
                <w:sz w:val="16"/>
              </w:rPr>
              <w:t>01ace805f9015ae4fb04a6e92d1f034fdd3e5be1191c1a2b0fd4f83376d9de0f</w:t>
            </w:r>
          </w:p>
        </w:tc>
      </w:tr>
      <w:tr>
        <w:tc>
          <w:tcPr>
            <w:tcW w:type="dxa" w:w="3504"/>
            <w:vAlign w:val="center"/>
          </w:tcPr>
          <w:p>
            <w:r/>
            <w:r>
              <w:rPr>
                <w:b w:val="0"/>
                <w:sz w:val="16"/>
              </w:rPr>
              <w:t>data/cohort_setup/product_curriculum_and_competency_map.xlsx</w:t>
            </w:r>
          </w:p>
        </w:tc>
        <w:tc>
          <w:tcPr>
            <w:tcW w:type="dxa" w:w="3504"/>
            <w:vAlign w:val="center"/>
          </w:tcPr>
          <w:p>
            <w:r/>
            <w:r>
              <w:rPr>
                <w:b w:val="0"/>
                <w:sz w:val="16"/>
              </w:rPr>
              <w:t>16436</w:t>
            </w:r>
          </w:p>
        </w:tc>
        <w:tc>
          <w:tcPr>
            <w:tcW w:type="dxa" w:w="3504"/>
            <w:vAlign w:val="center"/>
          </w:tcPr>
          <w:p>
            <w:r/>
            <w:r>
              <w:rPr>
                <w:b w:val="0"/>
                <w:sz w:val="16"/>
              </w:rPr>
              <w:t>7bfc8f3ad9235f24e996370f9a7c6b6c448a71de79e7028351c67d1dda8c327f</w:t>
            </w:r>
          </w:p>
        </w:tc>
      </w:tr>
      <w:tr>
        <w:tc>
          <w:tcPr>
            <w:tcW w:type="dxa" w:w="3504"/>
            <w:vAlign w:val="center"/>
          </w:tcPr>
          <w:p>
            <w:r/>
            <w:r>
              <w:rPr>
                <w:b w:val="0"/>
                <w:sz w:val="16"/>
              </w:rPr>
              <w:t>data/evidence_exports/certification_assessment_observation_export.xlsx</w:t>
            </w:r>
          </w:p>
        </w:tc>
        <w:tc>
          <w:tcPr>
            <w:tcW w:type="dxa" w:w="3504"/>
            <w:vAlign w:val="center"/>
          </w:tcPr>
          <w:p>
            <w:r/>
            <w:r>
              <w:rPr>
                <w:b w:val="0"/>
                <w:sz w:val="16"/>
              </w:rPr>
              <w:t>28601</w:t>
            </w:r>
          </w:p>
        </w:tc>
        <w:tc>
          <w:tcPr>
            <w:tcW w:type="dxa" w:w="3504"/>
            <w:vAlign w:val="center"/>
          </w:tcPr>
          <w:p>
            <w:r/>
            <w:r>
              <w:rPr>
                <w:b w:val="0"/>
                <w:sz w:val="16"/>
              </w:rPr>
              <w:t>b495110353576f72968e3503ea205c4a765d270189b77a2857595e89defd1542</w:t>
            </w:r>
          </w:p>
        </w:tc>
      </w:tr>
      <w:tr>
        <w:tc>
          <w:tcPr>
            <w:tcW w:type="dxa" w:w="3504"/>
            <w:vAlign w:val="center"/>
          </w:tcPr>
          <w:p>
            <w:r/>
            <w:r>
              <w:rPr>
                <w:b w:val="0"/>
                <w:sz w:val="16"/>
              </w:rPr>
              <w:t>data/availability/trainer_observation_availability.xlsx</w:t>
            </w:r>
          </w:p>
        </w:tc>
        <w:tc>
          <w:tcPr>
            <w:tcW w:type="dxa" w:w="3504"/>
            <w:vAlign w:val="center"/>
          </w:tcPr>
          <w:p>
            <w:r/>
            <w:r>
              <w:rPr>
                <w:b w:val="0"/>
                <w:sz w:val="16"/>
              </w:rPr>
              <w:t>13287</w:t>
            </w:r>
          </w:p>
        </w:tc>
        <w:tc>
          <w:tcPr>
            <w:tcW w:type="dxa" w:w="3504"/>
            <w:vAlign w:val="center"/>
          </w:tcPr>
          <w:p>
            <w:r/>
            <w:r>
              <w:rPr>
                <w:b w:val="0"/>
                <w:sz w:val="16"/>
              </w:rPr>
              <w:t>a26bb2adbc6a9c99dadc562261cd596492683f971080241f0bb0ff8850fbe1bd</w:t>
            </w:r>
          </w:p>
        </w:tc>
      </w:tr>
      <w:tr>
        <w:tc>
          <w:tcPr>
            <w:tcW w:type="dxa" w:w="3504"/>
            <w:vAlign w:val="center"/>
          </w:tcPr>
          <w:p>
            <w:r/>
            <w:r>
              <w:rPr>
                <w:b w:val="0"/>
                <w:sz w:val="16"/>
              </w:rPr>
              <w:t>data/account_coverage/temporary_group_account_coverage_export.xlsx</w:t>
            </w:r>
          </w:p>
        </w:tc>
        <w:tc>
          <w:tcPr>
            <w:tcW w:type="dxa" w:w="3504"/>
            <w:vAlign w:val="center"/>
          </w:tcPr>
          <w:p>
            <w:r/>
            <w:r>
              <w:rPr>
                <w:b w:val="0"/>
                <w:sz w:val="16"/>
              </w:rPr>
              <w:t>20231</w:t>
            </w:r>
          </w:p>
        </w:tc>
        <w:tc>
          <w:tcPr>
            <w:tcW w:type="dxa" w:w="3504"/>
            <w:vAlign w:val="center"/>
          </w:tcPr>
          <w:p>
            <w:r/>
            <w:r>
              <w:rPr>
                <w:b w:val="0"/>
                <w:sz w:val="16"/>
              </w:rPr>
              <w:t>e11e25ed4d864892b8f9584823fde8d9f9de3bbbcffc6696429078cbb3b641ed</w:t>
            </w:r>
          </w:p>
        </w:tc>
      </w:tr>
      <w:tr>
        <w:tc>
          <w:tcPr>
            <w:tcW w:type="dxa" w:w="3504"/>
            <w:vAlign w:val="center"/>
          </w:tcPr>
          <w:p>
            <w:r/>
            <w:r>
              <w:rPr>
                <w:b w:val="0"/>
                <w:sz w:val="16"/>
              </w:rPr>
              <w:t>data/governance/group_sales_ramp_certification_standard.docx</w:t>
            </w:r>
          </w:p>
        </w:tc>
        <w:tc>
          <w:tcPr>
            <w:tcW w:type="dxa" w:w="3504"/>
            <w:vAlign w:val="center"/>
          </w:tcPr>
          <w:p>
            <w:r/>
            <w:r>
              <w:rPr>
                <w:b w:val="0"/>
                <w:sz w:val="16"/>
              </w:rPr>
              <w:t>325967</w:t>
            </w:r>
          </w:p>
        </w:tc>
        <w:tc>
          <w:tcPr>
            <w:tcW w:type="dxa" w:w="3504"/>
            <w:vAlign w:val="center"/>
          </w:tcPr>
          <w:p>
            <w:r/>
            <w:r>
              <w:rPr>
                <w:b w:val="0"/>
                <w:sz w:val="16"/>
              </w:rPr>
              <w:t>cd2aaf69697175eb9e48dbb25a961b27d934a4a3ad37a74be9c90a83b18cfc7f</w:t>
            </w:r>
          </w:p>
        </w:tc>
      </w:tr>
      <w:tr>
        <w:tc>
          <w:tcPr>
            <w:tcW w:type="dxa" w:w="3504"/>
            <w:vAlign w:val="center"/>
          </w:tcPr>
          <w:p>
            <w:r/>
            <w:r>
              <w:rPr>
                <w:b w:val="0"/>
                <w:sz w:val="16"/>
              </w:rPr>
              <w:t>data/approvals/ramp_readiness_approval_request_thread.eml</w:t>
            </w:r>
          </w:p>
        </w:tc>
        <w:tc>
          <w:tcPr>
            <w:tcW w:type="dxa" w:w="3504"/>
            <w:vAlign w:val="center"/>
          </w:tcPr>
          <w:p>
            <w:r/>
            <w:r>
              <w:rPr>
                <w:b w:val="0"/>
                <w:sz w:val="16"/>
              </w:rPr>
              <w:t>2363</w:t>
            </w:r>
          </w:p>
        </w:tc>
        <w:tc>
          <w:tcPr>
            <w:tcW w:type="dxa" w:w="3504"/>
            <w:vAlign w:val="center"/>
          </w:tcPr>
          <w:p>
            <w:r/>
            <w:r>
              <w:rPr>
                <w:b w:val="0"/>
                <w:sz w:val="16"/>
              </w:rPr>
              <w:t>da88ab6219e96760410585350d3b69372384f7cf4673fe373cae9c831bd89f6f</w:t>
            </w:r>
          </w:p>
        </w:tc>
      </w:tr>
    </w:tbl>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HB-RAMP-2026-07 | Controlled package | Pending desk manager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