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HARBORBRIDGE GROUP SALES</w:t>
      </w:r>
    </w:p>
    <w:p>
      <w:pPr>
        <w:pStyle w:val="Title"/>
      </w:pPr>
      <w:r>
        <w:t xml:space="preserve">Group Sales Ramp Certification Standard</w:t>
      </w:r>
    </w:p>
    <w:p>
      <w:pPr>
        <w:pStyle w:val="Subtitle"/>
      </w:pPr>
      <w:r>
        <w:t xml:space="preserve">Controlled operating standard | July 2026 cohort | Revision 2026-07-10</w:t>
      </w:r>
    </w:p>
    <w:p>
      <w:pPr>
        <w:pBdr>
          <w:bottom w:val="single" w:color="0B5C4A" w:sz="18" w:space="1"/>
        </w:pBdr>
        <w:spacing w:after="260"/>
      </w:pPr>
    </w:p>
    <w:tbl>
      <w:tblPr>
        <w:tblW w:type="dxa" w:w="10080"/>
        <w:tblBorders>
          <w:top w:val="single" w:color="C2A052" w:sz="4"/>
          <w:left w:val="single" w:color="C2A052" w:sz="4"/>
          <w:bottom w:val="single" w:color="C2A052" w:sz="4"/>
          <w:right w:val="single" w:color="C2A052" w:sz="4"/>
          <w:insideH w:val="single" w:color="C2A052" w:sz="4"/>
          <w:insideV w:val="single" w:color="C2A052" w:sz="4"/>
        </w:tblBorders>
        <w:tblLayout w:type="fixed"/>
        <w:tblCellMar>
          <w:top w:type="dxa" w:w="95"/>
          <w:left w:type="dxa" w:w="130"/>
          <w:bottom w:type="dxa" w:w="95"/>
          <w:right w:type="dxa" w:w="130"/>
        </w:tblCellMar>
      </w:tblPr>
      <w:tblGrid>
        <w:gridCol w:w="2520"/>
        <w:gridCol w:w="7560"/>
      </w:tblGrid>
      <w:tr>
        <w:trPr>
          <w:cantSplit/>
          <w:tblHeader/>
        </w:trPr>
        <w:tc>
          <w:tcPr>
            <w:tcW w:type="dxa" w:w="252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Field</w:t>
            </w:r>
          </w:p>
        </w:tc>
        <w:tc>
          <w:tcPr>
            <w:tcW w:type="dxa" w:w="756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Standard Detail</w:t>
            </w:r>
          </w:p>
        </w:tc>
      </w:tr>
      <w:tr>
        <w:trPr>
          <w:cantSplit/>
        </w:trPr>
        <w:tc>
          <w:tcPr>
            <w:tcW w:type="dxa" w:w="252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Document owner</w:t>
            </w:r>
          </w:p>
        </w:tc>
        <w:tc>
          <w:tcPr>
            <w:tcW w:type="dxa" w:w="756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Group Sales Enablement and Desk Operations</w:t>
            </w:r>
          </w:p>
        </w:tc>
      </w:tr>
      <w:tr>
        <w:trPr>
          <w:cantSplit/>
        </w:trPr>
        <w:tc>
          <w:tcPr>
            <w:tcW w:type="dxa" w:w="252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Applies to</w:t>
            </w:r>
          </w:p>
        </w:tc>
        <w:tc>
          <w:tcPr>
            <w:tcW w:type="dxa" w:w="756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New representatives before independent travel group-sales customer coverage</w:t>
            </w:r>
          </w:p>
        </w:tc>
      </w:tr>
      <w:tr>
        <w:trPr>
          <w:cantSplit/>
        </w:trPr>
        <w:tc>
          <w:tcPr>
            <w:tcW w:type="dxa" w:w="252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Approval request</w:t>
            </w:r>
          </w:p>
        </w:tc>
        <w:tc>
          <w:tcPr>
            <w:tcW w:type="dxa" w:w="756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HB-RAMP-2026-07 remains pending desk manager review</w:t>
            </w:r>
          </w:p>
        </w:tc>
      </w:tr>
      <w:tr>
        <w:trPr>
          <w:cantSplit/>
        </w:trPr>
        <w:tc>
          <w:tcPr>
            <w:tcW w:type="dxa" w:w="252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Revision history</w:t>
            </w:r>
          </w:p>
        </w:tc>
        <w:tc>
          <w:tcPr>
            <w:tcW w:type="dxa" w:w="756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2026-07-10 issued after account-coverage and compliance exception updates</w:t>
            </w:r>
          </w:p>
        </w:tc>
      </w:tr>
    </w:tbl>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Pr>
      <w:r>
        <w:t xml:space="preserve">Purpose and Entry Criteria</w:t>
      </w:r>
    </w:p>
    <w:p>
      <w:pPr>
        <w:pStyle w:val="Body"/>
      </w:pPr>
      <w:r>
        <w:t xml:space="preserve">This standard governs when a new HarborBridge group-sales representative may move from supervised ramp work toward independent customer coverage. The supervisor may recommend readiness, but the desk manager approves independent coverage only after the evidence package is complete.</w:t>
      </w:r>
    </w:p>
    <w:tbl>
      <w:tblPr>
        <w:tblW w:type="dxa" w:w="10080"/>
        <w:tblBorders>
          <w:top w:val="single" w:color="C2A052" w:sz="4"/>
          <w:left w:val="single" w:color="C2A052" w:sz="4"/>
          <w:bottom w:val="single" w:color="C2A052" w:sz="4"/>
          <w:right w:val="single" w:color="C2A052" w:sz="4"/>
          <w:insideH w:val="single" w:color="C2A052" w:sz="4"/>
          <w:insideV w:val="single" w:color="C2A052" w:sz="4"/>
        </w:tblBorders>
        <w:tblLayout w:type="fixed"/>
        <w:tblCellMar>
          <w:top w:type="dxa" w:w="95"/>
          <w:left w:type="dxa" w:w="130"/>
          <w:bottom w:type="dxa" w:w="95"/>
          <w:right w:type="dxa" w:w="130"/>
        </w:tblCellMar>
      </w:tblPr>
      <w:tblGrid>
        <w:gridCol w:w="3100"/>
        <w:gridCol w:w="4300"/>
        <w:gridCol w:w="2680"/>
      </w:tblGrid>
      <w:tr>
        <w:trPr>
          <w:cantSplit/>
          <w:tblHeader/>
        </w:trPr>
        <w:tc>
          <w:tcPr>
            <w:tcW w:type="dxa" w:w="310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Entry Criterion</w:t>
            </w:r>
          </w:p>
        </w:tc>
        <w:tc>
          <w:tcPr>
            <w:tcW w:type="dxa" w:w="430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Required Evidence</w:t>
            </w:r>
          </w:p>
        </w:tc>
        <w:tc>
          <w:tcPr>
            <w:tcW w:type="dxa" w:w="268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Owner</w:t>
            </w:r>
          </w:p>
        </w:tc>
      </w:tr>
      <w:tr>
        <w:trPr>
          <w:cantSplit/>
        </w:trPr>
        <w:tc>
          <w:tcPr>
            <w:tcW w:type="dxa" w:w="31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Cohort intake complete</w:t>
            </w:r>
          </w:p>
        </w:tc>
        <w:tc>
          <w:tcPr>
            <w:tcW w:type="dxa" w:w="43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Rep_ID, supervisor, segment, territory, and target dates in intake export</w:t>
            </w:r>
          </w:p>
        </w:tc>
        <w:tc>
          <w:tcPr>
            <w:tcW w:type="dxa" w:w="268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Supervisor</w:t>
            </w:r>
          </w:p>
        </w:tc>
      </w:tr>
      <w:tr>
        <w:trPr>
          <w:cantSplit/>
        </w:trPr>
        <w:tc>
          <w:tcPr>
            <w:tcW w:type="dxa" w:w="31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Curriculum assigned</w:t>
            </w:r>
          </w:p>
        </w:tc>
        <w:tc>
          <w:tcPr>
            <w:tcW w:type="dxa" w:w="43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Required module path mapped to GS-C01 through GS-C07</w:t>
            </w:r>
          </w:p>
        </w:tc>
        <w:tc>
          <w:tcPr>
            <w:tcW w:type="dxa" w:w="268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Enablement</w:t>
            </w:r>
          </w:p>
        </w:tc>
      </w:tr>
      <w:tr>
        <w:trPr>
          <w:cantSplit/>
        </w:trPr>
        <w:tc>
          <w:tcPr>
            <w:tcW w:type="dxa" w:w="31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Practice observed</w:t>
            </w:r>
          </w:p>
        </w:tc>
        <w:tc>
          <w:tcPr>
            <w:tcW w:type="dxa" w:w="43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Mock call, live observation, CRM audit, and coaching notes</w:t>
            </w:r>
          </w:p>
        </w:tc>
        <w:tc>
          <w:tcPr>
            <w:tcW w:type="dxa" w:w="268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Trainer or QA</w:t>
            </w:r>
          </w:p>
        </w:tc>
      </w:tr>
      <w:tr>
        <w:trPr>
          <w:cantSplit/>
        </w:trPr>
        <w:tc>
          <w:tcPr>
            <w:tcW w:type="dxa" w:w="31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Coverage protected</w:t>
            </w:r>
          </w:p>
        </w:tc>
        <w:tc>
          <w:tcPr>
            <w:tcW w:type="dxa" w:w="43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Temporary owner and customer action remain assigned until approval</w:t>
            </w:r>
          </w:p>
        </w:tc>
        <w:tc>
          <w:tcPr>
            <w:tcW w:type="dxa" w:w="268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Coverage owner</w:t>
            </w:r>
          </w:p>
        </w:tc>
      </w:tr>
    </w:tbl>
    <w:p>
      <w:pPr>
        <w:pStyle w:val="Heading1"/>
      </w:pPr>
      <w:r>
        <w:t xml:space="preserve">Competency and Compliance Gates</w:t>
      </w:r>
    </w:p>
    <w:tbl>
      <w:tblPr>
        <w:tblW w:type="dxa" w:w="10080"/>
        <w:tblBorders>
          <w:top w:val="single" w:color="C2A052" w:sz="4"/>
          <w:left w:val="single" w:color="C2A052" w:sz="4"/>
          <w:bottom w:val="single" w:color="C2A052" w:sz="4"/>
          <w:right w:val="single" w:color="C2A052" w:sz="4"/>
          <w:insideH w:val="single" w:color="C2A052" w:sz="4"/>
          <w:insideV w:val="single" w:color="C2A052" w:sz="4"/>
        </w:tblBorders>
        <w:tblLayout w:type="fixed"/>
        <w:tblCellMar>
          <w:top w:type="dxa" w:w="65"/>
          <w:left w:type="dxa" w:w="95"/>
          <w:bottom w:type="dxa" w:w="65"/>
          <w:right w:type="dxa" w:w="95"/>
        </w:tblCellMar>
      </w:tblPr>
      <w:tblGrid>
        <w:gridCol w:w="1050"/>
        <w:gridCol w:w="2500"/>
        <w:gridCol w:w="2700"/>
        <w:gridCol w:w="1950"/>
        <w:gridCol w:w="1880"/>
      </w:tblGrid>
      <w:tr>
        <w:trPr>
          <w:cantSplit/>
          <w:tblHeader/>
        </w:trPr>
        <w:tc>
          <w:tcPr>
            <w:tcW w:type="dxa" w:w="105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ID</w:t>
            </w:r>
          </w:p>
        </w:tc>
        <w:tc>
          <w:tcPr>
            <w:tcW w:type="dxa" w:w="25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Competency</w:t>
            </w:r>
          </w:p>
        </w:tc>
        <w:tc>
          <w:tcPr>
            <w:tcW w:type="dxa" w:w="27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Evidence</w:t>
            </w:r>
          </w:p>
        </w:tc>
        <w:tc>
          <w:tcPr>
            <w:tcW w:type="dxa" w:w="195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Minimum Rule</w:t>
            </w:r>
          </w:p>
        </w:tc>
        <w:tc>
          <w:tcPr>
            <w:tcW w:type="dxa" w:w="188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Signoff</w:t>
            </w:r>
          </w:p>
        </w:tc>
      </w:tr>
      <w:tr>
        <w:trPr>
          <w:cantSplit/>
        </w:trPr>
        <w:tc>
          <w:tcPr>
            <w:tcW w:type="dxa" w:w="10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center"/>
            </w:pPr>
            <w:r>
              <w:rPr>
                <w:b w:val="false"/>
                <w:bCs w:val="false"/>
                <w:color w:val="183047"/>
              </w:rPr>
              <w:t xml:space="preserve">GS-C01</w:t>
            </w:r>
          </w:p>
        </w:tc>
        <w:tc>
          <w:tcPr>
            <w:tcW w:type="dxa" w:w="25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Discovery and qualification</w:t>
            </w:r>
          </w:p>
        </w:tc>
        <w:tc>
          <w:tcPr>
            <w:tcW w:type="dxa" w:w="27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Discovery simulation pass</w:t>
            </w:r>
          </w:p>
        </w:tc>
        <w:tc>
          <w:tcPr>
            <w:tcW w:type="dxa" w:w="19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Score &gt;= 85</w:t>
            </w:r>
          </w:p>
        </w:tc>
        <w:tc>
          <w:tcPr>
            <w:tcW w:type="dxa" w:w="188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Trainer signoff</w:t>
            </w:r>
          </w:p>
        </w:tc>
      </w:tr>
      <w:tr>
        <w:trPr>
          <w:cantSplit/>
        </w:trPr>
        <w:tc>
          <w:tcPr>
            <w:tcW w:type="dxa" w:w="10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center"/>
            </w:pPr>
            <w:r>
              <w:rPr>
                <w:b w:val="false"/>
                <w:bCs w:val="false"/>
                <w:color w:val="183047"/>
              </w:rPr>
              <w:t xml:space="preserve">GS-C02</w:t>
            </w:r>
          </w:p>
        </w:tc>
        <w:tc>
          <w:tcPr>
            <w:tcW w:type="dxa" w:w="25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Group fare quote mechanics</w:t>
            </w:r>
          </w:p>
        </w:tc>
        <w:tc>
          <w:tcPr>
            <w:tcW w:type="dxa" w:w="27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Quote assessment pass</w:t>
            </w:r>
          </w:p>
        </w:tc>
        <w:tc>
          <w:tcPr>
            <w:tcW w:type="dxa" w:w="19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Score &gt;= 88</w:t>
            </w:r>
          </w:p>
        </w:tc>
        <w:tc>
          <w:tcPr>
            <w:tcW w:type="dxa" w:w="188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Product trainer signoff</w:t>
            </w:r>
          </w:p>
        </w:tc>
      </w:tr>
      <w:tr>
        <w:trPr>
          <w:cantSplit/>
        </w:trPr>
        <w:tc>
          <w:tcPr>
            <w:tcW w:type="dxa" w:w="10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center"/>
            </w:pPr>
            <w:r>
              <w:rPr>
                <w:b w:val="false"/>
                <w:bCs w:val="false"/>
                <w:color w:val="183047"/>
              </w:rPr>
              <w:t xml:space="preserve">GS-C03</w:t>
            </w:r>
          </w:p>
        </w:tc>
        <w:tc>
          <w:tcPr>
            <w:tcW w:type="dxa" w:w="25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Contract and deposit terms</w:t>
            </w:r>
          </w:p>
        </w:tc>
        <w:tc>
          <w:tcPr>
            <w:tcW w:type="dxa" w:w="27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Terms assessment pass</w:t>
            </w:r>
          </w:p>
        </w:tc>
        <w:tc>
          <w:tcPr>
            <w:tcW w:type="dxa" w:w="19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Score &gt;= 90</w:t>
            </w:r>
          </w:p>
        </w:tc>
        <w:tc>
          <w:tcPr>
            <w:tcW w:type="dxa" w:w="188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Contract trainer signoff</w:t>
            </w:r>
          </w:p>
        </w:tc>
      </w:tr>
      <w:tr>
        <w:trPr>
          <w:cantSplit/>
        </w:trPr>
        <w:tc>
          <w:tcPr>
            <w:tcW w:type="dxa" w:w="10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center"/>
            </w:pPr>
            <w:r>
              <w:rPr>
                <w:b w:val="false"/>
                <w:bCs w:val="false"/>
                <w:color w:val="183047"/>
              </w:rPr>
              <w:t xml:space="preserve">GS-C04</w:t>
            </w:r>
          </w:p>
        </w:tc>
        <w:tc>
          <w:tcPr>
            <w:tcW w:type="dxa" w:w="25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Compliance disclosures</w:t>
            </w:r>
          </w:p>
        </w:tc>
        <w:tc>
          <w:tcPr>
            <w:tcW w:type="dxa" w:w="27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Compliance checklist pass</w:t>
            </w:r>
          </w:p>
        </w:tc>
        <w:tc>
          <w:tcPr>
            <w:tcW w:type="dxa" w:w="19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Pass with no critical miss</w:t>
            </w:r>
          </w:p>
        </w:tc>
        <w:tc>
          <w:tcPr>
            <w:tcW w:type="dxa" w:w="188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Compliance signoff</w:t>
            </w:r>
          </w:p>
        </w:tc>
      </w:tr>
      <w:tr>
        <w:trPr>
          <w:cantSplit/>
        </w:trPr>
        <w:tc>
          <w:tcPr>
            <w:tcW w:type="dxa" w:w="10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center"/>
            </w:pPr>
            <w:r>
              <w:rPr>
                <w:b w:val="false"/>
                <w:bCs w:val="false"/>
                <w:color w:val="183047"/>
              </w:rPr>
              <w:t xml:space="preserve">GS-C05</w:t>
            </w:r>
          </w:p>
        </w:tc>
        <w:tc>
          <w:tcPr>
            <w:tcW w:type="dxa" w:w="25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CRM opportunity hygiene</w:t>
            </w:r>
          </w:p>
        </w:tc>
        <w:tc>
          <w:tcPr>
            <w:tcW w:type="dxa" w:w="27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CRM audit pass</w:t>
            </w:r>
          </w:p>
        </w:tc>
        <w:tc>
          <w:tcPr>
            <w:tcW w:type="dxa" w:w="19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Score &gt;= 95</w:t>
            </w:r>
          </w:p>
        </w:tc>
        <w:tc>
          <w:tcPr>
            <w:tcW w:type="dxa" w:w="188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QA signoff</w:t>
            </w:r>
          </w:p>
        </w:tc>
      </w:tr>
      <w:tr>
        <w:trPr>
          <w:cantSplit/>
        </w:trPr>
        <w:tc>
          <w:tcPr>
            <w:tcW w:type="dxa" w:w="10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center"/>
            </w:pPr>
            <w:r>
              <w:rPr>
                <w:b w:val="false"/>
                <w:bCs w:val="false"/>
                <w:color w:val="183047"/>
              </w:rPr>
              <w:t xml:space="preserve">GS-C06</w:t>
            </w:r>
          </w:p>
        </w:tc>
        <w:tc>
          <w:tcPr>
            <w:tcW w:type="dxa" w:w="25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Escalation judgment</w:t>
            </w:r>
          </w:p>
        </w:tc>
        <w:tc>
          <w:tcPr>
            <w:tcW w:type="dxa" w:w="27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Escalation scenario pass</w:t>
            </w:r>
          </w:p>
        </w:tc>
        <w:tc>
          <w:tcPr>
            <w:tcW w:type="dxa" w:w="19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Score &gt;= 85</w:t>
            </w:r>
          </w:p>
        </w:tc>
        <w:tc>
          <w:tcPr>
            <w:tcW w:type="dxa" w:w="188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Supervisor recommendation</w:t>
            </w:r>
          </w:p>
        </w:tc>
      </w:tr>
      <w:tr>
        <w:trPr>
          <w:cantSplit/>
        </w:trPr>
        <w:tc>
          <w:tcPr>
            <w:tcW w:type="dxa" w:w="10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val="false"/>
              <w:keepLines/>
              <w:jc w:val="center"/>
            </w:pPr>
            <w:r>
              <w:rPr>
                <w:b w:val="false"/>
                <w:bCs w:val="false"/>
                <w:color w:val="183047"/>
              </w:rPr>
              <w:t xml:space="preserve">GS-C07</w:t>
            </w:r>
          </w:p>
        </w:tc>
        <w:tc>
          <w:tcPr>
            <w:tcW w:type="dxa" w:w="25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val="false"/>
              <w:keepLines/>
              <w:jc w:val="left"/>
            </w:pPr>
            <w:r>
              <w:rPr>
                <w:b w:val="false"/>
                <w:bCs w:val="false"/>
                <w:color w:val="183047"/>
              </w:rPr>
              <w:t xml:space="preserve">Customer handoff readiness</w:t>
            </w:r>
          </w:p>
        </w:tc>
        <w:tc>
          <w:tcPr>
            <w:tcW w:type="dxa" w:w="27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val="false"/>
              <w:keepLines/>
              <w:jc w:val="left"/>
            </w:pPr>
            <w:r>
              <w:rPr>
                <w:b w:val="false"/>
                <w:bCs w:val="false"/>
                <w:color w:val="183047"/>
              </w:rPr>
              <w:t xml:space="preserve">Live observation and handoff note</w:t>
            </w:r>
          </w:p>
        </w:tc>
        <w:tc>
          <w:tcPr>
            <w:tcW w:type="dxa" w:w="19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val="false"/>
              <w:keepLines/>
              <w:jc w:val="left"/>
            </w:pPr>
            <w:r>
              <w:rPr>
                <w:b w:val="false"/>
                <w:bCs w:val="false"/>
                <w:color w:val="183047"/>
              </w:rPr>
              <w:t xml:space="preserve">QA score &gt;= 90 and supervisor signoff</w:t>
            </w:r>
          </w:p>
        </w:tc>
        <w:tc>
          <w:tcPr>
            <w:tcW w:type="dxa" w:w="188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val="false"/>
              <w:keepLines/>
              <w:jc w:val="left"/>
            </w:pPr>
            <w:r>
              <w:rPr>
                <w:b w:val="false"/>
                <w:bCs w:val="false"/>
                <w:color w:val="183047"/>
              </w:rPr>
              <w:t xml:space="preserve">Desk manager approval</w:t>
            </w:r>
          </w:p>
        </w:tc>
      </w:tr>
    </w:tbl>
    <w:p>
      <w:pPr>
        <w:pStyle w:val="Heading1"/>
      </w:pPr>
      <w:r>
        <w:t xml:space="preserve">Approval Matrix and RACI</w:t>
      </w:r>
    </w:p>
    <w:tbl>
      <w:tblPr>
        <w:tblW w:type="dxa" w:w="10080"/>
        <w:tblBorders>
          <w:top w:val="single" w:color="C2A052" w:sz="4"/>
          <w:left w:val="single" w:color="C2A052" w:sz="4"/>
          <w:bottom w:val="single" w:color="C2A052" w:sz="4"/>
          <w:right w:val="single" w:color="C2A052" w:sz="4"/>
          <w:insideH w:val="single" w:color="C2A052" w:sz="4"/>
          <w:insideV w:val="single" w:color="C2A052" w:sz="4"/>
        </w:tblBorders>
        <w:tblLayout w:type="fixed"/>
        <w:tblCellMar>
          <w:top w:type="dxa" w:w="65"/>
          <w:left w:type="dxa" w:w="95"/>
          <w:bottom w:type="dxa" w:w="65"/>
          <w:right w:type="dxa" w:w="95"/>
        </w:tblCellMar>
      </w:tblPr>
      <w:tblGrid>
        <w:gridCol w:w="2200"/>
        <w:gridCol w:w="1560"/>
        <w:gridCol w:w="1560"/>
        <w:gridCol w:w="1560"/>
        <w:gridCol w:w="1560"/>
        <w:gridCol w:w="1640"/>
      </w:tblGrid>
      <w:tr>
        <w:trPr>
          <w:cantSplit/>
          <w:tblHeader/>
        </w:trPr>
        <w:tc>
          <w:tcPr>
            <w:tcW w:type="dxa" w:w="22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Activity</w:t>
            </w:r>
          </w:p>
        </w:tc>
        <w:tc>
          <w:tcPr>
            <w:tcW w:type="dxa" w:w="156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Trainer</w:t>
            </w:r>
          </w:p>
        </w:tc>
        <w:tc>
          <w:tcPr>
            <w:tcW w:type="dxa" w:w="156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Supervisor</w:t>
            </w:r>
          </w:p>
        </w:tc>
        <w:tc>
          <w:tcPr>
            <w:tcW w:type="dxa" w:w="156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Desk Manager</w:t>
            </w:r>
          </w:p>
        </w:tc>
        <w:tc>
          <w:tcPr>
            <w:tcW w:type="dxa" w:w="156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Compliance</w:t>
            </w:r>
          </w:p>
        </w:tc>
        <w:tc>
          <w:tcPr>
            <w:tcW w:type="dxa" w:w="164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Coverage Owner</w:t>
            </w:r>
          </w:p>
        </w:tc>
      </w:tr>
      <w:tr>
        <w:trPr>
          <w:cantSplit/>
        </w:trPr>
        <w:tc>
          <w:tcPr>
            <w:tcW w:type="dxa" w:w="22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Assign modules and practice cases</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R</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A</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w:t>
            </w:r>
          </w:p>
        </w:tc>
        <w:tc>
          <w:tcPr>
            <w:tcW w:type="dxa" w:w="164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r>
      <w:tr>
        <w:trPr>
          <w:cantSplit/>
        </w:trPr>
        <w:tc>
          <w:tcPr>
            <w:tcW w:type="dxa" w:w="22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Record assessment and observation evidence</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R</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A</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C</w:t>
            </w:r>
          </w:p>
        </w:tc>
        <w:tc>
          <w:tcPr>
            <w:tcW w:type="dxa" w:w="164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r>
      <w:tr>
        <w:trPr>
          <w:cantSplit/>
        </w:trPr>
        <w:tc>
          <w:tcPr>
            <w:tcW w:type="dxa" w:w="22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Recommend readiness or remediation</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R/A</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w:t>
            </w:r>
          </w:p>
        </w:tc>
        <w:tc>
          <w:tcPr>
            <w:tcW w:type="dxa" w:w="164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r>
      <w:tr>
        <w:trPr>
          <w:cantSplit/>
        </w:trPr>
        <w:tc>
          <w:tcPr>
            <w:tcW w:type="dxa" w:w="22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Approve limited compliance exception</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C</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R</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A</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A/R</w:t>
            </w:r>
          </w:p>
        </w:tc>
        <w:tc>
          <w:tcPr>
            <w:tcW w:type="dxa" w:w="164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r>
      <w:tr>
        <w:trPr>
          <w:cantSplit/>
        </w:trPr>
        <w:tc>
          <w:tcPr>
            <w:tcW w:type="dxa" w:w="22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Maintain temporary account coverage</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A</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I</w:t>
            </w:r>
          </w:p>
        </w:tc>
        <w:tc>
          <w:tcPr>
            <w:tcW w:type="dxa" w:w="156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w:t>
            </w:r>
          </w:p>
        </w:tc>
        <w:tc>
          <w:tcPr>
            <w:tcW w:type="dxa" w:w="164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R</w:t>
            </w:r>
          </w:p>
        </w:tc>
      </w:tr>
      <w:tr>
        <w:trPr>
          <w:cantSplit/>
        </w:trPr>
        <w:tc>
          <w:tcPr>
            <w:tcW w:type="dxa" w:w="22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Approve independent customer coverage</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I</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R</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A</w:t>
            </w:r>
          </w:p>
        </w:tc>
        <w:tc>
          <w:tcPr>
            <w:tcW w:type="dxa" w:w="156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C</w:t>
            </w:r>
          </w:p>
        </w:tc>
        <w:tc>
          <w:tcPr>
            <w:tcW w:type="dxa" w:w="164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C</w:t>
            </w:r>
          </w:p>
        </w:tc>
      </w:tr>
    </w:tbl>
    <w:p>
      <w:pPr>
        <w:pStyle w:val="Heading1"/>
      </w:pPr>
      <w:r>
        <w:t xml:space="preserve">Decision Points and Exception Routes</w:t>
      </w:r>
    </w:p>
    <w:tbl>
      <w:tblPr>
        <w:tblW w:type="dxa" w:w="10080"/>
        <w:tblBorders>
          <w:top w:val="single" w:color="C2A052" w:sz="4"/>
          <w:left w:val="single" w:color="C2A052" w:sz="4"/>
          <w:bottom w:val="single" w:color="C2A052" w:sz="4"/>
          <w:right w:val="single" w:color="C2A052" w:sz="4"/>
          <w:insideH w:val="single" w:color="C2A052" w:sz="4"/>
          <w:insideV w:val="single" w:color="C2A052" w:sz="4"/>
        </w:tblBorders>
        <w:tblLayout w:type="fixed"/>
        <w:tblCellMar>
          <w:top w:type="dxa" w:w="95"/>
          <w:left w:type="dxa" w:w="130"/>
          <w:bottom w:type="dxa" w:w="95"/>
          <w:right w:type="dxa" w:w="130"/>
        </w:tblCellMar>
      </w:tblPr>
      <w:tblGrid>
        <w:gridCol w:w="2500"/>
        <w:gridCol w:w="2500"/>
        <w:gridCol w:w="2500"/>
        <w:gridCol w:w="2580"/>
      </w:tblGrid>
      <w:tr>
        <w:trPr>
          <w:cantSplit/>
          <w:tblHeader/>
        </w:trPr>
        <w:tc>
          <w:tcPr>
            <w:tcW w:type="dxa" w:w="250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Decision Point</w:t>
            </w:r>
          </w:p>
        </w:tc>
        <w:tc>
          <w:tcPr>
            <w:tcW w:type="dxa" w:w="250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Ready Path</w:t>
            </w:r>
          </w:p>
        </w:tc>
        <w:tc>
          <w:tcPr>
            <w:tcW w:type="dxa" w:w="250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Exception Path</w:t>
            </w:r>
          </w:p>
        </w:tc>
        <w:tc>
          <w:tcPr>
            <w:tcW w:type="dxa" w:w="258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Handoff Limit</w:t>
            </w:r>
          </w:p>
        </w:tc>
      </w:tr>
      <w:tr>
        <w:trPr>
          <w:cantSplit/>
        </w:trPr>
        <w:tc>
          <w:tcPr>
            <w:tcW w:type="dxa" w:w="25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All competencies complete</w:t>
            </w:r>
          </w:p>
        </w:tc>
        <w:tc>
          <w:tcPr>
            <w:tcW w:type="dxa" w:w="25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Supervisor may recommend ready pending manager approval</w:t>
            </w:r>
          </w:p>
        </w:tc>
        <w:tc>
          <w:tcPr>
            <w:tcW w:type="dxa" w:w="25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None required</w:t>
            </w:r>
          </w:p>
        </w:tc>
        <w:tc>
          <w:tcPr>
            <w:tcW w:type="dxa" w:w="258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Stage account coverage only</w:t>
            </w:r>
          </w:p>
        </w:tc>
      </w:tr>
      <w:tr>
        <w:trPr>
          <w:cantSplit/>
        </w:trPr>
        <w:tc>
          <w:tcPr>
            <w:tcW w:type="dxa" w:w="25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Approved limited exception</w:t>
            </w:r>
          </w:p>
        </w:tc>
        <w:tc>
          <w:tcPr>
            <w:tcW w:type="dxa" w:w="25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Not fully ready</w:t>
            </w:r>
          </w:p>
        </w:tc>
        <w:tc>
          <w:tcPr>
            <w:tcW w:type="dxa" w:w="25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Low-risk supervised coverage may be staged</w:t>
            </w:r>
          </w:p>
        </w:tc>
        <w:tc>
          <w:tcPr>
            <w:tcW w:type="dxa" w:w="258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No independent coverage</w:t>
            </w:r>
          </w:p>
        </w:tc>
      </w:tr>
      <w:tr>
        <w:trPr>
          <w:cantSplit/>
        </w:trPr>
        <w:tc>
          <w:tcPr>
            <w:tcW w:type="dxa" w:w="25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Failed assessment or CRM audit</w:t>
            </w:r>
          </w:p>
        </w:tc>
        <w:tc>
          <w:tcPr>
            <w:tcW w:type="dxa" w:w="25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Not ready</w:t>
            </w:r>
          </w:p>
        </w:tc>
        <w:tc>
          <w:tcPr>
            <w:tcW w:type="dxa" w:w="25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Remediation scheduled with owner and due date</w:t>
            </w:r>
          </w:p>
        </w:tc>
        <w:tc>
          <w:tcPr>
            <w:tcW w:type="dxa" w:w="258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Temporary owner keeps customer action</w:t>
            </w:r>
          </w:p>
        </w:tc>
      </w:tr>
      <w:tr>
        <w:trPr>
          <w:cantSplit/>
        </w:trPr>
        <w:tc>
          <w:tcPr>
            <w:tcW w:type="dxa" w:w="25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Licensing or compliance hold</w:t>
            </w:r>
          </w:p>
        </w:tc>
        <w:tc>
          <w:tcPr>
            <w:tcW w:type="dxa" w:w="25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Blocked</w:t>
            </w:r>
          </w:p>
        </w:tc>
        <w:tc>
          <w:tcPr>
            <w:tcW w:type="dxa" w:w="25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Compliance owner must resolve blocker</w:t>
            </w:r>
          </w:p>
        </w:tc>
        <w:tc>
          <w:tcPr>
            <w:tcW w:type="dxa" w:w="258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Supervisor escalation only</w:t>
            </w:r>
          </w:p>
        </w:tc>
      </w:tr>
    </w:tbl>
    <w:p>
      <w:pPr>
        <w:pStyle w:val="Heading1"/>
      </w:pPr>
      <w:r>
        <w:t xml:space="preserve">Source Process Flow Diagram</w:t>
      </w:r>
    </w:p>
    <w:p>
      <w:pPr>
        <w:pStyle w:val="Body"/>
      </w:pPr>
      <w:r>
        <w:t xml:space="preserve">Figure 1 is the controlled source flow supervisors must apply before any independent coverage handoff.</w:t>
      </w:r>
    </w:p>
    <w:p>
      <w:pPr>
        <w:keepNext/>
        <w:keepLines/>
        <w:spacing w:before="120" w:after="20"/>
        <w:jc w:val="center"/>
      </w:pPr>
      <w:r>
        <w:rPr>
          <w:b/>
          <w:bCs/>
          <w:sz w:val="24"/>
          <w:szCs w:val="24"/>
        </w:rPr>
        <w:t xml:space="preserve">Controlled Ramp Evidence Gate Flow</w:t>
      </w:r>
    </w:p>
    <w:p>
      <w:pPr>
        <w:pStyle w:val="Small"/>
        <w:keepNext/>
        <w:keepLines/>
        <w:spacing w:after="80"/>
        <w:jc w:val="center"/>
      </w:pPr>
      <w:r>
        <w:t xml:space="preserve">Source swimlane path for HB-RAMP-2026-07 before independent coverage</w:t>
      </w:r>
    </w:p>
    <w:tbl>
      <w:tblPr>
        <w:tblW w:type="dxa" w:w="10080"/>
        <w:tblBorders>
          <w:top w:val="single" w:color="C2A052" w:sz="4"/>
          <w:left w:val="single" w:color="C2A052" w:sz="4"/>
          <w:bottom w:val="single" w:color="C2A052" w:sz="4"/>
          <w:right w:val="single" w:color="C2A052" w:sz="4"/>
          <w:insideH w:val="single" w:color="C2A052" w:sz="4"/>
          <w:insideV w:val="single" w:color="C2A052" w:sz="4"/>
        </w:tblBorders>
        <w:tblLayout w:type="fixed"/>
        <w:tblCellMar>
          <w:top w:type="dxa" w:w="65"/>
          <w:left w:type="dxa" w:w="95"/>
          <w:bottom w:type="dxa" w:w="65"/>
          <w:right w:type="dxa" w:w="95"/>
        </w:tblCellMar>
      </w:tblPr>
      <w:tblGrid>
        <w:gridCol w:w="1380"/>
        <w:gridCol w:w="3180"/>
        <w:gridCol w:w="2300"/>
        <w:gridCol w:w="1800"/>
        <w:gridCol w:w="1420"/>
      </w:tblGrid>
      <w:tr>
        <w:trPr>
          <w:cantSplit/>
          <w:tblHeader/>
        </w:trPr>
        <w:tc>
          <w:tcPr>
            <w:tcW w:type="dxa" w:w="138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Swimlane</w:t>
            </w:r>
          </w:p>
        </w:tc>
        <w:tc>
          <w:tcPr>
            <w:tcW w:type="dxa" w:w="318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Native Process Path</w:t>
            </w:r>
          </w:p>
        </w:tc>
        <w:tc>
          <w:tcPr>
            <w:tcW w:type="dxa" w:w="23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Decision Owner</w:t>
            </w:r>
          </w:p>
        </w:tc>
        <w:tc>
          <w:tcPr>
            <w:tcW w:type="dxa" w:w="18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Exception Branch</w:t>
            </w:r>
          </w:p>
        </w:tc>
        <w:tc>
          <w:tcPr>
            <w:tcW w:type="dxa" w:w="142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Coverage Control</w:t>
            </w:r>
          </w:p>
        </w:tc>
      </w:tr>
      <w:tr>
        <w:trPr>
          <w:cantSplit/>
        </w:trPr>
        <w:tc>
          <w:tcPr>
            <w:tcW w:type="dxa" w:w="138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center"/>
            </w:pPr>
            <w:r>
              <w:rPr>
                <w:b/>
                <w:bCs/>
                <w:color w:val="0B5C4A"/>
              </w:rPr>
              <w:t xml:space="preserve">Main gate</w:t>
            </w:r>
          </w:p>
        </w:tc>
        <w:tc>
          <w:tcPr>
            <w:tcW w:type="dxa" w:w="318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Intake -&gt; curriculum -&gt; supervised practice -&gt; evidence gate</w:t>
            </w:r>
          </w:p>
        </w:tc>
        <w:tc>
          <w:tcPr>
            <w:tcW w:type="dxa" w:w="23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Trainer signs evidence; supervisor recommends; desk manager approval remains pending</w:t>
            </w:r>
          </w:p>
        </w:tc>
        <w:tc>
          <w:tcPr>
            <w:tcW w:type="dxa" w:w="18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None when all GS-C01 through GS-C07 evidence is complete</w:t>
            </w:r>
          </w:p>
        </w:tc>
        <w:tc>
          <w:tcPr>
            <w:tcW w:type="dxa" w:w="142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Temporary coverage stays active until approval</w:t>
            </w:r>
          </w:p>
        </w:tc>
      </w:tr>
      <w:tr>
        <w:trPr>
          <w:cantSplit/>
        </w:trPr>
        <w:tc>
          <w:tcPr>
            <w:tcW w:type="dxa" w:w="138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center"/>
            </w:pPr>
            <w:r>
              <w:rPr>
                <w:b/>
                <w:bCs/>
                <w:color w:val="0B5C4A"/>
              </w:rPr>
              <w:t xml:space="preserve">Remediation</w:t>
            </w:r>
          </w:p>
        </w:tc>
        <w:tc>
          <w:tcPr>
            <w:tcW w:type="dxa" w:w="318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Evidence gate finds failed or open assessment evidence</w:t>
            </w:r>
          </w:p>
        </w:tc>
        <w:tc>
          <w:tcPr>
            <w:tcW w:type="dxa" w:w="23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Trainer or QA schedules owner, due date, and retest</w:t>
            </w:r>
          </w:p>
        </w:tc>
        <w:tc>
          <w:tcPr>
            <w:tcW w:type="dxa" w:w="18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Remediation Branch returns to evidence gate after retest</w:t>
            </w:r>
          </w:p>
        </w:tc>
        <w:tc>
          <w:tcPr>
            <w:tcW w:type="dxa" w:w="142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Customer action stays with temporary owner</w:t>
            </w:r>
          </w:p>
        </w:tc>
      </w:tr>
      <w:tr>
        <w:trPr>
          <w:cantSplit/>
        </w:trPr>
        <w:tc>
          <w:tcPr>
            <w:tcW w:type="dxa" w:w="138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center"/>
            </w:pPr>
            <w:r>
              <w:rPr>
                <w:b/>
                <w:bCs/>
                <w:color w:val="0B5C4A"/>
              </w:rPr>
              <w:t xml:space="preserve">Limited exception</w:t>
            </w:r>
          </w:p>
        </w:tc>
        <w:tc>
          <w:tcPr>
            <w:tcW w:type="dxa" w:w="318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Explicit exception approval exists before GS-C07 closes</w:t>
            </w:r>
          </w:p>
        </w:tc>
        <w:tc>
          <w:tcPr>
            <w:tcW w:type="dxa" w:w="23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Supervisor and compliance define boundary; desk manager reviews package</w:t>
            </w:r>
          </w:p>
        </w:tc>
        <w:tc>
          <w:tcPr>
            <w:tcW w:type="dxa" w:w="18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Limited Exception permits supervised low-risk work only</w:t>
            </w:r>
          </w:p>
        </w:tc>
        <w:tc>
          <w:tcPr>
            <w:tcW w:type="dxa" w:w="142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No independent coverage</w:t>
            </w:r>
          </w:p>
        </w:tc>
      </w:tr>
      <w:tr>
        <w:trPr>
          <w:cantSplit/>
        </w:trPr>
        <w:tc>
          <w:tcPr>
            <w:tcW w:type="dxa" w:w="138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center"/>
            </w:pPr>
            <w:r>
              <w:rPr>
                <w:b/>
                <w:bCs/>
                <w:color w:val="0B5C4A"/>
              </w:rPr>
              <w:t xml:space="preserve">Compliance hold</w:t>
            </w:r>
          </w:p>
        </w:tc>
        <w:tc>
          <w:tcPr>
            <w:tcW w:type="dxa" w:w="318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Licensing or disclosure blocker remains unresolved</w:t>
            </w:r>
          </w:p>
        </w:tc>
        <w:tc>
          <w:tcPr>
            <w:tcW w:type="dxa" w:w="23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Compliance clears blocker before supervisor recommendation</w:t>
            </w:r>
          </w:p>
        </w:tc>
        <w:tc>
          <w:tcPr>
            <w:tcW w:type="dxa" w:w="18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Compliance Hold blocks readiness and handoff</w:t>
            </w:r>
          </w:p>
        </w:tc>
        <w:tc>
          <w:tcPr>
            <w:tcW w:type="dxa" w:w="142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Supervisor escalation only</w:t>
            </w:r>
          </w:p>
        </w:tc>
      </w:tr>
    </w:tbl>
    <w:p>
      <w:pPr>
        <w:pStyle w:val="Caption"/>
        <w:keepNext/>
        <w:keepLines/>
        <w:jc w:val="center"/>
      </w:pPr>
      <w:r>
        <w:t xml:space="preserve">Figure 1. Source process-flow diagram for evidence gates, exception branches, temporary coverage, and pending handoff.</w:t>
      </w:r>
    </w:p>
    <w:p>
      <w:pPr>
        <w:pStyle w:val="Small"/>
        <w:keepLines/>
        <w:spacing w:after="180"/>
        <w:jc w:val="center"/>
      </w:pPr>
      <w:r>
        <w:t xml:space="preserve">Source: HarborBridge Group Sales Ramp Certification Standard, revision 2026-07-10.</w:t>
      </w:r>
    </w:p>
    <w:tbl>
      <w:tblPr>
        <w:tblW w:type="dxa" w:w="10080"/>
        <w:tblBorders>
          <w:top w:val="single" w:color="C2A052" w:sz="4"/>
          <w:left w:val="single" w:color="C2A052" w:sz="4"/>
          <w:bottom w:val="single" w:color="C2A052" w:sz="4"/>
          <w:right w:val="single" w:color="C2A052" w:sz="4"/>
          <w:insideH w:val="single" w:color="C2A052" w:sz="4"/>
          <w:insideV w:val="single" w:color="C2A052" w:sz="4"/>
        </w:tblBorders>
        <w:tblLayout w:type="fixed"/>
        <w:tblCellMar>
          <w:top w:type="dxa" w:w="65"/>
          <w:left w:type="dxa" w:w="95"/>
          <w:bottom w:type="dxa" w:w="65"/>
          <w:right w:type="dxa" w:w="95"/>
        </w:tblCellMar>
      </w:tblPr>
      <w:tblGrid>
        <w:gridCol w:w="1400"/>
        <w:gridCol w:w="1650"/>
        <w:gridCol w:w="1800"/>
        <w:gridCol w:w="1800"/>
        <w:gridCol w:w="1700"/>
        <w:gridCol w:w="1730"/>
      </w:tblGrid>
      <w:tr>
        <w:trPr>
          <w:cantSplit/>
          <w:tblHeader/>
        </w:trPr>
        <w:tc>
          <w:tcPr>
            <w:tcW w:type="dxa" w:w="14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Stage</w:t>
            </w:r>
          </w:p>
        </w:tc>
        <w:tc>
          <w:tcPr>
            <w:tcW w:type="dxa" w:w="165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Representative</w:t>
            </w:r>
          </w:p>
        </w:tc>
        <w:tc>
          <w:tcPr>
            <w:tcW w:type="dxa" w:w="18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Trainer or QA</w:t>
            </w:r>
          </w:p>
        </w:tc>
        <w:tc>
          <w:tcPr>
            <w:tcW w:type="dxa" w:w="18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Supervisor</w:t>
            </w:r>
          </w:p>
        </w:tc>
        <w:tc>
          <w:tcPr>
            <w:tcW w:type="dxa" w:w="170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Desk Manager</w:t>
            </w:r>
          </w:p>
        </w:tc>
        <w:tc>
          <w:tcPr>
            <w:tcW w:type="dxa" w:w="1730"/>
            <w:tcBorders>
              <w:top w:val="single" w:color="C2A052" w:sz="4"/>
              <w:left w:val="single" w:color="C2A052" w:sz="4"/>
              <w:bottom w:val="single" w:color="C2A052" w:sz="4"/>
              <w:right w:val="single" w:color="C2A052" w:sz="4"/>
            </w:tcBorders>
            <w:shd w:fill="0B5C4A" w:val="clear"/>
            <w:tcMar>
              <w:top w:type="dxa" w:w="65"/>
              <w:left w:type="dxa" w:w="95"/>
              <w:bottom w:type="dxa" w:w="65"/>
              <w:right w:type="dxa" w:w="95"/>
            </w:tcMar>
            <w:vAlign w:val="center"/>
          </w:tcPr>
          <w:p>
            <w:pPr>
              <w:pStyle w:val="TableHeader"/>
              <w:keepNext/>
              <w:keepLines/>
              <w:jc w:val="left"/>
            </w:pPr>
            <w:r>
              <w:rPr>
                <w:b/>
                <w:bCs/>
                <w:color w:val="FFFFFF"/>
              </w:rPr>
              <w:t xml:space="preserve">Coverage Owner</w:t>
            </w:r>
          </w:p>
        </w:tc>
      </w:tr>
      <w:tr>
        <w:trPr>
          <w:cantSplit/>
        </w:trPr>
        <w:tc>
          <w:tcPr>
            <w:tcW w:type="dxa" w:w="14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1 Intake</w:t>
            </w:r>
          </w:p>
        </w:tc>
        <w:tc>
          <w:tcPr>
            <w:tcW w:type="dxa" w:w="16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Receives target dates</w:t>
            </w:r>
          </w:p>
        </w:tc>
        <w:tc>
          <w:tcPr>
            <w:tcW w:type="dxa" w:w="18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Maps curriculum</w:t>
            </w:r>
          </w:p>
        </w:tc>
        <w:tc>
          <w:tcPr>
            <w:tcW w:type="dxa" w:w="18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Confirms segment and constraints</w:t>
            </w:r>
          </w:p>
        </w:tc>
        <w:tc>
          <w:tcPr>
            <w:tcW w:type="dxa" w:w="17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Sets approval deadline</w:t>
            </w:r>
          </w:p>
        </w:tc>
        <w:tc>
          <w:tcPr>
            <w:tcW w:type="dxa" w:w="173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Keeps temporary owners active</w:t>
            </w:r>
          </w:p>
        </w:tc>
      </w:tr>
      <w:tr>
        <w:trPr>
          <w:cantSplit/>
        </w:trPr>
        <w:tc>
          <w:tcPr>
            <w:tcW w:type="dxa" w:w="14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2 Curriculum</w:t>
            </w:r>
          </w:p>
        </w:tc>
        <w:tc>
          <w:tcPr>
            <w:tcW w:type="dxa" w:w="16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Completes modules</w:t>
            </w:r>
          </w:p>
        </w:tc>
        <w:tc>
          <w:tcPr>
            <w:tcW w:type="dxa" w:w="18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Records attendance</w:t>
            </w:r>
          </w:p>
        </w:tc>
        <w:tc>
          <w:tcPr>
            <w:tcW w:type="dxa" w:w="18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Monitors gaps</w:t>
            </w:r>
          </w:p>
        </w:tc>
        <w:tc>
          <w:tcPr>
            <w:tcW w:type="dxa" w:w="17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Informed</w:t>
            </w:r>
          </w:p>
        </w:tc>
        <w:tc>
          <w:tcPr>
            <w:tcW w:type="dxa" w:w="173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No handoff</w:t>
            </w:r>
          </w:p>
        </w:tc>
      </w:tr>
      <w:tr>
        <w:trPr>
          <w:cantSplit/>
        </w:trPr>
        <w:tc>
          <w:tcPr>
            <w:tcW w:type="dxa" w:w="14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3 Practice</w:t>
            </w:r>
          </w:p>
        </w:tc>
        <w:tc>
          <w:tcPr>
            <w:tcW w:type="dxa" w:w="16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Mock calls and CRM setup</w:t>
            </w:r>
          </w:p>
        </w:tc>
        <w:tc>
          <w:tcPr>
            <w:tcW w:type="dxa" w:w="18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Scores assessments</w:t>
            </w:r>
          </w:p>
        </w:tc>
        <w:tc>
          <w:tcPr>
            <w:tcW w:type="dxa" w:w="18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Reviews coaching</w:t>
            </w:r>
          </w:p>
        </w:tc>
        <w:tc>
          <w:tcPr>
            <w:tcW w:type="dxa" w:w="17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Informed</w:t>
            </w:r>
          </w:p>
        </w:tc>
        <w:tc>
          <w:tcPr>
            <w:tcW w:type="dxa" w:w="173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Keeps commitments</w:t>
            </w:r>
          </w:p>
        </w:tc>
      </w:tr>
      <w:tr>
        <w:trPr>
          <w:cantSplit/>
        </w:trPr>
        <w:tc>
          <w:tcPr>
            <w:tcW w:type="dxa" w:w="14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4 Evidence gate</w:t>
            </w:r>
          </w:p>
        </w:tc>
        <w:tc>
          <w:tcPr>
            <w:tcW w:type="dxa" w:w="16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Completes GS-C01 to GS-C07</w:t>
            </w:r>
          </w:p>
        </w:tc>
        <w:tc>
          <w:tcPr>
            <w:tcW w:type="dxa" w:w="18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Signs evidence</w:t>
            </w:r>
          </w:p>
        </w:tc>
        <w:tc>
          <w:tcPr>
            <w:tcW w:type="dxa" w:w="18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Recommends status</w:t>
            </w:r>
          </w:p>
        </w:tc>
        <w:tc>
          <w:tcPr>
            <w:tcW w:type="dxa" w:w="17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Reviews request</w:t>
            </w:r>
          </w:p>
        </w:tc>
        <w:tc>
          <w:tcPr>
            <w:tcW w:type="dxa" w:w="173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keepLines/>
              <w:jc w:val="left"/>
            </w:pPr>
            <w:r>
              <w:rPr>
                <w:b w:val="false"/>
                <w:bCs w:val="false"/>
                <w:color w:val="183047"/>
              </w:rPr>
              <w:t xml:space="preserve">Prepares staged plan</w:t>
            </w:r>
          </w:p>
        </w:tc>
      </w:tr>
      <w:tr>
        <w:trPr>
          <w:cantSplit/>
        </w:trPr>
        <w:tc>
          <w:tcPr>
            <w:tcW w:type="dxa" w:w="14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5 Exception</w:t>
            </w:r>
          </w:p>
        </w:tc>
        <w:tc>
          <w:tcPr>
            <w:tcW w:type="dxa" w:w="165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Completes remediation</w:t>
            </w:r>
          </w:p>
        </w:tc>
        <w:tc>
          <w:tcPr>
            <w:tcW w:type="dxa" w:w="18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Retests</w:t>
            </w:r>
          </w:p>
        </w:tc>
        <w:tc>
          <w:tcPr>
            <w:tcW w:type="dxa" w:w="18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Owns next action</w:t>
            </w:r>
          </w:p>
        </w:tc>
        <w:tc>
          <w:tcPr>
            <w:tcW w:type="dxa" w:w="170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Approves only explicit exceptions</w:t>
            </w:r>
          </w:p>
        </w:tc>
        <w:tc>
          <w:tcPr>
            <w:tcW w:type="dxa" w:w="1730"/>
            <w:tcBorders>
              <w:top w:val="single" w:color="C2A052" w:sz="4"/>
              <w:left w:val="single" w:color="C2A052" w:sz="4"/>
              <w:bottom w:val="single" w:color="C2A052" w:sz="4"/>
              <w:right w:val="single" w:color="C2A052" w:sz="4"/>
            </w:tcBorders>
            <w:tcMar>
              <w:top w:type="dxa" w:w="65"/>
              <w:left w:type="dxa" w:w="95"/>
              <w:bottom w:type="dxa" w:w="65"/>
              <w:right w:type="dxa" w:w="95"/>
            </w:tcMar>
            <w:vAlign w:val="center"/>
          </w:tcPr>
          <w:p>
            <w:pPr>
              <w:pStyle w:val="TableText"/>
              <w:keepNext/>
              <w:keepLines/>
              <w:jc w:val="left"/>
            </w:pPr>
            <w:r>
              <w:rPr>
                <w:b w:val="false"/>
                <w:bCs w:val="false"/>
                <w:color w:val="183047"/>
              </w:rPr>
              <w:t xml:space="preserve">Continues temporary coverage</w:t>
            </w:r>
          </w:p>
        </w:tc>
      </w:tr>
      <w:tr>
        <w:trPr>
          <w:cantSplit/>
        </w:trPr>
        <w:tc>
          <w:tcPr>
            <w:tcW w:type="dxa" w:w="14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6 Pending handoff</w:t>
            </w:r>
          </w:p>
        </w:tc>
        <w:tc>
          <w:tcPr>
            <w:tcW w:type="dxa" w:w="165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No independent coverage yet</w:t>
            </w:r>
          </w:p>
        </w:tc>
        <w:tc>
          <w:tcPr>
            <w:tcW w:type="dxa" w:w="18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Available for follow-up</w:t>
            </w:r>
          </w:p>
        </w:tc>
        <w:tc>
          <w:tcPr>
            <w:tcW w:type="dxa" w:w="18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Submits package</w:t>
            </w:r>
          </w:p>
        </w:tc>
        <w:tc>
          <w:tcPr>
            <w:tcW w:type="dxa" w:w="170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Decision pending</w:t>
            </w:r>
          </w:p>
        </w:tc>
        <w:tc>
          <w:tcPr>
            <w:tcW w:type="dxa" w:w="1730"/>
            <w:tcBorders>
              <w:top w:val="single" w:color="C2A052" w:sz="4"/>
              <w:left w:val="single" w:color="C2A052" w:sz="4"/>
              <w:bottom w:val="single" w:color="C2A052" w:sz="4"/>
              <w:right w:val="single" w:color="C2A052" w:sz="4"/>
            </w:tcBorders>
            <w:shd w:fill="F3EADB" w:val="clear"/>
            <w:tcMar>
              <w:top w:type="dxa" w:w="65"/>
              <w:left w:type="dxa" w:w="95"/>
              <w:bottom w:type="dxa" w:w="65"/>
              <w:right w:type="dxa" w:w="95"/>
            </w:tcMar>
            <w:vAlign w:val="center"/>
          </w:tcPr>
          <w:p>
            <w:pPr>
              <w:pStyle w:val="TableText"/>
              <w:keepNext w:val="false"/>
              <w:keepLines/>
              <w:jc w:val="left"/>
            </w:pPr>
            <w:r>
              <w:rPr>
                <w:b w:val="false"/>
                <w:bCs w:val="false"/>
                <w:color w:val="183047"/>
              </w:rPr>
              <w:t xml:space="preserve">Stages but does not execute</w:t>
            </w:r>
          </w:p>
        </w:tc>
      </w:tr>
    </w:tbl>
    <w:p>
      <w:pPr>
        <w:pStyle w:val="Heading1"/>
      </w:pPr>
      <w:r>
        <w:t xml:space="preserve">Supervisor Checklist</w:t>
      </w:r>
    </w:p>
    <w:tbl>
      <w:tblPr>
        <w:tblW w:type="dxa" w:w="10080"/>
        <w:tblBorders>
          <w:top w:val="single" w:color="C2A052" w:sz="4"/>
          <w:left w:val="single" w:color="C2A052" w:sz="4"/>
          <w:bottom w:val="single" w:color="C2A052" w:sz="4"/>
          <w:right w:val="single" w:color="C2A052" w:sz="4"/>
          <w:insideH w:val="single" w:color="C2A052" w:sz="4"/>
          <w:insideV w:val="single" w:color="C2A052" w:sz="4"/>
        </w:tblBorders>
        <w:tblLayout w:type="fixed"/>
        <w:tblCellMar>
          <w:top w:type="dxa" w:w="95"/>
          <w:left w:type="dxa" w:w="130"/>
          <w:bottom w:type="dxa" w:w="95"/>
          <w:right w:type="dxa" w:w="130"/>
        </w:tblCellMar>
      </w:tblPr>
      <w:tblGrid>
        <w:gridCol w:w="3600"/>
        <w:gridCol w:w="4000"/>
        <w:gridCol w:w="2480"/>
      </w:tblGrid>
      <w:tr>
        <w:trPr>
          <w:cantSplit/>
          <w:tblHeader/>
        </w:trPr>
        <w:tc>
          <w:tcPr>
            <w:tcW w:type="dxa" w:w="360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Checklist Field</w:t>
            </w:r>
          </w:p>
        </w:tc>
        <w:tc>
          <w:tcPr>
            <w:tcW w:type="dxa" w:w="400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Evidence Required</w:t>
            </w:r>
          </w:p>
        </w:tc>
        <w:tc>
          <w:tcPr>
            <w:tcW w:type="dxa" w:w="2480"/>
            <w:tcBorders>
              <w:top w:val="single" w:color="C2A052" w:sz="4"/>
              <w:left w:val="single" w:color="C2A052" w:sz="4"/>
              <w:bottom w:val="single" w:color="C2A052" w:sz="4"/>
              <w:right w:val="single" w:color="C2A052" w:sz="4"/>
            </w:tcBorders>
            <w:shd w:fill="0B5C4A" w:val="clear"/>
            <w:tcMar>
              <w:top w:type="dxa" w:w="95"/>
              <w:left w:type="dxa" w:w="130"/>
              <w:bottom w:type="dxa" w:w="95"/>
              <w:right w:type="dxa" w:w="130"/>
            </w:tcMar>
            <w:vAlign w:val="center"/>
          </w:tcPr>
          <w:p>
            <w:pPr>
              <w:pStyle w:val="TableHeader"/>
              <w:keepNext/>
              <w:keepLines/>
              <w:jc w:val="left"/>
            </w:pPr>
            <w:r>
              <w:rPr>
                <w:b/>
                <w:bCs/>
                <w:color w:val="FFFFFF"/>
              </w:rPr>
              <w:t xml:space="preserve">Allowed State</w:t>
            </w:r>
          </w:p>
        </w:tc>
      </w:tr>
      <w:tr>
        <w:trPr>
          <w:cantSplit/>
        </w:trPr>
        <w:tc>
          <w:tcPr>
            <w:tcW w:type="dxa" w:w="36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Cohort population reconciled</w:t>
            </w:r>
          </w:p>
        </w:tc>
        <w:tc>
          <w:tcPr>
            <w:tcW w:type="dxa" w:w="40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All ten Rep_IDs accounted for</w:t>
            </w:r>
          </w:p>
        </w:tc>
        <w:tc>
          <w:tcPr>
            <w:tcW w:type="dxa" w:w="248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Required</w:t>
            </w:r>
          </w:p>
        </w:tc>
      </w:tr>
      <w:tr>
        <w:trPr>
          <w:cantSplit/>
        </w:trPr>
        <w:tc>
          <w:tcPr>
            <w:tcW w:type="dxa" w:w="36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Every excluded row explained</w:t>
            </w:r>
          </w:p>
        </w:tc>
        <w:tc>
          <w:tcPr>
            <w:tcW w:type="dxa" w:w="40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Reason, owner, due date, next action</w:t>
            </w:r>
          </w:p>
        </w:tc>
        <w:tc>
          <w:tcPr>
            <w:tcW w:type="dxa" w:w="248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keepLines/>
              <w:jc w:val="left"/>
            </w:pPr>
            <w:r>
              <w:rPr>
                <w:b w:val="false"/>
                <w:bCs w:val="false"/>
                <w:color w:val="183047"/>
              </w:rPr>
              <w:t xml:space="preserve">Required</w:t>
            </w:r>
          </w:p>
        </w:tc>
      </w:tr>
      <w:tr>
        <w:trPr>
          <w:cantSplit/>
        </w:trPr>
        <w:tc>
          <w:tcPr>
            <w:tcW w:type="dxa" w:w="36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Account handoff staged</w:t>
            </w:r>
          </w:p>
        </w:tc>
        <w:tc>
          <w:tcPr>
            <w:tcW w:type="dxa" w:w="400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Coverage model blocks unready reps</w:t>
            </w:r>
          </w:p>
        </w:tc>
        <w:tc>
          <w:tcPr>
            <w:tcW w:type="dxa" w:w="2480"/>
            <w:tcBorders>
              <w:top w:val="single" w:color="C2A052" w:sz="4"/>
              <w:left w:val="single" w:color="C2A052" w:sz="4"/>
              <w:bottom w:val="single" w:color="C2A052" w:sz="4"/>
              <w:right w:val="single" w:color="C2A052" w:sz="4"/>
            </w:tcBorders>
            <w:tcMar>
              <w:top w:type="dxa" w:w="95"/>
              <w:left w:type="dxa" w:w="130"/>
              <w:bottom w:type="dxa" w:w="95"/>
              <w:right w:type="dxa" w:w="130"/>
            </w:tcMar>
            <w:vAlign w:val="center"/>
          </w:tcPr>
          <w:p>
            <w:pPr>
              <w:pStyle w:val="TableText"/>
              <w:keepNext/>
              <w:keepLines/>
              <w:jc w:val="left"/>
            </w:pPr>
            <w:r>
              <w:rPr>
                <w:b w:val="false"/>
                <w:bCs w:val="false"/>
                <w:color w:val="183047"/>
              </w:rPr>
              <w:t xml:space="preserve">Pending only</w:t>
            </w:r>
          </w:p>
        </w:tc>
      </w:tr>
      <w:tr>
        <w:trPr>
          <w:cantSplit/>
        </w:trPr>
        <w:tc>
          <w:tcPr>
            <w:tcW w:type="dxa" w:w="36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Manager approval requested</w:t>
            </w:r>
          </w:p>
        </w:tc>
        <w:tc>
          <w:tcPr>
            <w:tcW w:type="dxa" w:w="400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Package submitted to desk manager</w:t>
            </w:r>
          </w:p>
        </w:tc>
        <w:tc>
          <w:tcPr>
            <w:tcW w:type="dxa" w:w="2480"/>
            <w:tcBorders>
              <w:top w:val="single" w:color="C2A052" w:sz="4"/>
              <w:left w:val="single" w:color="C2A052" w:sz="4"/>
              <w:bottom w:val="single" w:color="C2A052" w:sz="4"/>
              <w:right w:val="single" w:color="C2A052" w:sz="4"/>
            </w:tcBorders>
            <w:shd w:fill="F3EADB" w:val="clear"/>
            <w:tcMar>
              <w:top w:type="dxa" w:w="95"/>
              <w:left w:type="dxa" w:w="130"/>
              <w:bottom w:type="dxa" w:w="95"/>
              <w:right w:type="dxa" w:w="130"/>
            </w:tcMar>
            <w:vAlign w:val="center"/>
          </w:tcPr>
          <w:p>
            <w:pPr>
              <w:pStyle w:val="TableText"/>
              <w:keepNext w:val="false"/>
              <w:keepLines/>
              <w:jc w:val="left"/>
            </w:pPr>
            <w:r>
              <w:rPr>
                <w:b w:val="false"/>
                <w:bCs w:val="false"/>
                <w:color w:val="183047"/>
              </w:rPr>
              <w:t xml:space="preserve">Not approved yet</w:t>
            </w:r>
          </w:p>
        </w:tc>
      </w:tr>
    </w:tbl>
    <w:sectPr>
      <w:headerReference w:type="default" r:id="rId6"/>
      <w:footerReference w:type="default" r:id="rId7"/>
      <w:pgSz w:w="12240" w:h="15840" w:orient="portrait"/>
      <w:pgMar w:top="112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adea">
    <w:family w:val="auto"/>
    <w:pitch w:val="variable"/>
    <w:sig w:usb0="E0002AFF" w:usb1="C000247B" w:usb2="00000009" w:usb3="00000000" w:csb0="000001FF" w:csb1="00000000"/>
    <w:embedRegular r:id="rId1" w:fontKey="{e416ec10-0f2d-ec8c-ebc7-3339f2c59ebc}"/>
  </w:font>
  <w:font w:name="Carlito">
    <w:family w:val="auto"/>
    <w:pitch w:val="variable"/>
    <w:sig w:usb0="E0002AFF" w:usb1="C000247B" w:usb2="00000009" w:usb3="00000000" w:csb0="000001FF" w:csb1="00000000"/>
    <w:embedRegular r:id="rId2" w:fontKey="{d97353cb-e686-dfd9-acf5-a6473d65a94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A052" w:sz="4" w:space="4"/>
      </w:pBdr>
      <w:tabs>
        <w:tab w:val="right" w:pos="9360"/>
      </w:tabs>
    </w:pPr>
    <w:r>
      <w:rPr>
        <w:rFonts w:ascii="Carlito" w:cs="Carlito" w:eastAsia="Carlito" w:hAnsi="Carlito"/>
        <w:color w:val="596B72"/>
        <w:sz w:val="16"/>
        <w:szCs w:val="16"/>
      </w:rPr>
      <w:t xml:space="preserve">Controlled standard | HB-RAMP-2026-07</w:t>
    </w:r>
    <w:r>
      <w:t xml:space="preserve">	</w:t>
    </w:r>
    <w:r>
      <w:rPr>
        <w:rFonts w:ascii="Carlito" w:cs="Carlito" w:eastAsia="Carlito" w:hAnsi="Carlito"/>
        <w:color w:val="596B72"/>
        <w:sz w:val="16"/>
        <w:szCs w:val="16"/>
      </w:rPr>
      <w:t xml:space="preserve">Page </w:t>
    </w:r>
    <w:r>
      <w:rPr>
        <w:rFonts w:ascii="Carlito" w:cs="Carlito" w:eastAsia="Carlito" w:hAnsi="Carlito"/>
        <w:color w:val="59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5C4A" w:sz="6" w:space="4"/>
      </w:pBdr>
    </w:pPr>
    <w:r>
      <w:rPr>
        <w:rFonts w:ascii="Carlito" w:cs="Carlito" w:eastAsia="Carlito" w:hAnsi="Carlito"/>
        <w:b/>
        <w:bCs/>
        <w:color w:val="0B5C4A"/>
        <w:sz w:val="16"/>
        <w:szCs w:val="16"/>
      </w:rPr>
      <w:t xml:space="preserve">HarborBridge Group Sales Ramp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183047"/>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Document Title"/>
    <w:basedOn w:val="Normal"/>
    <w:next w:val="Subtitle"/>
    <w:qFormat/>
    <w:pPr>
      <w:keepNext/>
      <w:spacing w:before="0" w:after="150"/>
    </w:pPr>
    <w:rPr>
      <w:rFonts w:ascii="Caladea" w:cs="Caladea" w:eastAsia="Caladea" w:hAnsi="Caladea"/>
      <w:b/>
      <w:bCs/>
      <w:color w:val="183047"/>
      <w:sz w:val="44"/>
      <w:szCs w:val="44"/>
    </w:rPr>
  </w:style>
  <w:style w:type="paragraph" w:styleId="Subtitle">
    <w:name w:val="Document Subtitle"/>
    <w:basedOn w:val="Normal"/>
    <w:next w:val="Normal"/>
    <w:qFormat/>
    <w:pPr>
      <w:keepNext/>
      <w:spacing w:after="300"/>
    </w:pPr>
    <w:rPr>
      <w:rFonts w:ascii="Carlito" w:cs="Carlito" w:eastAsia="Carlito" w:hAnsi="Carlito"/>
      <w:color w:val="596B72"/>
      <w:sz w:val="24"/>
      <w:szCs w:val="24"/>
    </w:rPr>
  </w:style>
  <w:style w:type="paragraph" w:styleId="Heading1">
    <w:name w:val="Heading 1"/>
    <w:basedOn w:val="Normal"/>
    <w:next w:val="Normal"/>
    <w:qFormat/>
    <w:pPr>
      <w:keepNext/>
      <w:pBdr>
        <w:bottom w:val="single" w:color="0B5C4A" w:sz="10" w:space="5"/>
      </w:pBdr>
      <w:spacing w:before="300" w:after="120"/>
      <w:outlineLvl w:val="0"/>
    </w:pPr>
    <w:rPr>
      <w:rFonts w:ascii="Caladea" w:cs="Caladea" w:eastAsia="Caladea" w:hAnsi="Caladea"/>
      <w:b/>
      <w:bCs/>
      <w:color w:val="183047"/>
      <w:sz w:val="32"/>
      <w:szCs w:val="32"/>
    </w:rPr>
  </w:style>
  <w:style w:type="paragraph" w:styleId="Heading2">
    <w:name w:val="Heading 2"/>
    <w:basedOn w:val="Normal"/>
    <w:next w:val="Normal"/>
    <w:qFormat/>
    <w:pPr>
      <w:keepNext/>
      <w:spacing w:before="240" w:after="100"/>
      <w:outlineLvl w:val="1"/>
    </w:pPr>
    <w:rPr>
      <w:rFonts w:ascii="Caladea" w:cs="Caladea" w:eastAsia="Caladea" w:hAnsi="Caladea"/>
      <w:b/>
      <w:bCs/>
      <w:color w:val="0B5C4A"/>
      <w:sz w:val="27"/>
      <w:szCs w:val="27"/>
    </w:rPr>
  </w:style>
  <w:style w:type="paragraph" w:styleId="Heading3">
    <w:name w:val="Heading 3"/>
    <w:basedOn w:val="Normal"/>
    <w:next w:val="Normal"/>
    <w:qFormat/>
    <w:pPr>
      <w:keepNext/>
      <w:spacing w:before="180" w:after="80"/>
      <w:outlineLvl w:val="2"/>
    </w:pPr>
    <w:rPr>
      <w:rFonts w:ascii="Carlito" w:cs="Carlito" w:eastAsia="Carlito" w:hAnsi="Carlito"/>
      <w:b/>
      <w:bCs/>
      <w:color w:val="183047"/>
      <w:sz w:val="23"/>
      <w:szCs w:val="23"/>
    </w:rPr>
  </w:style>
  <w:style w:type="paragraph" w:styleId="Kicker">
    <w:name w:val="Kicker"/>
    <w:basedOn w:val="Normal"/>
    <w:next w:val="Title"/>
    <w:qFormat/>
    <w:pPr>
      <w:keepNext/>
      <w:spacing w:after="90"/>
    </w:pPr>
    <w:rPr>
      <w:rFonts w:ascii="Carlito" w:cs="Carlito" w:eastAsia="Carlito" w:hAnsi="Carlito"/>
      <w:b/>
      <w:bCs/>
      <w:caps/>
      <w:color w:val="0B5C4A"/>
      <w:sz w:val="18"/>
      <w:szCs w:val="18"/>
    </w:rPr>
  </w:style>
  <w:style w:type="paragraph" w:styleId="Body">
    <w:name w:val="Body"/>
    <w:basedOn w:val="Normal"/>
    <w:next w:val="Body"/>
    <w:qFormat/>
    <w:pPr>
      <w:widowControl/>
      <w:spacing w:after="120" w:line="276"/>
    </w:pPr>
    <w:rPr>
      <w:rFonts w:ascii="Carlito" w:cs="Carlito" w:eastAsia="Carlito" w:hAnsi="Carlito"/>
      <w:color w:val="183047"/>
      <w:sz w:val="21"/>
      <w:szCs w:val="21"/>
    </w:rPr>
  </w:style>
  <w:style w:type="paragraph" w:styleId="Small">
    <w:name w:val="Small Text"/>
    <w:basedOn w:val="Normal"/>
    <w:next w:val="Small"/>
    <w:pPr>
      <w:spacing w:after="80" w:line="240"/>
    </w:pPr>
    <w:rPr>
      <w:rFonts w:ascii="Carlito" w:cs="Carlito" w:eastAsia="Carlito" w:hAnsi="Carlito"/>
      <w:color w:val="596B72"/>
      <w:sz w:val="18"/>
      <w:szCs w:val="18"/>
    </w:rPr>
  </w:style>
  <w:style w:type="paragraph" w:styleId="Caption">
    <w:name w:val="Figure Caption"/>
    <w:basedOn w:val="Normal"/>
    <w:next w:val="Normal"/>
    <w:qFormat/>
    <w:pPr>
      <w:keepNext/>
      <w:spacing w:before="70" w:after="150"/>
    </w:pPr>
    <w:rPr>
      <w:rFonts w:ascii="Carlito" w:cs="Carlito" w:eastAsia="Carlito" w:hAnsi="Carlito"/>
      <w:i/>
      <w:iCs/>
      <w:color w:val="596B72"/>
      <w:sz w:val="18"/>
      <w:szCs w:val="18"/>
    </w:rPr>
  </w:style>
  <w:style w:type="paragraph" w:styleId="TableHeader">
    <w:name w:val="Table Header"/>
    <w:basedOn w:val="Normal"/>
    <w:next w:val="TableText"/>
    <w:pPr>
      <w:keepNext/>
      <w:spacing w:before="0" w:after="0"/>
    </w:pPr>
    <w:rPr>
      <w:rFonts w:ascii="Carlito" w:cs="Carlito" w:eastAsia="Carlito" w:hAnsi="Carlito"/>
      <w:b/>
      <w:bCs/>
      <w:color w:val="FFFFFF"/>
      <w:sz w:val="18"/>
      <w:szCs w:val="18"/>
    </w:rPr>
  </w:style>
  <w:style w:type="paragraph" w:styleId="TableText">
    <w:name w:val="Table Text"/>
    <w:basedOn w:val="Normal"/>
    <w:next w:val="TableText"/>
    <w:pPr>
      <w:widowControl/>
      <w:spacing w:before="0" w:after="0" w:line="220"/>
    </w:pPr>
    <w:rPr>
      <w:rFonts w:ascii="Carlito" w:cs="Carlito" w:eastAsia="Carlito" w:hAnsi="Carlito"/>
      <w:color w:val="183047"/>
      <w:sz w:val="18"/>
      <w:szCs w:val="18"/>
    </w:rPr>
  </w:style>
  <w:style w:type="paragraph" w:styleId="Callout">
    <w:name w:val="Decision Callout"/>
    <w:basedOn w:val="Normal"/>
    <w:next w:val="Normal"/>
    <w:qFormat/>
    <w:pPr>
      <w:keepNext/>
      <w:pBdr>
        <w:left w:val="single" w:color="0B5C4A" w:sz="22" w:space="8"/>
      </w:pBdr>
      <w:shd w:fill="E7DCC9" w:val="clear"/>
      <w:spacing w:before="120" w:after="180" w:line="276"/>
      <w:ind w:left="180" w:right="120"/>
    </w:pPr>
    <w:rPr>
      <w:rFonts w:ascii="Carlito" w:cs="Carlito" w:eastAsia="Carlito" w:hAnsi="Carlito"/>
      <w:b/>
      <w:bCs/>
      <w:color w:val="1830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Caladea.odttf"/><Relationship Id="rId2" Type="http://schemas.openxmlformats.org/officeDocument/2006/relationships/font" Target="fonts/Carlito.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Sales Ramp Certification Standard</dc:title>
  <dc:subject>Controlled ramp standard for July 2026 group-sales representatives</dc:subject>
  <dc:creator>HarborBridge Group Sales Enablement</dc:creator>
  <cp:keywords>group sales, ramp, certification, readiness, approval</cp:keywords>
  <dc:description>Competency, exception, and handoff standard for new representative readiness.</dc:description>
  <cp:lastModifiedBy>HarborBridge Group Sales Enablement</cp:lastModifiedBy>
  <cp:revision>1</cp:revision>
  <dcterms:created xsi:type="dcterms:W3CDTF">2026-07-17T16:58:05.015Z</dcterms:created>
  <dcterms:modified xsi:type="dcterms:W3CDTF">2026-07-17T16:58:05.016Z</dcterms:modified>
</cp:coreProperties>
</file>

<file path=docProps/custom.xml><?xml version="1.0" encoding="utf-8"?>
<Properties xmlns="http://schemas.openxmlformats.org/officeDocument/2006/custom-properties" xmlns:vt="http://schemas.openxmlformats.org/officeDocument/2006/docPropsVTypes"/>
</file>