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t xml:space="preserve">APPROVAL-READY WORKING PACKAGE</w:t>
      </w:r>
    </w:p>
    <w:p>
      <w:pPr>
        <w:pStyle w:val="Title"/>
      </w:pPr>
      <w:r>
        <w:t xml:space="preserve">Group Sales Ramp Readiness Playbook</w:t>
      </w:r>
    </w:p>
    <w:p>
      <w:pPr>
        <w:pStyle w:val="Subtitle"/>
      </w:pPr>
      <w:r>
        <w:t xml:space="preserve">July 2026 cohort | HB-RAMP-2026-07 pending desk manager review</w:t>
      </w:r>
    </w:p>
    <w:p>
      <w:pPr>
        <w:pBdr>
          <w:bottom w:val="single" w:color="0B5C4A" w:sz="18" w:space="1"/>
        </w:pBdr>
        <w:spacing w:after="260"/>
      </w:pPr>
    </w:p>
    <w:p>
      <w:pPr>
        <w:pStyle w:val="Callout"/>
      </w:pPr>
      <w:r>
        <w:t xml:space="preserve">This playbook is staged for review. It does not approve independent customer coverage for any representative.</w:t>
      </w:r>
    </w:p>
    <w:tbl>
      <w:tblPr>
        <w:tblW w:type="dxa" w:w="10080"/>
        <w:tblBorders>
          <w:top w:val="single" w:color="C2A052" w:sz="4"/>
          <w:left w:val="single" w:color="C2A052" w:sz="4"/>
          <w:bottom w:val="single" w:color="C2A052" w:sz="4"/>
          <w:right w:val="single" w:color="C2A052" w:sz="4"/>
          <w:insideH w:val="single" w:color="C2A052" w:sz="4"/>
          <w:insideV w:val="single" w:color="C2A052" w:sz="4"/>
        </w:tblBorders>
        <w:tblLayout w:type="fixed"/>
        <w:tblCellMar>
          <w:top w:type="dxa" w:w="95"/>
          <w:left w:type="dxa" w:w="130"/>
          <w:bottom w:type="dxa" w:w="95"/>
          <w:right w:type="dxa" w:w="130"/>
        </w:tblCellMar>
      </w:tblPr>
      <w:tblGrid>
        <w:gridCol w:w="2500"/>
        <w:gridCol w:w="7580"/>
      </w:tblGrid>
      <w:tr>
        <w:trPr>
          <w:cantSplit/>
          <w:tblHeader/>
        </w:trPr>
        <w:tc>
          <w:tcPr>
            <w:tcW w:type="dxa" w:w="2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Package Field</w:t>
            </w:r>
          </w:p>
        </w:tc>
        <w:tc>
          <w:tcPr>
            <w:tcW w:type="dxa" w:w="7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Package Value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Owner</w:t>
            </w:r>
          </w:p>
        </w:tc>
        <w:tc>
          <w:tcPr>
            <w:tcW w:type="dxa" w:w="7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Alicia Benton, frontline group-sales supervisor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Approval request</w:t>
            </w:r>
          </w:p>
        </w:tc>
        <w:tc>
          <w:tcPr>
            <w:tcW w:type="dxa" w:w="7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HB-RAMP-2026-07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Source refresh</w:t>
            </w:r>
          </w:p>
        </w:tc>
        <w:tc>
          <w:tcPr>
            <w:tcW w:type="dxa" w:w="7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Evidence and account exports through 2026-07-15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Decision state</w:t>
            </w:r>
          </w:p>
        </w:tc>
        <w:tc>
          <w:tcPr>
            <w:tcW w:type="dxa" w:w="7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Approval-ready request; desk manager decision pending</w:t>
            </w:r>
          </w:p>
        </w:tc>
      </w:tr>
    </w:tbl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Operating Scope</w:t>
      </w:r>
    </w:p>
    <w:p>
      <w:pPr>
        <w:pStyle w:val="Body"/>
      </w:pPr>
      <w:r>
        <w:t xml:space="preserve">The playbook governs the July cohort before independent customer coverage. It carries ready, limited-exception, remediation, pending-evidence, and blocked representatives in one control population so the desk can stage actions without executing them prematurely.</w:t>
      </w:r>
    </w:p>
    <w:p>
      <w:pPr>
        <w:pStyle w:val="Heading1"/>
      </w:pPr>
      <w:r>
        <w:t xml:space="preserve">Entry Criteria and Decision Logic</w:t>
      </w:r>
    </w:p>
    <w:tbl>
      <w:tblPr>
        <w:tblW w:type="dxa" w:w="10080"/>
        <w:tblBorders>
          <w:top w:val="single" w:color="C2A052" w:sz="4"/>
          <w:left w:val="single" w:color="C2A052" w:sz="4"/>
          <w:bottom w:val="single" w:color="C2A052" w:sz="4"/>
          <w:right w:val="single" w:color="C2A052" w:sz="4"/>
          <w:insideH w:val="single" w:color="C2A052" w:sz="4"/>
          <w:insideV w:val="single" w:color="C2A052" w:sz="4"/>
        </w:tblBorders>
        <w:tblLayout w:type="fixed"/>
        <w:tblCellMar>
          <w:top w:type="dxa" w:w="65"/>
          <w:left w:type="dxa" w:w="95"/>
          <w:bottom w:type="dxa" w:w="65"/>
          <w:right w:type="dxa" w:w="95"/>
        </w:tblCellMar>
      </w:tblPr>
      <w:tblGrid>
        <w:gridCol w:w="2650"/>
        <w:gridCol w:w="4300"/>
        <w:gridCol w:w="3130"/>
      </w:tblGrid>
      <w:tr>
        <w:trPr>
          <w:cantSplit/>
          <w:tblHeader/>
        </w:trPr>
        <w:tc>
          <w:tcPr>
            <w:tcW w:type="dxa" w:w="26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Readiness Status</w:t>
            </w:r>
          </w:p>
        </w:tc>
        <w:tc>
          <w:tcPr>
            <w:tcW w:type="dxa" w:w="4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Condition</w:t>
            </w:r>
          </w:p>
        </w:tc>
        <w:tc>
          <w:tcPr>
            <w:tcW w:type="dxa" w:w="313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Coverage Rule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Ready - pending manager</w:t>
            </w:r>
          </w:p>
        </w:tc>
        <w:tc>
          <w:tcPr>
            <w:tcW w:type="dxa" w:w="4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All seven competencies complete</w:t>
            </w:r>
          </w:p>
        </w:tc>
        <w:tc>
          <w:tcPr>
            <w:tcW w:type="dxa" w:w="313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Stage handoff, do not execute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Limited exception - staged supervised</w:t>
            </w:r>
          </w:p>
        </w:tc>
        <w:tc>
          <w:tcPr>
            <w:tcW w:type="dxa" w:w="4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Approved exception but GS-C07 remains open</w:t>
            </w:r>
          </w:p>
        </w:tc>
        <w:tc>
          <w:tcPr>
            <w:tcW w:type="dxa" w:w="313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Low-risk supervised affinity only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Remediation required</w:t>
            </w:r>
          </w:p>
        </w:tc>
        <w:tc>
          <w:tcPr>
            <w:tcW w:type="dxa" w:w="4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Failed assessment or audit</w:t>
            </w:r>
          </w:p>
        </w:tc>
        <w:tc>
          <w:tcPr>
            <w:tcW w:type="dxa" w:w="313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Temporary owner retains account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Pending evidence</w:t>
            </w:r>
          </w:p>
        </w:tc>
        <w:tc>
          <w:tcPr>
            <w:tcW w:type="dxa" w:w="4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Observation or panel scheduled</w:t>
            </w:r>
          </w:p>
        </w:tc>
        <w:tc>
          <w:tcPr>
            <w:tcW w:type="dxa" w:w="313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Temporary owner retains account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Blocked - unresolved exception</w:t>
            </w:r>
          </w:p>
        </w:tc>
        <w:tc>
          <w:tcPr>
            <w:tcW w:type="dxa" w:w="4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Licensing or compliance hold</w:t>
            </w:r>
          </w:p>
        </w:tc>
        <w:tc>
          <w:tcPr>
            <w:tcW w:type="dxa" w:w="313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Supervisor escalation only</w:t>
            </w:r>
          </w:p>
        </w:tc>
      </w:tr>
    </w:tbl>
    <w:p>
      <w:pPr>
        <w:pStyle w:val="Heading1"/>
      </w:pPr>
      <w:r>
        <w:t xml:space="preserve">RACI and Handoff Ownership</w:t>
      </w:r>
    </w:p>
    <w:tbl>
      <w:tblPr>
        <w:tblW w:type="dxa" w:w="10080"/>
        <w:tblBorders>
          <w:top w:val="single" w:color="C2A052" w:sz="4"/>
          <w:left w:val="single" w:color="C2A052" w:sz="4"/>
          <w:bottom w:val="single" w:color="C2A052" w:sz="4"/>
          <w:right w:val="single" w:color="C2A052" w:sz="4"/>
          <w:insideH w:val="single" w:color="C2A052" w:sz="4"/>
          <w:insideV w:val="single" w:color="C2A052" w:sz="4"/>
        </w:tblBorders>
        <w:tblLayout w:type="fixed"/>
        <w:tblCellMar>
          <w:top w:type="dxa" w:w="65"/>
          <w:left w:type="dxa" w:w="95"/>
          <w:bottom w:type="dxa" w:w="65"/>
          <w:right w:type="dxa" w:w="95"/>
        </w:tblCellMar>
      </w:tblPr>
      <w:tblGrid>
        <w:gridCol w:w="2300"/>
        <w:gridCol w:w="1500"/>
        <w:gridCol w:w="1700"/>
        <w:gridCol w:w="1700"/>
        <w:gridCol w:w="1500"/>
        <w:gridCol w:w="1380"/>
      </w:tblGrid>
      <w:tr>
        <w:trPr>
          <w:cantSplit/>
          <w:tblHeader/>
        </w:trPr>
        <w:tc>
          <w:tcPr>
            <w:tcW w:type="dxa" w:w="2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Work</w:t>
            </w:r>
          </w:p>
        </w:tc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Trainer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Supervisor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Desk Manager</w:t>
            </w:r>
          </w:p>
        </w:tc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Compliance</w:t>
            </w:r>
          </w:p>
        </w:tc>
        <w:tc>
          <w:tcPr>
            <w:tcW w:type="dxa" w:w="13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Coverage Owner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Close scheduled evidence gaps</w:t>
            </w:r>
          </w:p>
        </w:tc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I</w:t>
            </w:r>
          </w:p>
        </w:tc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</w:t>
            </w:r>
          </w:p>
        </w:tc>
        <w:tc>
          <w:tcPr>
            <w:tcW w:type="dxa" w:w="13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Maintain exception owners and due dates</w:t>
            </w:r>
          </w:p>
        </w:tc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R/A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I</w:t>
            </w:r>
          </w:p>
        </w:tc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 for compliance</w:t>
            </w:r>
          </w:p>
        </w:tc>
        <w:tc>
          <w:tcPr>
            <w:tcW w:type="dxa" w:w="13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Stage account handoffs</w:t>
            </w:r>
          </w:p>
        </w:tc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I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 pending</w:t>
            </w:r>
          </w:p>
        </w:tc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</w:t>
            </w:r>
          </w:p>
        </w:tc>
        <w:tc>
          <w:tcPr>
            <w:tcW w:type="dxa" w:w="13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Approve independent coverage</w:t>
            </w:r>
          </w:p>
        </w:tc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I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</w:t>
            </w:r>
          </w:p>
        </w:tc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</w:t>
            </w:r>
          </w:p>
        </w:tc>
        <w:tc>
          <w:tcPr>
            <w:tcW w:type="dxa" w:w="13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</w:t>
            </w:r>
          </w:p>
        </w:tc>
      </w:tr>
    </w:tbl>
    <w:p>
      <w:pPr>
        <w:pStyle w:val="Heading1"/>
      </w:pPr>
      <w:r>
        <w:t xml:space="preserve">Readiness Process Flow</w:t>
      </w:r>
    </w:p>
    <w:p>
      <w:pPr>
        <w:pStyle w:val="Body"/>
      </w:pPr>
      <w:r>
        <w:t xml:space="preserve">Figure 1 summarizes the handoff path used for this pending package.</w:t>
      </w:r>
    </w:p>
    <w:p>
      <w:pPr>
        <w:keepNext/>
        <w:keepLines/>
        <w:spacing w:before="120" w:after="20"/>
        <w:jc w:val="center"/>
      </w:pPr>
      <w:r>
        <w:rPr>
          <w:b/>
          <w:bCs/>
          <w:sz w:val="24"/>
          <w:szCs w:val="24"/>
        </w:rPr>
        <w:t xml:space="preserve">Readiness Evidence Gate and Handoff Flow</w:t>
      </w:r>
    </w:p>
    <w:p>
      <w:pPr>
        <w:pStyle w:val="Small"/>
        <w:keepNext/>
        <w:keepLines/>
        <w:spacing w:after="80"/>
        <w:jc w:val="center"/>
      </w:pPr>
      <w:r>
        <w:t xml:space="preserve">July cohort actions stay staged until desk manager approval</w:t>
      </w:r>
    </w:p>
    <w:tbl>
      <w:tblPr>
        <w:tblW w:type="dxa" w:w="10080"/>
        <w:tblBorders>
          <w:top w:val="single" w:color="C2A052" w:sz="4"/>
          <w:left w:val="single" w:color="C2A052" w:sz="4"/>
          <w:bottom w:val="single" w:color="C2A052" w:sz="4"/>
          <w:right w:val="single" w:color="C2A052" w:sz="4"/>
          <w:insideH w:val="single" w:color="C2A052" w:sz="4"/>
          <w:insideV w:val="single" w:color="C2A052" w:sz="4"/>
        </w:tblBorders>
        <w:tblLayout w:type="fixed"/>
        <w:tblCellMar>
          <w:top w:type="dxa" w:w="65"/>
          <w:left w:type="dxa" w:w="95"/>
          <w:bottom w:type="dxa" w:w="65"/>
          <w:right w:type="dxa" w:w="95"/>
        </w:tblCellMar>
      </w:tblPr>
      <w:tblGrid>
        <w:gridCol w:w="1380"/>
        <w:gridCol w:w="3180"/>
        <w:gridCol w:w="2300"/>
        <w:gridCol w:w="1800"/>
        <w:gridCol w:w="1420"/>
      </w:tblGrid>
      <w:tr>
        <w:trPr>
          <w:cantSplit/>
          <w:tblHeader/>
        </w:trPr>
        <w:tc>
          <w:tcPr>
            <w:tcW w:type="dxa" w:w="13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Swimlane</w:t>
            </w:r>
          </w:p>
        </w:tc>
        <w:tc>
          <w:tcPr>
            <w:tcW w:type="dxa" w:w="31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Native Process Path</w:t>
            </w:r>
          </w:p>
        </w:tc>
        <w:tc>
          <w:tcPr>
            <w:tcW w:type="dxa" w:w="2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Decision Owner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Exception Branch</w:t>
            </w:r>
          </w:p>
        </w:tc>
        <w:tc>
          <w:tcPr>
            <w:tcW w:type="dxa" w:w="142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Coverage Rule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Ready path</w:t>
            </w:r>
          </w:p>
        </w:tc>
        <w:tc>
          <w:tcPr>
            <w:tcW w:type="dxa" w:w="31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Intake -&gt; scheduled curriculum -&gt; supervised practice -&gt; GS-C01 through GS-C07 complete</w:t>
            </w:r>
          </w:p>
        </w:tc>
        <w:tc>
          <w:tcPr>
            <w:tcW w:type="dxa" w:w="2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Supervisor recommends readiness; desk manager decision remains pending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No exception branch needed</w:t>
            </w:r>
          </w:p>
        </w:tc>
        <w:tc>
          <w:tcPr>
            <w:tcW w:type="dxa" w:w="142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Eligible handoff is staged only after approval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Remediation</w:t>
            </w:r>
          </w:p>
        </w:tc>
        <w:tc>
          <w:tcPr>
            <w:tcW w:type="dxa" w:w="31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Register shows failed assessment, CRM gap, or open panel evidence</w:t>
            </w:r>
          </w:p>
        </w:tc>
        <w:tc>
          <w:tcPr>
            <w:tcW w:type="dxa" w:w="2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Trainer or supervisor owns next action and due date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Remediation or retest returns to evidence gate</w:t>
            </w:r>
          </w:p>
        </w:tc>
        <w:tc>
          <w:tcPr>
            <w:tcW w:type="dxa" w:w="142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Temporary owner retains customer action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Limited exception</w:t>
            </w:r>
          </w:p>
        </w:tc>
        <w:tc>
          <w:tcPr>
            <w:tcW w:type="dxa" w:w="31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REP-2702 has approved limited exception while GS-C07 live observation remains open</w:t>
            </w:r>
          </w:p>
        </w:tc>
        <w:tc>
          <w:tcPr>
            <w:tcW w:type="dxa" w:w="2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Supervisor keeps senior review through 2026-07-20 observation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Approved exception permits supervised low-risk affinity coverage only</w:t>
            </w:r>
          </w:p>
        </w:tc>
        <w:tc>
          <w:tcPr>
            <w:tcW w:type="dxa" w:w="142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No independent coverage</w:t>
            </w:r>
          </w:p>
        </w:tc>
      </w:tr>
      <w:tr>
        <w:trPr>
          <w:cantSplit/>
        </w:trPr>
        <w:tc>
          <w:tcPr>
            <w:tcW w:type="dxa" w:w="13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Blocked</w:t>
            </w:r>
          </w:p>
        </w:tc>
        <w:tc>
          <w:tcPr>
            <w:tcW w:type="dxa" w:w="31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Licensing or compliance hold blocks readiness</w:t>
            </w:r>
          </w:p>
        </w:tc>
        <w:tc>
          <w:tcPr>
            <w:tcW w:type="dxa" w:w="2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Compliance owner clears blocker before recommendation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Blocked path remains unresolved until clearance</w:t>
            </w:r>
          </w:p>
        </w:tc>
        <w:tc>
          <w:tcPr>
            <w:tcW w:type="dxa" w:w="142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Supervisor escalation only</w:t>
            </w:r>
          </w:p>
        </w:tc>
      </w:tr>
    </w:tbl>
    <w:p>
      <w:pPr>
        <w:pStyle w:val="Caption"/>
        <w:keepNext/>
        <w:keepLines/>
        <w:jc w:val="center"/>
      </w:pPr>
      <w:r>
        <w:t xml:space="preserve">Figure 1. Readiness evidence gate, exception, and temporary coverage flow for HB-RAMP-2026-07.</w:t>
      </w:r>
    </w:p>
    <w:p>
      <w:pPr>
        <w:pStyle w:val="Small"/>
        <w:keepLines/>
        <w:spacing w:after="180"/>
        <w:jc w:val="center"/>
      </w:pPr>
      <w:r>
        <w:t xml:space="preserve">Source: ramp standard, certification evidence register, schedule exceptions, and pending approval thread.</w:t>
      </w:r>
    </w:p>
    <w:tbl>
      <w:tblPr>
        <w:tblW w:type="dxa" w:w="10080"/>
        <w:tblBorders>
          <w:top w:val="single" w:color="C2A052" w:sz="4"/>
          <w:left w:val="single" w:color="C2A052" w:sz="4"/>
          <w:bottom w:val="single" w:color="C2A052" w:sz="4"/>
          <w:right w:val="single" w:color="C2A052" w:sz="4"/>
          <w:insideH w:val="single" w:color="C2A052" w:sz="4"/>
          <w:insideV w:val="single" w:color="C2A052" w:sz="4"/>
        </w:tblBorders>
        <w:tblLayout w:type="fixed"/>
        <w:tblCellMar>
          <w:top w:type="dxa" w:w="65"/>
          <w:left w:type="dxa" w:w="95"/>
          <w:bottom w:type="dxa" w:w="65"/>
          <w:right w:type="dxa" w:w="95"/>
        </w:tblCellMar>
      </w:tblPr>
      <w:tblGrid>
        <w:gridCol w:w="1500"/>
        <w:gridCol w:w="2200"/>
        <w:gridCol w:w="2400"/>
        <w:gridCol w:w="2400"/>
        <w:gridCol w:w="1580"/>
      </w:tblGrid>
      <w:tr>
        <w:trPr>
          <w:cantSplit/>
          <w:tblHeader/>
        </w:trPr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Lane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Evidence Gate</w:t>
            </w:r>
          </w:p>
        </w:tc>
        <w:tc>
          <w:tcPr>
            <w:tcW w:type="dxa" w:w="24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Decision Branch</w:t>
            </w:r>
          </w:p>
        </w:tc>
        <w:tc>
          <w:tcPr>
            <w:tcW w:type="dxa" w:w="24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Coverage Action</w:t>
            </w:r>
          </w:p>
        </w:tc>
        <w:tc>
          <w:tcPr>
            <w:tcW w:type="dxa" w:w="1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Approval State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Ready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GS-C01 through GS-C07 complete</w:t>
            </w:r>
          </w:p>
        </w:tc>
        <w:tc>
          <w:tcPr>
            <w:tcW w:type="dxa" w:w="24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Supervisor recommends readiness</w:t>
            </w:r>
          </w:p>
        </w:tc>
        <w:tc>
          <w:tcPr>
            <w:tcW w:type="dxa" w:w="24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Eligible handoff staged after manager approval</w:t>
            </w:r>
          </w:p>
        </w:tc>
        <w:tc>
          <w:tcPr>
            <w:tcW w:type="dxa" w:w="1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Limited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Approved exception exists</w:t>
            </w:r>
          </w:p>
        </w:tc>
        <w:tc>
          <w:tcPr>
            <w:tcW w:type="dxa" w:w="24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Only limited supervised path allowed</w:t>
            </w:r>
          </w:p>
        </w:tc>
        <w:tc>
          <w:tcPr>
            <w:tcW w:type="dxa" w:w="24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Low-risk affinity coverage with senior review</w:t>
            </w:r>
          </w:p>
        </w:tc>
        <w:tc>
          <w:tcPr>
            <w:tcW w:type="dxa" w:w="1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Approved exception, not independent approval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Remediation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Failed assessment or CRM audit</w:t>
            </w:r>
          </w:p>
        </w:tc>
        <w:tc>
          <w:tcPr>
            <w:tcW w:type="dxa" w:w="24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Schedule module or retest</w:t>
            </w:r>
          </w:p>
        </w:tc>
        <w:tc>
          <w:tcPr>
            <w:tcW w:type="dxa" w:w="24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Temporary owner keeps customer action</w:t>
            </w:r>
          </w:p>
        </w:tc>
        <w:tc>
          <w:tcPr>
            <w:tcW w:type="dxa" w:w="1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Pending evidence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Blocked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Licensing or compliance unresolved</w:t>
            </w:r>
          </w:p>
        </w:tc>
        <w:tc>
          <w:tcPr>
            <w:tcW w:type="dxa" w:w="24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Compliance owner clears blocker</w:t>
            </w:r>
          </w:p>
        </w:tc>
        <w:tc>
          <w:tcPr>
            <w:tcW w:type="dxa" w:w="24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Supervisor escalation for accounts</w:t>
            </w:r>
          </w:p>
        </w:tc>
        <w:tc>
          <w:tcPr>
            <w:tcW w:type="dxa" w:w="1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Unresolved</w:t>
            </w:r>
          </w:p>
        </w:tc>
      </w:tr>
    </w:tbl>
    <w:p>
      <w:pPr>
        <w:pStyle w:val="Caption"/>
        <w:jc w:val="center"/>
      </w:pPr>
      <w:r>
        <w:t xml:space="preserve">Table 4. Editable lane detail for the readiness process-flow diagram.</w:t>
      </w:r>
    </w:p>
    <w:p>
      <w:pPr>
        <w:pStyle w:val="Heading1"/>
      </w:pPr>
      <w:r>
        <w:t xml:space="preserve">Representative Ramp Plan Appendix</w:t>
      </w:r>
    </w:p>
    <w:tbl>
      <w:tblPr>
        <w:tblW w:type="dxa" w:w="10080"/>
        <w:tblBorders>
          <w:top w:val="single" w:color="C2A052" w:sz="4"/>
          <w:left w:val="single" w:color="C2A052" w:sz="4"/>
          <w:bottom w:val="single" w:color="C2A052" w:sz="4"/>
          <w:right w:val="single" w:color="C2A052" w:sz="4"/>
          <w:insideH w:val="single" w:color="C2A052" w:sz="4"/>
          <w:insideV w:val="single" w:color="C2A052" w:sz="4"/>
        </w:tblBorders>
        <w:tblLayout w:type="fixed"/>
        <w:tblCellMar>
          <w:top w:type="dxa" w:w="65"/>
          <w:left w:type="dxa" w:w="95"/>
          <w:bottom w:type="dxa" w:w="65"/>
          <w:right w:type="dxa" w:w="95"/>
        </w:tblCellMar>
      </w:tblPr>
      <w:tblGrid>
        <w:gridCol w:w="1000"/>
        <w:gridCol w:w="1780"/>
        <w:gridCol w:w="1200"/>
        <w:gridCol w:w="1300"/>
        <w:gridCol w:w="2200"/>
        <w:gridCol w:w="2600"/>
      </w:tblGrid>
      <w:tr>
        <w:trPr>
          <w:cantSplit/>
          <w:tblHeader/>
        </w:trPr>
        <w:tc>
          <w:tcPr>
            <w:tcW w:type="dxa" w:w="10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Rep ID</w:t>
            </w:r>
          </w:p>
        </w:tc>
        <w:tc>
          <w:tcPr>
            <w:tcW w:type="dxa" w:w="17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Representative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Target Cert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Readiness</w:t>
            </w:r>
          </w:p>
        </w:tc>
        <w:tc>
          <w:tcPr>
            <w:tcW w:type="dxa" w:w="26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Next Action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REP-2701</w:t>
            </w:r>
          </w:p>
        </w:tc>
        <w:tc>
          <w:tcPr>
            <w:tcW w:type="dxa" w:w="17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Maya Chen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Corporate</w:t>
            </w:r>
          </w:p>
        </w:tc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2026-07-18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Ready - pending manager</w:t>
            </w:r>
          </w:p>
        </w:tc>
        <w:tc>
          <w:tcPr>
            <w:tcW w:type="dxa" w:w="26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Submit as ready pending manager review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REP-2702</w:t>
            </w:r>
          </w:p>
        </w:tc>
        <w:tc>
          <w:tcPr>
            <w:tcW w:type="dxa" w:w="17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Jordan Patel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Affinity</w:t>
            </w:r>
          </w:p>
        </w:tc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2026-07-18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Limited exception - staged supervised</w:t>
            </w:r>
          </w:p>
        </w:tc>
        <w:tc>
          <w:tcPr>
            <w:tcW w:type="dxa" w:w="26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Approved limited-coverage exception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REP-2703</w:t>
            </w:r>
          </w:p>
        </w:tc>
        <w:tc>
          <w:tcPr>
            <w:tcW w:type="dxa" w:w="17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Sofia Ramirez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Education</w:t>
            </w:r>
          </w:p>
        </w:tc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2026-07-19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Remediation required</w:t>
            </w:r>
          </w:p>
        </w:tc>
        <w:tc>
          <w:tcPr>
            <w:tcW w:type="dxa" w:w="26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Contract terms remediation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REP-2704</w:t>
            </w:r>
          </w:p>
        </w:tc>
        <w:tc>
          <w:tcPr>
            <w:tcW w:type="dxa" w:w="17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Ethan Brooks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Meetings</w:t>
            </w:r>
          </w:p>
        </w:tc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2026-07-19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Blocked - unresolved exception</w:t>
            </w:r>
          </w:p>
        </w:tc>
        <w:tc>
          <w:tcPr>
            <w:tcW w:type="dxa" w:w="26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State seller-of-travel licensing hold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REP-2705</w:t>
            </w:r>
          </w:p>
        </w:tc>
        <w:tc>
          <w:tcPr>
            <w:tcW w:type="dxa" w:w="17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Priya Nair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Corporate</w:t>
            </w:r>
          </w:p>
        </w:tc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2026-07-20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Remediation required</w:t>
            </w:r>
          </w:p>
        </w:tc>
        <w:tc>
          <w:tcPr>
            <w:tcW w:type="dxa" w:w="26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CRM audit remediation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REP-2706</w:t>
            </w:r>
          </w:p>
        </w:tc>
        <w:tc>
          <w:tcPr>
            <w:tcW w:type="dxa" w:w="17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Liam O'Neill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Affinity</w:t>
            </w:r>
          </w:p>
        </w:tc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2026-07-20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Pending evidence</w:t>
            </w:r>
          </w:p>
        </w:tc>
        <w:tc>
          <w:tcPr>
            <w:tcW w:type="dxa" w:w="26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Missed live observation slot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REP-2707</w:t>
            </w:r>
          </w:p>
        </w:tc>
        <w:tc>
          <w:tcPr>
            <w:tcW w:type="dxa" w:w="17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Ava Thompson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Education</w:t>
            </w:r>
          </w:p>
        </w:tc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2026-07-18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Ready - pending manager</w:t>
            </w:r>
          </w:p>
        </w:tc>
        <w:tc>
          <w:tcPr>
            <w:tcW w:type="dxa" w:w="26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Submit as ready pending manager review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REP-2708</w:t>
            </w:r>
          </w:p>
        </w:tc>
        <w:tc>
          <w:tcPr>
            <w:tcW w:type="dxa" w:w="17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Noah Kim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Meetings</w:t>
            </w:r>
          </w:p>
        </w:tc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2026-07-19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Blocked - unresolved exception</w:t>
            </w:r>
          </w:p>
        </w:tc>
        <w:tc>
          <w:tcPr>
            <w:tcW w:type="dxa" w:w="26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Compliance disclosure miss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REP-2709</w:t>
            </w:r>
          </w:p>
        </w:tc>
        <w:tc>
          <w:tcPr>
            <w:tcW w:type="dxa" w:w="17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Isabella Reed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Corporate</w:t>
            </w:r>
          </w:p>
        </w:tc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2026-07-18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Pending evidence</w:t>
            </w:r>
          </w:p>
        </w:tc>
        <w:tc>
          <w:tcPr>
            <w:tcW w:type="dxa" w:w="26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Supervisor recommendation pending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REP-2710</w:t>
            </w:r>
          </w:p>
        </w:tc>
        <w:tc>
          <w:tcPr>
            <w:tcW w:type="dxa" w:w="17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Marcus Lee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Affinity</w:t>
            </w:r>
          </w:p>
        </w:tc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2026-07-18</w:t>
            </w:r>
          </w:p>
        </w:tc>
        <w:tc>
          <w:tcPr>
            <w:tcW w:type="dxa" w:w="2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Ready - pending manager</w:t>
            </w:r>
          </w:p>
        </w:tc>
        <w:tc>
          <w:tcPr>
            <w:tcW w:type="dxa" w:w="26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Quote remediation cleared 2026-07-14</w:t>
            </w:r>
          </w:p>
        </w:tc>
      </w:tr>
    </w:tbl>
    <w:p>
      <w:pPr>
        <w:pStyle w:val="Heading1"/>
      </w:pPr>
      <w:r>
        <w:t xml:space="preserve">Exception Escalation Paths</w:t>
      </w:r>
    </w:p>
    <w:tbl>
      <w:tblPr>
        <w:tblW w:type="dxa" w:w="10080"/>
        <w:tblBorders>
          <w:top w:val="single" w:color="C2A052" w:sz="4"/>
          <w:left w:val="single" w:color="C2A052" w:sz="4"/>
          <w:bottom w:val="single" w:color="C2A052" w:sz="4"/>
          <w:right w:val="single" w:color="C2A052" w:sz="4"/>
          <w:insideH w:val="single" w:color="C2A052" w:sz="4"/>
          <w:insideV w:val="single" w:color="C2A052" w:sz="4"/>
        </w:tblBorders>
        <w:tblLayout w:type="fixed"/>
        <w:tblCellMar>
          <w:top w:type="dxa" w:w="65"/>
          <w:left w:type="dxa" w:w="95"/>
          <w:bottom w:type="dxa" w:w="65"/>
          <w:right w:type="dxa" w:w="95"/>
        </w:tblCellMar>
      </w:tblPr>
      <w:tblGrid>
        <w:gridCol w:w="1300"/>
        <w:gridCol w:w="950"/>
        <w:gridCol w:w="1800"/>
        <w:gridCol w:w="1700"/>
        <w:gridCol w:w="1200"/>
        <w:gridCol w:w="1080"/>
        <w:gridCol w:w="2050"/>
      </w:tblGrid>
      <w:tr>
        <w:trPr>
          <w:cantSplit/>
          <w:tblHeader/>
        </w:trPr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Exception</w:t>
            </w:r>
          </w:p>
        </w:tc>
        <w:tc>
          <w:tcPr>
            <w:tcW w:type="dxa" w:w="9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Rep ID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Reason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0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Due</w:t>
            </w:r>
          </w:p>
        </w:tc>
        <w:tc>
          <w:tcPr>
            <w:tcW w:type="dxa" w:w="20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Next Action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EX-LIM-2702</w:t>
            </w:r>
          </w:p>
        </w:tc>
        <w:tc>
          <w:tcPr>
            <w:tcW w:type="dxa" w:w="9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REP-2702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Approved limited exception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Approved limited exception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SUP-411</w:t>
            </w:r>
          </w:p>
        </w:tc>
        <w:tc>
          <w:tcPr>
            <w:tcW w:type="dxa" w:w="10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2026-07-20</w:t>
            </w:r>
          </w:p>
        </w:tc>
        <w:tc>
          <w:tcPr>
            <w:tcW w:type="dxa" w:w="20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Keep Jordan on low-risk affinity renewals with senior rep review until live observation closes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EX-REM-2703</w:t>
            </w:r>
          </w:p>
        </w:tc>
        <w:tc>
          <w:tcPr>
            <w:tcW w:type="dxa" w:w="9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REP-2703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Failed contract terms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Remediation scheduled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TRN-503</w:t>
            </w:r>
          </w:p>
        </w:tc>
        <w:tc>
          <w:tcPr>
            <w:tcW w:type="dxa" w:w="10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2026-07-17</w:t>
            </w:r>
          </w:p>
        </w:tc>
        <w:tc>
          <w:tcPr>
            <w:tcW w:type="dxa" w:w="20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Complete M301 remediation and retest before live observation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EX-LIC-2704</w:t>
            </w:r>
          </w:p>
        </w:tc>
        <w:tc>
          <w:tcPr>
            <w:tcW w:type="dxa" w:w="9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REP-2704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Licensing hold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Unresolved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COM-201</w:t>
            </w:r>
          </w:p>
        </w:tc>
        <w:tc>
          <w:tcPr>
            <w:tcW w:type="dxa" w:w="10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2026-07-22</w:t>
            </w:r>
          </w:p>
        </w:tc>
        <w:tc>
          <w:tcPr>
            <w:tcW w:type="dxa" w:w="20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Compliance to confirm seller-of-travel license clearance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EX-CRM-2705</w:t>
            </w:r>
          </w:p>
        </w:tc>
        <w:tc>
          <w:tcPr>
            <w:tcW w:type="dxa" w:w="9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REP-2705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CRM hygiene gap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Remediation scheduled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TRN-503</w:t>
            </w:r>
          </w:p>
        </w:tc>
        <w:tc>
          <w:tcPr>
            <w:tcW w:type="dxa" w:w="10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2026-07-16</w:t>
            </w:r>
          </w:p>
        </w:tc>
        <w:tc>
          <w:tcPr>
            <w:tcW w:type="dxa" w:w="20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Rebuild CRM opportunity notes and pass audit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EX-LIVE-2706</w:t>
            </w:r>
          </w:p>
        </w:tc>
        <w:tc>
          <w:tcPr>
            <w:tcW w:type="dxa" w:w="9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REP-2706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Missed live observation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Pending evidence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TRN-505</w:t>
            </w:r>
          </w:p>
        </w:tc>
        <w:tc>
          <w:tcPr>
            <w:tcW w:type="dxa" w:w="10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2026-07-17</w:t>
            </w:r>
          </w:p>
        </w:tc>
        <w:tc>
          <w:tcPr>
            <w:tcW w:type="dxa" w:w="20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Complete live call observation before manager approval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EX-COMP-2708</w:t>
            </w:r>
          </w:p>
        </w:tc>
        <w:tc>
          <w:tcPr>
            <w:tcW w:type="dxa" w:w="9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REP-2708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Compliance disclosure miss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Unresolved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COM-201</w:t>
            </w:r>
          </w:p>
        </w:tc>
        <w:tc>
          <w:tcPr>
            <w:tcW w:type="dxa" w:w="10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2026-07-18</w:t>
            </w:r>
          </w:p>
        </w:tc>
        <w:tc>
          <w:tcPr>
            <w:tcW w:type="dxa" w:w="20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Pass disclosure retest and compliance review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EX-PANEL-2709</w:t>
            </w:r>
          </w:p>
        </w:tc>
        <w:tc>
          <w:tcPr>
            <w:tcW w:type="dxa" w:w="9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REP-2709</w:t>
            </w:r>
          </w:p>
        </w:tc>
        <w:tc>
          <w:tcPr>
            <w:tcW w:type="dxa" w:w="18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Supervisor panel pending</w:t>
            </w:r>
          </w:p>
        </w:tc>
        <w:tc>
          <w:tcPr>
            <w:tcW w:type="dxa" w:w="17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center"/>
            </w:pPr>
            <w:r>
              <w:rPr>
                <w:b/>
                <w:bCs/>
                <w:color w:val="0B5C4A"/>
              </w:rPr>
              <w:t xml:space="preserve">Pending evidence</w:t>
            </w:r>
          </w:p>
        </w:tc>
        <w:tc>
          <w:tcPr>
            <w:tcW w:type="dxa" w:w="1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SUP-410</w:t>
            </w:r>
          </w:p>
        </w:tc>
        <w:tc>
          <w:tcPr>
            <w:tcW w:type="dxa" w:w="10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center"/>
            </w:pPr>
            <w:r>
              <w:rPr>
                <w:b w:val="false"/>
                <w:bCs w:val="false"/>
                <w:color w:val="183047"/>
              </w:rPr>
              <w:t xml:space="preserve">2026-07-17</w:t>
            </w:r>
          </w:p>
        </w:tc>
        <w:tc>
          <w:tcPr>
            <w:tcW w:type="dxa" w:w="205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65"/>
              <w:left w:type="dxa" w:w="95"/>
              <w:bottom w:type="dxa" w:w="65"/>
              <w:right w:type="dxa" w:w="95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Complete supervisor recommendation panel</w:t>
            </w:r>
          </w:p>
        </w:tc>
      </w:tr>
    </w:tbl>
    <w:p>
      <w:pPr>
        <w:pStyle w:val="Heading1"/>
      </w:pPr>
      <w:r>
        <w:t xml:space="preserve">Staged Handoff Checklist</w:t>
      </w:r>
    </w:p>
    <w:tbl>
      <w:tblPr>
        <w:tblW w:type="dxa" w:w="10080"/>
        <w:tblBorders>
          <w:top w:val="single" w:color="C2A052" w:sz="4"/>
          <w:left w:val="single" w:color="C2A052" w:sz="4"/>
          <w:bottom w:val="single" w:color="C2A052" w:sz="4"/>
          <w:right w:val="single" w:color="C2A052" w:sz="4"/>
          <w:insideH w:val="single" w:color="C2A052" w:sz="4"/>
          <w:insideV w:val="single" w:color="C2A052" w:sz="4"/>
        </w:tblBorders>
        <w:tblLayout w:type="fixed"/>
        <w:tblCellMar>
          <w:top w:type="dxa" w:w="95"/>
          <w:left w:type="dxa" w:w="130"/>
          <w:bottom w:type="dxa" w:w="95"/>
          <w:right w:type="dxa" w:w="130"/>
        </w:tblCellMar>
      </w:tblPr>
      <w:tblGrid>
        <w:gridCol w:w="3300"/>
        <w:gridCol w:w="4200"/>
        <w:gridCol w:w="2580"/>
      </w:tblGrid>
      <w:tr>
        <w:trPr>
          <w:cantSplit/>
          <w:tblHeader/>
        </w:trPr>
        <w:tc>
          <w:tcPr>
            <w:tcW w:type="dxa" w:w="3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Checklist Field</w:t>
            </w:r>
          </w:p>
        </w:tc>
        <w:tc>
          <w:tcPr>
            <w:tcW w:type="dxa" w:w="4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Required Evidence</w:t>
            </w:r>
          </w:p>
        </w:tc>
        <w:tc>
          <w:tcPr>
            <w:tcW w:type="dxa" w:w="2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0B5C4A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Header"/>
              <w:keepNext/>
              <w:keepLines/>
              <w:jc w:val="left"/>
            </w:pPr>
            <w:r>
              <w:rPr>
                <w:b/>
                <w:bCs/>
                <w:color w:val="FFFFFF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Readiness status reconciled</w:t>
            </w:r>
          </w:p>
        </w:tc>
        <w:tc>
          <w:tcPr>
            <w:tcW w:type="dxa" w:w="4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Register readiness summary and evidence rows agree</w:t>
            </w:r>
          </w:p>
        </w:tc>
        <w:tc>
          <w:tcPr>
            <w:tcW w:type="dxa" w:w="2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Supervisor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Schedule gaps closed or owned</w:t>
            </w:r>
          </w:p>
        </w:tc>
        <w:tc>
          <w:tcPr>
            <w:tcW w:type="dxa" w:w="4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Schedule exceptions carry due date and owner</w:t>
            </w:r>
          </w:p>
        </w:tc>
        <w:tc>
          <w:tcPr>
            <w:tcW w:type="dxa" w:w="2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Trainer or supervisor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Account coverage disposition set</w:t>
            </w:r>
          </w:p>
        </w:tc>
        <w:tc>
          <w:tcPr>
            <w:tcW w:type="dxa" w:w="4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Each of 16 accounts has one staged allocation status</w:t>
            </w:r>
          </w:p>
        </w:tc>
        <w:tc>
          <w:tcPr>
            <w:tcW w:type="dxa" w:w="2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Coverage owner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Manager decision requested</w:t>
            </w:r>
          </w:p>
        </w:tc>
        <w:tc>
          <w:tcPr>
            <w:tcW w:type="dxa" w:w="420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Package submitted without external customer commitment</w:t>
            </w:r>
          </w:p>
        </w:tc>
        <w:tc>
          <w:tcPr>
            <w:tcW w:type="dxa" w:w="2580"/>
            <w:tcBorders>
              <w:top w:val="single" w:color="C2A052" w:sz="4"/>
              <w:left w:val="single" w:color="C2A052" w:sz="4"/>
              <w:bottom w:val="single" w:color="C2A052" w:sz="4"/>
              <w:right w:val="single" w:color="C2A052" w:sz="4"/>
            </w:tcBorders>
            <w:shd w:fill="F3EADB" w:val="clear"/>
            <w:tcMar>
              <w:top w:type="dxa" w:w="95"/>
              <w:left w:type="dxa" w:w="130"/>
              <w:bottom w:type="dxa" w:w="95"/>
              <w:right w:type="dxa" w:w="130"/>
            </w:tcMar>
            <w:vAlign w:val="center"/>
          </w:tcPr>
          <w:p>
            <w:pPr>
              <w:pStyle w:val="TableText"/>
              <w:keepNext w:val="false"/>
              <w:keepLines/>
              <w:jc w:val="left"/>
            </w:pPr>
            <w:r>
              <w:rPr>
                <w:b w:val="false"/>
                <w:bCs w:val="false"/>
                <w:color w:val="183047"/>
              </w:rPr>
              <w:t xml:space="preserve">Desk manager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20" w:right="1080" w:bottom="108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adea">
    <w:family w:val="auto"/>
    <w:pitch w:val="variable"/>
    <w:sig w:usb0="E0002AFF" w:usb1="C000247B" w:usb2="00000009" w:usb3="00000000" w:csb0="000001FF" w:csb1="00000000"/>
    <w:embedRegular r:id="rId1" w:fontKey="{7525384e-0fe8-053f-2c68-1b53a60c37d8}"/>
  </w:font>
  <w:font w:name="Carlito">
    <w:family w:val="auto"/>
    <w:pitch w:val="variable"/>
    <w:sig w:usb0="E0002AFF" w:usb1="C000247B" w:usb2="00000009" w:usb3="00000000" w:csb0="000001FF" w:csb1="00000000"/>
    <w:embedRegular r:id="rId2" w:fontKey="{dd20c87d-d085-7b33-c768-9108ba259f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2A052" w:sz="4" w:space="4"/>
      </w:pBdr>
      <w:tabs>
        <w:tab w:val="right" w:pos="9360"/>
      </w:tabs>
    </w:pPr>
    <w:r>
      <w:rPr>
        <w:rFonts w:ascii="Carlito" w:cs="Carlito" w:eastAsia="Carlito" w:hAnsi="Carlito"/>
        <w:color w:val="596B72"/>
        <w:sz w:val="16"/>
        <w:szCs w:val="16"/>
      </w:rPr>
      <w:t xml:space="preserve">Approval-ready package | HB-RAMP-2026-07 pending</w:t>
    </w:r>
    <w:r>
      <w:t xml:space="preserve">	</w:t>
    </w:r>
    <w:r>
      <w:rPr>
        <w:rFonts w:ascii="Carlito" w:cs="Carlito" w:eastAsia="Carlito" w:hAnsi="Carlito"/>
        <w:color w:val="596B72"/>
        <w:sz w:val="16"/>
        <w:szCs w:val="16"/>
      </w:rPr>
      <w:t xml:space="preserve">Page </w:t>
    </w:r>
    <w:r>
      <w:rPr>
        <w:rFonts w:ascii="Carlito" w:cs="Carlito" w:eastAsia="Carlito" w:hAnsi="Carlito"/>
        <w:color w:val="596B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B5C4A" w:sz="6" w:space="4"/>
      </w:pBdr>
    </w:pPr>
    <w:r>
      <w:rPr>
        <w:rFonts w:ascii="Carlito" w:cs="Carlito" w:eastAsia="Carlito" w:hAnsi="Carlito"/>
        <w:b/>
        <w:bCs/>
        <w:color w:val="0B5C4A"/>
        <w:sz w:val="16"/>
        <w:szCs w:val="16"/>
      </w:rPr>
      <w:t xml:space="preserve">HarborBridge Group Sales Ramp Readiness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rlito" w:cs="Carlito" w:eastAsia="Carlito" w:hAnsi="Carlito"/>
        <w:color w:val="183047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Document Title"/>
    <w:basedOn w:val="Normal"/>
    <w:next w:val="Subtitle"/>
    <w:qFormat/>
    <w:pPr>
      <w:keepNext/>
      <w:spacing w:before="0" w:after="150"/>
    </w:pPr>
    <w:rPr>
      <w:rFonts w:ascii="Caladea" w:cs="Caladea" w:eastAsia="Caladea" w:hAnsi="Caladea"/>
      <w:b/>
      <w:bCs/>
      <w:color w:val="183047"/>
      <w:sz w:val="44"/>
      <w:szCs w:val="44"/>
    </w:rPr>
  </w:style>
  <w:style w:type="paragraph" w:styleId="Subtitle">
    <w:name w:val="Document Subtitle"/>
    <w:basedOn w:val="Normal"/>
    <w:next w:val="Normal"/>
    <w:qFormat/>
    <w:pPr>
      <w:keepNext/>
      <w:spacing w:after="300"/>
    </w:pPr>
    <w:rPr>
      <w:rFonts w:ascii="Carlito" w:cs="Carlito" w:eastAsia="Carlito" w:hAnsi="Carlito"/>
      <w:color w:val="596B72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B5C4A" w:sz="10" w:space="5"/>
      </w:pBdr>
      <w:spacing w:before="300" w:after="120"/>
      <w:outlineLvl w:val="0"/>
    </w:pPr>
    <w:rPr>
      <w:rFonts w:ascii="Caladea" w:cs="Caladea" w:eastAsia="Caladea" w:hAnsi="Caladea"/>
      <w:b/>
      <w:bCs/>
      <w:color w:val="183047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rFonts w:ascii="Caladea" w:cs="Caladea" w:eastAsia="Caladea" w:hAnsi="Caladea"/>
      <w:b/>
      <w:bCs/>
      <w:color w:val="0B5C4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rFonts w:ascii="Carlito" w:cs="Carlito" w:eastAsia="Carlito" w:hAnsi="Carlito"/>
      <w:b/>
      <w:bCs/>
      <w:color w:val="183047"/>
      <w:sz w:val="23"/>
      <w:szCs w:val="23"/>
    </w:rPr>
  </w:style>
  <w:style w:type="paragraph" w:styleId="Kicker">
    <w:name w:val="Kicker"/>
    <w:basedOn w:val="Normal"/>
    <w:next w:val="Title"/>
    <w:qFormat/>
    <w:pPr>
      <w:keepNext/>
      <w:spacing w:after="90"/>
    </w:pPr>
    <w:rPr>
      <w:rFonts w:ascii="Carlito" w:cs="Carlito" w:eastAsia="Carlito" w:hAnsi="Carlito"/>
      <w:b/>
      <w:bCs/>
      <w:caps/>
      <w:color w:val="0B5C4A"/>
      <w:sz w:val="18"/>
      <w:szCs w:val="18"/>
    </w:rPr>
  </w:style>
  <w:style w:type="paragraph" w:styleId="Body">
    <w:name w:val="Body"/>
    <w:basedOn w:val="Normal"/>
    <w:next w:val="Body"/>
    <w:qFormat/>
    <w:pPr>
      <w:widowControl/>
      <w:spacing w:after="120" w:line="276"/>
    </w:pPr>
    <w:rPr>
      <w:rFonts w:ascii="Carlito" w:cs="Carlito" w:eastAsia="Carlito" w:hAnsi="Carlito"/>
      <w:color w:val="183047"/>
      <w:sz w:val="21"/>
      <w:szCs w:val="21"/>
    </w:rPr>
  </w:style>
  <w:style w:type="paragraph" w:styleId="Small">
    <w:name w:val="Small Text"/>
    <w:basedOn w:val="Normal"/>
    <w:next w:val="Small"/>
    <w:pPr>
      <w:spacing w:after="80" w:line="240"/>
    </w:pPr>
    <w:rPr>
      <w:rFonts w:ascii="Carlito" w:cs="Carlito" w:eastAsia="Carlito" w:hAnsi="Carlito"/>
      <w:color w:val="596B72"/>
      <w:sz w:val="18"/>
      <w:szCs w:val="18"/>
    </w:rPr>
  </w:style>
  <w:style w:type="paragraph" w:styleId="Caption">
    <w:name w:val="Figure Caption"/>
    <w:basedOn w:val="Normal"/>
    <w:next w:val="Normal"/>
    <w:qFormat/>
    <w:pPr>
      <w:keepNext/>
      <w:spacing w:before="70" w:after="150"/>
    </w:pPr>
    <w:rPr>
      <w:rFonts w:ascii="Carlito" w:cs="Carlito" w:eastAsia="Carlito" w:hAnsi="Carlito"/>
      <w:i/>
      <w:iCs/>
      <w:color w:val="596B72"/>
      <w:sz w:val="18"/>
      <w:szCs w:val="18"/>
    </w:rPr>
  </w:style>
  <w:style w:type="paragraph" w:styleId="TableHeader">
    <w:name w:val="Table Header"/>
    <w:basedOn w:val="Normal"/>
    <w:next w:val="TableText"/>
    <w:pPr>
      <w:keepNext/>
      <w:spacing w:before="0" w:after="0"/>
    </w:pPr>
    <w:rPr>
      <w:rFonts w:ascii="Carlito" w:cs="Carlito" w:eastAsia="Carlito" w:hAnsi="Carlito"/>
      <w:b/>
      <w:bCs/>
      <w:color w:val="FFFFFF"/>
      <w:sz w:val="18"/>
      <w:szCs w:val="18"/>
    </w:rPr>
  </w:style>
  <w:style w:type="paragraph" w:styleId="TableText">
    <w:name w:val="Table Text"/>
    <w:basedOn w:val="Normal"/>
    <w:next w:val="TableText"/>
    <w:pPr>
      <w:widowControl/>
      <w:spacing w:before="0" w:after="0" w:line="220"/>
    </w:pPr>
    <w:rPr>
      <w:rFonts w:ascii="Carlito" w:cs="Carlito" w:eastAsia="Carlito" w:hAnsi="Carlito"/>
      <w:color w:val="183047"/>
      <w:sz w:val="18"/>
      <w:szCs w:val="18"/>
    </w:rPr>
  </w:style>
  <w:style w:type="paragraph" w:styleId="Callout">
    <w:name w:val="Decision Callout"/>
    <w:basedOn w:val="Normal"/>
    <w:next w:val="Normal"/>
    <w:qFormat/>
    <w:pPr>
      <w:keepNext/>
      <w:pBdr>
        <w:left w:val="single" w:color="0B5C4A" w:sz="22" w:space="8"/>
      </w:pBdr>
      <w:shd w:fill="E7DCC9" w:val="clear"/>
      <w:spacing w:before="120" w:after="180" w:line="276"/>
      <w:ind w:left="180" w:right="120"/>
    </w:pPr>
    <w:rPr>
      <w:rFonts w:ascii="Carlito" w:cs="Carlito" w:eastAsia="Carlito" w:hAnsi="Carlito"/>
      <w:b/>
      <w:bCs/>
      <w:color w:val="1830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Caladea.odttf"/><Relationship Id="rId2" Type="http://schemas.openxmlformats.org/officeDocument/2006/relationships/font" Target="fonts/Carlito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Sales Ramp Readiness Playbook</dc:title>
  <dc:subject>Approval-ready ramp plan for July 2026 group-sales representatives</dc:subject>
  <dc:creator>HarborBridge Group Sales Supervisor</dc:creator>
  <cp:keywords>group sales, ramp, readiness, playbook, pending approval</cp:keywords>
  <dc:description>Pending readiness approval playbook with workflow, RACI, exceptions, and staged handoff checklist.</dc:description>
  <cp:lastModifiedBy>HarborBridge Group Sales Supervisor</cp:lastModifiedBy>
  <cp:revision>1</cp:revision>
  <dcterms:created xsi:type="dcterms:W3CDTF">2026-07-17T16:58:05.019Z</dcterms:created>
  <dcterms:modified xsi:type="dcterms:W3CDTF">2026-07-17T16:58:05.019Z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