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Monthly Organic Intermediates Review Note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>
              <w:t>REV-MR-22-01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2022-10-03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Priya Nair, Trade Data Manager</w:t>
            </w:r>
          </w:p>
        </w:tc>
      </w:tr>
    </w:tbl>
    <w:p/>
    <w:p>
      <w:pPr>
        <w:pStyle w:val="Heading1"/>
      </w:pPr>
      <w:r>
        <w:t>1. Scope</w:t>
      </w:r>
    </w:p>
    <w:p>
      <w:r>
        <w:t>The review covers organic intermediate trade lanes connected to HS chapter 29 and live supply commitments.</w:t>
      </w:r>
    </w:p>
    <w:p>
      <w:r>
        <w:t>Analysts should record every catalog record before moving into the trend bridge.</w:t>
      </w:r>
    </w:p>
    <w:p>
      <w:pPr>
        <w:pStyle w:val="Heading1"/>
      </w:pPr>
      <w:r>
        <w:t>2. Earlier aggregation instruction</w:t>
      </w:r>
    </w:p>
    <w:p>
      <w:r>
        <w:t>The first release treated every route row as a usable country observation when preparing partner summaries.</w:t>
      </w:r>
    </w:p>
    <w:p>
      <w:r>
        <w:t>It also used a simple compound annual rate from the available export years for short-range forecast placeholders.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Release 1 value</w:t>
            </w:r>
          </w:p>
        </w:tc>
      </w:tr>
      <w:tr>
        <w:tc>
          <w:tcPr>
            <w:tcW w:type="dxa" w:w="4320"/>
          </w:tcPr>
          <w:p>
            <w:r>
              <w:t>partner aggregation</w:t>
            </w:r>
          </w:p>
        </w:tc>
        <w:tc>
          <w:tcPr>
            <w:tcW w:type="dxa" w:w="4320"/>
          </w:tcPr>
          <w:p>
            <w:r>
              <w:t>all route rows may be counted</w:t>
            </w:r>
          </w:p>
        </w:tc>
      </w:tr>
      <w:tr>
        <w:tc>
          <w:tcPr>
            <w:tcW w:type="dxa" w:w="4320"/>
          </w:tcPr>
          <w:p>
            <w:r>
              <w:t>review threshold</w:t>
            </w:r>
          </w:p>
        </w:tc>
        <w:tc>
          <w:tcPr>
            <w:tcW w:type="dxa" w:w="4320"/>
          </w:tcPr>
          <w:p>
            <w:r>
              <w:t>30000 GBP</w:t>
            </w:r>
          </w:p>
        </w:tc>
      </w:tr>
      <w:tr>
        <w:tc>
          <w:tcPr>
            <w:tcW w:type="dxa" w:w="4320"/>
          </w:tcPr>
          <w:p>
            <w:r>
              <w:t>forecast basis</w:t>
            </w:r>
          </w:p>
        </w:tc>
        <w:tc>
          <w:tcPr>
            <w:tcW w:type="dxa" w:w="4320"/>
          </w:tcPr>
          <w:p>
            <w:r>
              <w:t>two-year compound annual rate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REV-MR-22-01 |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