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Monthly Organic Intermediates Review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REV-MR-23-03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2023-01-27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Priya Nair, Trade Data Manager</w:t>
            </w:r>
          </w:p>
        </w:tc>
      </w:tr>
    </w:tbl>
    <w:p/>
    <w:p>
      <w:pPr>
        <w:pStyle w:val="Heading1"/>
      </w:pPr>
      <w:r>
        <w:t>1. Review purpose</w:t>
      </w:r>
    </w:p>
    <w:p>
      <w:r>
        <w:t>The February refresh combines the catalog-backed trade series with supply-commitment exposure for the weekly continuity meeting.</w:t>
      </w:r>
    </w:p>
    <w:p>
      <w:r>
        <w:t>Official catalog rows remain the starting point; unsupported external captures are not evidence.</w:t>
      </w:r>
    </w:p>
    <w:p>
      <w:pPr>
        <w:pStyle w:val="Heading1"/>
      </w:pPr>
      <w:r>
        <w:t>2. Current model basis</w:t>
      </w:r>
    </w:p>
    <w:p>
      <w:r>
        <w:t>Bridge missing export years from the last official export value with the price, export-share, manufacturing-value, and chemical-employment context panel.</w:t>
      </w:r>
    </w:p>
    <w:p>
      <w:r>
        <w:t>Forecast the next two years from the eight-year bridged history using real-volume trend and the macro context index.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Release 3 value</w:t>
            </w:r>
          </w:p>
        </w:tc>
      </w:tr>
      <w:tr>
        <w:tc>
          <w:tcPr>
            <w:tcW w:type="dxa" w:w="4320"/>
          </w:tcPr>
          <w:p>
            <w:r>
              <w:t>source quality</w:t>
            </w:r>
          </w:p>
        </w:tc>
        <w:tc>
          <w:tcPr>
            <w:tcW w:type="dxa" w:w="4320"/>
          </w:tcPr>
          <w:p>
            <w:r>
              <w:t>exclude invalid Census captures and empty BLS stubs</w:t>
            </w:r>
          </w:p>
        </w:tc>
      </w:tr>
      <w:tr>
        <w:tc>
          <w:tcPr>
            <w:tcW w:type="dxa" w:w="4320"/>
          </w:tcPr>
          <w:p>
            <w:r>
              <w:t>coverage gate</w:t>
            </w:r>
          </w:p>
        </w:tc>
        <w:tc>
          <w:tcPr>
            <w:tcW w:type="dxa" w:w="4320"/>
          </w:tcPr>
          <w:p>
            <w:r>
              <w:t>show record population before ranking partners</w:t>
            </w:r>
          </w:p>
        </w:tc>
      </w:tr>
      <w:tr>
        <w:tc>
          <w:tcPr>
            <w:tcW w:type="dxa" w:w="4320"/>
          </w:tcPr>
          <w:p>
            <w:r>
              <w:t>recovery benchmark</w:t>
            </w:r>
          </w:p>
        </w:tc>
        <w:tc>
          <w:tcPr>
            <w:tcW w:type="dxa" w:w="4320"/>
          </w:tcPr>
          <w:p>
            <w:r>
              <w:t>92 percent of pre-shock bridge baseline</w:t>
            </w:r>
          </w:p>
        </w:tc>
      </w:tr>
    </w:tbl>
    <w:p>
      <w:r>
        <w:br w:type="page"/>
      </w:r>
    </w:p>
    <w:p>
      <w:pPr>
        <w:pStyle w:val="Heading1"/>
      </w:pPr>
      <w:r>
        <w:t>3. Supersession notes</w:t>
      </w:r>
    </w:p>
    <w:p>
      <w:r>
        <w:t>Section 2 of REV-MR-22-02 supersedes REV-MR-22-01 for trade aggregation and transport-mode stacking.</w:t>
      </w:r>
    </w:p>
    <w:p>
      <w:r>
        <w:t>This release supersedes REV-MR-22-02 for the forecast basis, recovery benchmark, and review threshold.</w:t>
      </w:r>
    </w:p>
    <w:p>
      <w:r>
        <w:t>The current review threshold is 35000 GBP risk-adjusted exposure at the ERP-code level.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REV-MR-23-03 | 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