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Monthly Organic Intermediates Review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REV-MR-22-02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2022-11-18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Priya Nair, Trade Data Manager</w:t>
            </w:r>
          </w:p>
        </w:tc>
      </w:tr>
    </w:tbl>
    <w:p/>
    <w:p>
      <w:pPr>
        <w:pStyle w:val="Heading1"/>
      </w:pPr>
      <w:r>
        <w:t>1. Revision record</w:t>
      </w:r>
    </w:p>
    <w:p>
      <w:r>
        <w:t>This release keeps the same commercial review threshold while correcting the route aggregation treatment.</w:t>
      </w:r>
    </w:p>
    <w:p>
      <w:r>
        <w:t>Country-HS-year enumeration is still required before analysts draw any trend conclusion.</w:t>
      </w:r>
    </w:p>
    <w:p>
      <w:pPr>
        <w:pStyle w:val="Heading1"/>
      </w:pPr>
      <w:r>
        <w:t>2. Route treatment</w:t>
      </w:r>
    </w:p>
    <w:p>
      <w:r>
        <w:t>For headline trade values, use the all-world total row for each year and flow when it exists.</w:t>
      </w:r>
    </w:p>
    <w:p>
      <w:r>
        <w:t>For partner-level observations, do not stack transport-mode rows into a single country total.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Release 2 value</w:t>
            </w:r>
          </w:p>
        </w:tc>
      </w:tr>
      <w:tr>
        <w:tc>
          <w:tcPr>
            <w:tcW w:type="dxa" w:w="4320"/>
          </w:tcPr>
          <w:p>
            <w:r>
              <w:t>partner aggregation</w:t>
            </w:r>
          </w:p>
        </w:tc>
        <w:tc>
          <w:tcPr>
            <w:tcW w:type="dxa" w:w="4320"/>
          </w:tcPr>
          <w:p>
            <w:r>
              <w:t>single total row for headline trend; no transport-mode stacking</w:t>
            </w:r>
          </w:p>
        </w:tc>
      </w:tr>
      <w:tr>
        <w:tc>
          <w:tcPr>
            <w:tcW w:type="dxa" w:w="4320"/>
          </w:tcPr>
          <w:p>
            <w:r>
              <w:t>review threshold</w:t>
            </w:r>
          </w:p>
        </w:tc>
        <w:tc>
          <w:tcPr>
            <w:tcW w:type="dxa" w:w="4320"/>
          </w:tcPr>
          <w:p>
            <w:r>
              <w:t>30000 GBP</w:t>
            </w:r>
          </w:p>
        </w:tc>
      </w:tr>
      <w:tr>
        <w:tc>
          <w:tcPr>
            <w:tcW w:type="dxa" w:w="4320"/>
          </w:tcPr>
          <w:p>
            <w:r>
              <w:t>forecast basis</w:t>
            </w:r>
          </w:p>
        </w:tc>
        <w:tc>
          <w:tcPr>
            <w:tcW w:type="dxa" w:w="4320"/>
          </w:tcPr>
          <w:p>
            <w:r>
              <w:t>macro bridge may be used only when official country-HS-year coverage is absent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REV-MR-22-02 |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