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February organic intermediates review decision memo</w:t>
      </w:r>
    </w:p>
    <w:p>
      <w:r>
        <w:t>Audience: supply planning manager and commercial finance controller</w:t>
      </w:r>
    </w:p>
    <w:p>
      <w:r>
        <w:t>Recommendation: keep ERP-OC-1042 on continuity watch, carry the 12 percent reserve, and do not record a supplier-policy violation for MRS-884 while CR-2219 remains effective. The risk-adjusted exposure is GBP 35,047.98, which is just above the GBP 35,000 review threshold.</w:t>
      </w:r>
    </w:p>
    <w:p>
      <w:pPr>
        <w:pStyle w:val="Heading1"/>
      </w:pPr>
      <w:r>
        <w:t>Decision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Evidence anchors</w:t>
            </w:r>
          </w:p>
        </w:tc>
        <w:tc>
          <w:tcPr>
            <w:tcW w:type="dxa" w:w="2160"/>
          </w:tcPr>
          <w:p>
            <w:r>
              <w:t>Decision effect</w:t>
            </w:r>
          </w:p>
        </w:tc>
      </w:tr>
      <w:tr>
        <w:tc>
          <w:tcPr>
            <w:tcW w:type="dxa" w:w="2160"/>
          </w:tcPr>
          <w:p>
            <w:r>
              <w:t>Source population</w:t>
            </w:r>
          </w:p>
        </w:tc>
        <w:tc>
          <w:tcPr>
            <w:tcW w:type="dxa" w:w="2160"/>
          </w:tcPr>
          <w:p>
            <w:r>
              <w:t>1,514 records</w:t>
            </w:r>
          </w:p>
        </w:tc>
        <w:tc>
          <w:tcPr>
            <w:tcW w:type="dxa" w:w="2160"/>
          </w:tcPr>
          <w:p>
            <w:r>
              <w:t>CLAIM-ENUM; QUAL-COMTRADE-GAP-01</w:t>
            </w:r>
          </w:p>
        </w:tc>
        <w:tc>
          <w:tcPr>
            <w:tcW w:type="dxa" w:w="2160"/>
          </w:tcPr>
          <w:p>
            <w:r>
              <w:t>prevents partner-route double counting</w:t>
            </w:r>
          </w:p>
        </w:tc>
      </w:tr>
      <w:tr>
        <w:tc>
          <w:tcPr>
            <w:tcW w:type="dxa" w:w="2160"/>
          </w:tcPr>
          <w:p>
            <w:r>
              <w:t>Export trend</w:t>
            </w:r>
          </w:p>
        </w:tc>
        <w:tc>
          <w:tcPr>
            <w:tcW w:type="dxa" w:w="2160"/>
          </w:tcPr>
          <w:p>
            <w:r>
              <w:t>-27.70% real-volume component</w:t>
            </w:r>
          </w:p>
        </w:tc>
        <w:tc>
          <w:tcPr>
            <w:tcW w:type="dxa" w:w="2160"/>
          </w:tcPr>
          <w:p>
            <w:r>
              <w:t>CLAIM-TREND; PPI-CHEM annual average</w:t>
            </w:r>
          </w:p>
        </w:tc>
        <w:tc>
          <w:tcPr>
            <w:tcW w:type="dxa" w:w="2160"/>
          </w:tcPr>
          <w:p>
            <w:r>
              <w:t>supports aggregate, not partner-led, charting</w:t>
            </w:r>
          </w:p>
        </w:tc>
      </w:tr>
      <w:tr>
        <w:tc>
          <w:tcPr>
            <w:tcW w:type="dxa" w:w="2160"/>
          </w:tcPr>
          <w:p>
            <w:r>
              <w:t>COVID shock</w:t>
            </w:r>
          </w:p>
        </w:tc>
        <w:tc>
          <w:tcPr>
            <w:tcW w:type="dxa" w:w="2160"/>
          </w:tcPr>
          <w:p>
            <w:r>
              <w:t>-19.90% and 1 year recovery</w:t>
            </w:r>
          </w:p>
        </w:tc>
        <w:tc>
          <w:tcPr>
            <w:tcW w:type="dxa" w:w="2160"/>
          </w:tcPr>
          <w:p>
            <w:r>
              <w:t>CLAIM-COVID; MODEL-BRIDGE-23-03</w:t>
            </w:r>
          </w:p>
        </w:tc>
        <w:tc>
          <w:tcPr>
            <w:tcW w:type="dxa" w:w="2160"/>
          </w:tcPr>
          <w:p>
            <w:r>
              <w:t>recovery met the current benchmark</w:t>
            </w:r>
          </w:p>
        </w:tc>
      </w:tr>
      <w:tr>
        <w:tc>
          <w:tcPr>
            <w:tcW w:type="dxa" w:w="2160"/>
          </w:tcPr>
          <w:p>
            <w:r>
              <w:t>2024 forecast</w:t>
            </w:r>
          </w:p>
        </w:tc>
        <w:tc>
          <w:tcPr>
            <w:tcW w:type="dxa" w:w="2160"/>
          </w:tcPr>
          <w:p>
            <w:r>
              <w:t>USD 9.80B</w:t>
            </w:r>
          </w:p>
        </w:tc>
        <w:tc>
          <w:tcPr>
            <w:tcW w:type="dxa" w:w="2160"/>
          </w:tcPr>
          <w:p>
            <w:r>
              <w:t>CLAIM-FORECAST; MACRO-GBR-2024</w:t>
            </w:r>
          </w:p>
        </w:tc>
        <w:tc>
          <w:tcPr>
            <w:tcW w:type="dxa" w:w="2160"/>
          </w:tcPr>
          <w:p>
            <w:r>
              <w:t>sets planning backdrop</w:t>
            </w:r>
          </w:p>
        </w:tc>
      </w:tr>
      <w:tr>
        <w:tc>
          <w:tcPr>
            <w:tcW w:type="dxa" w:w="2160"/>
          </w:tcPr>
          <w:p>
            <w:r>
              <w:t>Continuity exposure</w:t>
            </w:r>
          </w:p>
        </w:tc>
        <w:tc>
          <w:tcPr>
            <w:tcW w:type="dxa" w:w="2160"/>
          </w:tcPr>
          <w:p>
            <w:r>
              <w:t>GBP 35,047.98</w:t>
            </w:r>
          </w:p>
        </w:tc>
        <w:tc>
          <w:tcPr>
            <w:tcW w:type="dxa" w:w="2160"/>
          </w:tcPr>
          <w:p>
            <w:r>
              <w:t>CLAIM-PO (PO-2022-10488; ASN-GBR-773); CLAIM-TIER (OPS-ACN-3321; REL-ACN-31/42); CLAIM-CALENDAR; FIN-RES-22-118</w:t>
            </w:r>
          </w:p>
        </w:tc>
        <w:tc>
          <w:tcPr>
            <w:tcW w:type="dxa" w:w="2160"/>
          </w:tcPr>
          <w:p>
            <w:r>
              <w:t>watch status with reserve</w:t>
            </w:r>
          </w:p>
        </w:tc>
      </w:tr>
      <w:tr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0 supplier-policy violations</w:t>
            </w:r>
          </w:p>
        </w:tc>
        <w:tc>
          <w:tcPr>
            <w:tcW w:type="dxa" w:w="2160"/>
          </w:tcPr>
          <w:p>
            <w:r>
              <w:t>CR-2219; Natalie Price email dated 21 Dec 2022</w:t>
            </w:r>
          </w:p>
        </w:tc>
        <w:tc>
          <w:tcPr>
            <w:tcW w:type="dxa" w:w="2160"/>
          </w:tcPr>
          <w:p>
            <w:r>
              <w:t>do not escalate MRS-884 as a violation</w:t>
            </w:r>
          </w:p>
        </w:tc>
      </w:tr>
    </w:tbl>
    <w:p>
      <w:pPr>
        <w:pStyle w:val="Heading1"/>
      </w:pPr>
      <w:r>
        <w:t>Rejected alternatives</w:t>
      </w:r>
    </w:p>
    <w:p>
      <w:r>
        <w:t>Route-row stacking is rejected because it would inflate 2019 imports to USD 35.63B instead of the governed USD 10.13B total. The old CAGR placeholder is also rejected; it would put 2024 exports at USD 4.02B instead of USD 9.80B.</w:t>
      </w:r>
    </w:p>
    <w:p>
      <w:r>
        <w:t>Uniform application of the exposure rule is rejected for MRS-884 because Natalie Price documented CR-2219 on Wed, 21 Dec 2022 11:18:07 +0000. Treating the supplier as a violation would contradict the approved transition waiver.</w:t>
      </w:r>
    </w:p>
    <w:p>
      <w:pPr>
        <w:pStyle w:val="Heading1"/>
      </w:pPr>
      <w:r>
        <w:t>Next operating steps</w:t>
      </w:r>
    </w:p>
    <w:p>
      <w:r>
        <w:t>Eleanor Watts owns the lead-time confirmation for PO-2022-10488 after the January 5 dock date.</w:t>
      </w:r>
    </w:p>
    <w:p>
      <w:r>
        <w:t>Sofia Blake owns the finance reserve roll-forward while the watch item remains open.</w:t>
      </w:r>
    </w:p>
    <w:p>
      <w:r>
        <w:t>Priya Nair owns the next source refresh and should preserve the record enumeration before any partner 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