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END-TO-END AUDIT AND CLINICAL RECONCILIATION</w:t>
      </w:r>
    </w:p>
    <w:p>
      <w:pPr>
        <w:jc w:val="center"/>
      </w:pPr>
      <w:r>
        <w:t>Clinic reviewer audit trail | Prepared 27 January 2026</w:t>
      </w:r>
    </w:p>
    <w:p>
      <w:pPr>
        <w:pStyle w:val="Heading1"/>
      </w:pPr>
      <w:r>
        <w:t>Executive disposition</w:t>
      </w:r>
    </w:p>
    <w:p>
      <w:r>
        <w:t>The 100-patient population was reconciled from identity through billing and clinical disposition. Master identity/VIP/allergy data takes precedence over messy input. Correct revenue is $407,500 versus $314,000 billed, producing a net $93,500 shortfall after $178,500 leakage and $85,000 overcharge. Four CRISIS/CRITICAL patients are scheduled without clashes and excluded from clearance.</w:t>
      </w:r>
    </w:p>
    <w:p>
      <w:pPr>
        <w:pStyle w:val="Heading1"/>
      </w:pPr>
      <w:r>
        <w:t>Public source files and precedence</w:t>
      </w:r>
    </w:p>
    <w:p>
      <w:pPr>
        <w:pStyle w:val="ListBullet"/>
      </w:pPr>
      <w:r>
        <w:t>Master data file.xlsx — authoritative legal name, VIP level, and verified allergy.</w:t>
      </w:r>
    </w:p>
    <w:p>
      <w:pPr>
        <w:pStyle w:val="ListBullet"/>
      </w:pPr>
      <w:r>
        <w:t>Messy data file.xlsx — input values audited against the master by Guest ID.</w:t>
      </w:r>
    </w:p>
    <w:p>
      <w:pPr>
        <w:pStyle w:val="ListBullet"/>
      </w:pPr>
      <w:r>
        <w:t>Medical testing menu.xlsx — authoritative unit costs only: Gold $5,000; Silver $2,500; Bronze $1,000. Its opening 72/18/10, $415,000 summary is stale and rejected.</w:t>
      </w:r>
    </w:p>
    <w:p>
      <w:pPr>
        <w:pStyle w:val="ListBullet"/>
      </w:pPr>
      <w:r>
        <w:t>Revenue Reconciliation and Lab Audit.xlsx — billed/input VIP values joined to the master.</w:t>
      </w:r>
    </w:p>
    <w:p>
      <w:pPr>
        <w:pStyle w:val="ListBullet"/>
      </w:pPr>
      <w:r>
        <w:t>Lab Results &amp; Triage Log.xlsx — blood pressure, heart rate, triage status, and clinical action.</w:t>
      </w:r>
    </w:p>
    <w:p>
      <w:pPr>
        <w:pStyle w:val="Heading1"/>
      </w:pPr>
      <w:r>
        <w:t>Phase 1 — identity and allergy reconciliation</w:t>
      </w:r>
    </w:p>
    <w:p>
      <w:r>
        <w:t>All Guest IDs VIP-801–VIP-900 were joined at patient level. Result: 88 legal-name errors, 99 VIP-level errors, and 15 allergy-documentation errors. None/N/A cases were normalized to explicit None rather than blanks, including VIP-801 and VIP-807; VIP-823 and VIP-880 remain explicit None in downstream clinical outputs.</w:t>
      </w:r>
    </w:p>
    <w:p>
      <w:pPr>
        <w:pStyle w:val="Heading2"/>
      </w:pPr>
      <w:r>
        <w:t>Severe allergy controls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7365D"/>
          </w:tcPr>
          <w:p>
            <w:pPr>
              <w:spacing w:after="0"/>
            </w:pPr>
            <w:r>
              <w:rPr>
                <w:rFonts w:ascii="Aptos" w:hAnsi="Aptos"/>
                <w:b/>
                <w:color w:val="FFFFFF"/>
                <w:sz w:val="15"/>
              </w:rPr>
              <w:t>Guest ID</w:t>
            </w:r>
          </w:p>
        </w:tc>
        <w:tc>
          <w:tcPr>
            <w:tcW w:type="dxa" w:w="3408"/>
            <w:vAlign w:val="top"/>
            <w:shd w:fill="17365D"/>
          </w:tcPr>
          <w:p>
            <w:pPr>
              <w:spacing w:after="0"/>
            </w:pPr>
            <w:r>
              <w:rPr>
                <w:rFonts w:ascii="Aptos" w:hAnsi="Aptos"/>
                <w:b/>
                <w:color w:val="FFFFFF"/>
                <w:sz w:val="15"/>
              </w:rPr>
              <w:t>Legal Name</w:t>
            </w:r>
          </w:p>
        </w:tc>
        <w:tc>
          <w:tcPr>
            <w:tcW w:type="dxa" w:w="3408"/>
            <w:vAlign w:val="top"/>
            <w:shd w:fill="17365D"/>
          </w:tcPr>
          <w:p>
            <w:pPr>
              <w:spacing w:after="0"/>
            </w:pPr>
            <w:r>
              <w:rPr>
                <w:rFonts w:ascii="Aptos" w:hAnsi="Aptos"/>
                <w:b/>
                <w:color w:val="FFFFFF"/>
                <w:sz w:val="15"/>
              </w:rPr>
              <w:t>Authoritative allergy</w:t>
            </w:r>
          </w:p>
        </w:tc>
      </w:tr>
      <w:tr>
        <w:tc>
          <w:tcPr>
            <w:tcW w:type="dxa" w:w="3408"/>
            <w:vAlign w:val="top"/>
          </w:tcPr>
          <w:p>
            <w:pPr>
              <w:spacing w:after="0"/>
            </w:pPr>
            <w:r>
              <w:rPr>
                <w:rFonts w:ascii="Aptos" w:hAnsi="Aptos"/>
                <w:sz w:val="15"/>
              </w:rPr>
              <w:t>VIP-802</w:t>
            </w:r>
          </w:p>
        </w:tc>
        <w:tc>
          <w:tcPr>
            <w:tcW w:type="dxa" w:w="3408"/>
            <w:vAlign w:val="top"/>
          </w:tcPr>
          <w:p>
            <w:pPr>
              <w:spacing w:after="0"/>
            </w:pPr>
            <w:r>
              <w:rPr>
                <w:rFonts w:ascii="Aptos" w:hAnsi="Aptos"/>
                <w:sz w:val="15"/>
              </w:rPr>
              <w:t>Sarah Jenkins</w:t>
            </w:r>
          </w:p>
        </w:tc>
        <w:tc>
          <w:tcPr>
            <w:tcW w:type="dxa" w:w="3408"/>
            <w:vAlign w:val="top"/>
          </w:tcPr>
          <w:p>
            <w:pPr>
              <w:spacing w:after="0"/>
            </w:pPr>
            <w:r>
              <w:rPr>
                <w:rFonts w:ascii="Aptos" w:hAnsi="Aptos"/>
                <w:sz w:val="15"/>
              </w:rPr>
              <w:t>Severe: Peanuts</w:t>
            </w:r>
          </w:p>
        </w:tc>
      </w:tr>
      <w:tr>
        <w:tc>
          <w:tcPr>
            <w:tcW w:type="dxa" w:w="3408"/>
            <w:vAlign w:val="top"/>
          </w:tcPr>
          <w:p>
            <w:pPr>
              <w:spacing w:after="0"/>
            </w:pPr>
            <w:r>
              <w:rPr>
                <w:rFonts w:ascii="Aptos" w:hAnsi="Aptos"/>
                <w:sz w:val="15"/>
              </w:rPr>
              <w:t>VIP-805</w:t>
            </w:r>
          </w:p>
        </w:tc>
        <w:tc>
          <w:tcPr>
            <w:tcW w:type="dxa" w:w="3408"/>
            <w:vAlign w:val="top"/>
          </w:tcPr>
          <w:p>
            <w:pPr>
              <w:spacing w:after="0"/>
            </w:pPr>
            <w:r>
              <w:rPr>
                <w:rFonts w:ascii="Aptos" w:hAnsi="Aptos"/>
                <w:sz w:val="15"/>
              </w:rPr>
              <w:t>John Laurens</w:t>
            </w:r>
          </w:p>
        </w:tc>
        <w:tc>
          <w:tcPr>
            <w:tcW w:type="dxa" w:w="3408"/>
            <w:vAlign w:val="top"/>
          </w:tcPr>
          <w:p>
            <w:pPr>
              <w:spacing w:after="0"/>
            </w:pPr>
            <w:r>
              <w:rPr>
                <w:rFonts w:ascii="Aptos" w:hAnsi="Aptos"/>
                <w:sz w:val="15"/>
              </w:rPr>
              <w:t>Severe: Shellfish</w:t>
            </w:r>
          </w:p>
        </w:tc>
      </w:tr>
      <w:tr>
        <w:tc>
          <w:tcPr>
            <w:tcW w:type="dxa" w:w="3408"/>
            <w:vAlign w:val="top"/>
          </w:tcPr>
          <w:p>
            <w:pPr>
              <w:spacing w:after="0"/>
            </w:pPr>
            <w:r>
              <w:rPr>
                <w:rFonts w:ascii="Aptos" w:hAnsi="Aptos"/>
                <w:sz w:val="15"/>
              </w:rPr>
              <w:t>VIP-811</w:t>
            </w:r>
          </w:p>
        </w:tc>
        <w:tc>
          <w:tcPr>
            <w:tcW w:type="dxa" w:w="3408"/>
            <w:vAlign w:val="top"/>
          </w:tcPr>
          <w:p>
            <w:pPr>
              <w:spacing w:after="0"/>
            </w:pPr>
            <w:r>
              <w:rPr>
                <w:rFonts w:ascii="Aptos" w:hAnsi="Aptos"/>
                <w:sz w:val="15"/>
              </w:rPr>
              <w:t>James Miller</w:t>
            </w:r>
          </w:p>
        </w:tc>
        <w:tc>
          <w:tcPr>
            <w:tcW w:type="dxa" w:w="3408"/>
            <w:vAlign w:val="top"/>
          </w:tcPr>
          <w:p>
            <w:pPr>
              <w:spacing w:after="0"/>
            </w:pPr>
            <w:r>
              <w:rPr>
                <w:rFonts w:ascii="Aptos" w:hAnsi="Aptos"/>
                <w:sz w:val="15"/>
              </w:rPr>
              <w:t>Severe: Latex</w:t>
            </w:r>
          </w:p>
        </w:tc>
      </w:tr>
      <w:tr>
        <w:tc>
          <w:tcPr>
            <w:tcW w:type="dxa" w:w="3408"/>
            <w:vAlign w:val="top"/>
          </w:tcPr>
          <w:p>
            <w:pPr>
              <w:spacing w:after="0"/>
            </w:pPr>
            <w:r>
              <w:rPr>
                <w:rFonts w:ascii="Aptos" w:hAnsi="Aptos"/>
                <w:sz w:val="15"/>
              </w:rPr>
              <w:t>VIP-815</w:t>
            </w:r>
          </w:p>
        </w:tc>
        <w:tc>
          <w:tcPr>
            <w:tcW w:type="dxa" w:w="3408"/>
            <w:vAlign w:val="top"/>
          </w:tcPr>
          <w:p>
            <w:pPr>
              <w:spacing w:after="0"/>
            </w:pPr>
            <w:r>
              <w:rPr>
                <w:rFonts w:ascii="Aptos" w:hAnsi="Aptos"/>
                <w:sz w:val="15"/>
              </w:rPr>
              <w:t>John Adams</w:t>
            </w:r>
          </w:p>
        </w:tc>
        <w:tc>
          <w:tcPr>
            <w:tcW w:type="dxa" w:w="3408"/>
            <w:vAlign w:val="top"/>
          </w:tcPr>
          <w:p>
            <w:pPr>
              <w:spacing w:after="0"/>
            </w:pPr>
            <w:r>
              <w:rPr>
                <w:rFonts w:ascii="Aptos" w:hAnsi="Aptos"/>
                <w:sz w:val="15"/>
              </w:rPr>
              <w:t>Severe: Penicillin</w:t>
            </w:r>
          </w:p>
        </w:tc>
      </w:tr>
      <w:tr>
        <w:tc>
          <w:tcPr>
            <w:tcW w:type="dxa" w:w="3408"/>
            <w:vAlign w:val="top"/>
          </w:tcPr>
          <w:p>
            <w:pPr>
              <w:spacing w:after="0"/>
            </w:pPr>
            <w:r>
              <w:rPr>
                <w:rFonts w:ascii="Aptos" w:hAnsi="Aptos"/>
                <w:sz w:val="15"/>
              </w:rPr>
              <w:t>VIP-817</w:t>
            </w:r>
          </w:p>
        </w:tc>
        <w:tc>
          <w:tcPr>
            <w:tcW w:type="dxa" w:w="3408"/>
            <w:vAlign w:val="top"/>
          </w:tcPr>
          <w:p>
            <w:pPr>
              <w:spacing w:after="0"/>
            </w:pPr>
            <w:r>
              <w:rPr>
                <w:rFonts w:ascii="Aptos" w:hAnsi="Aptos"/>
                <w:sz w:val="15"/>
              </w:rPr>
              <w:t>Kevin Thompson</w:t>
            </w:r>
          </w:p>
        </w:tc>
        <w:tc>
          <w:tcPr>
            <w:tcW w:type="dxa" w:w="3408"/>
            <w:vAlign w:val="top"/>
          </w:tcPr>
          <w:p>
            <w:pPr>
              <w:spacing w:after="0"/>
            </w:pPr>
            <w:r>
              <w:rPr>
                <w:rFonts w:ascii="Aptos" w:hAnsi="Aptos"/>
                <w:sz w:val="15"/>
              </w:rPr>
              <w:t>Severe: Bee Stings</w:t>
            </w:r>
          </w:p>
        </w:tc>
      </w:tr>
      <w:tr>
        <w:tc>
          <w:tcPr>
            <w:tcW w:type="dxa" w:w="3408"/>
            <w:vAlign w:val="top"/>
          </w:tcPr>
          <w:p>
            <w:pPr>
              <w:spacing w:after="0"/>
            </w:pPr>
            <w:r>
              <w:rPr>
                <w:rFonts w:ascii="Aptos" w:hAnsi="Aptos"/>
                <w:sz w:val="15"/>
              </w:rPr>
              <w:t>VIP-832</w:t>
            </w:r>
          </w:p>
        </w:tc>
        <w:tc>
          <w:tcPr>
            <w:tcW w:type="dxa" w:w="3408"/>
            <w:vAlign w:val="top"/>
          </w:tcPr>
          <w:p>
            <w:pPr>
              <w:spacing w:after="0"/>
            </w:pPr>
            <w:r>
              <w:rPr>
                <w:rFonts w:ascii="Aptos" w:hAnsi="Aptos"/>
                <w:sz w:val="15"/>
              </w:rPr>
              <w:t>Abraham Lincoln</w:t>
            </w:r>
          </w:p>
        </w:tc>
        <w:tc>
          <w:tcPr>
            <w:tcW w:type="dxa" w:w="3408"/>
            <w:vAlign w:val="top"/>
          </w:tcPr>
          <w:p>
            <w:pPr>
              <w:spacing w:after="0"/>
            </w:pPr>
            <w:r>
              <w:rPr>
                <w:rFonts w:ascii="Aptos" w:hAnsi="Aptos"/>
                <w:sz w:val="15"/>
              </w:rPr>
              <w:t>Severe: Sulfa Drugs</w:t>
            </w:r>
          </w:p>
        </w:tc>
      </w:tr>
      <w:tr>
        <w:tc>
          <w:tcPr>
            <w:tcW w:type="dxa" w:w="3408"/>
            <w:vAlign w:val="top"/>
          </w:tcPr>
          <w:p>
            <w:pPr>
              <w:spacing w:after="0"/>
            </w:pPr>
            <w:r>
              <w:rPr>
                <w:rFonts w:ascii="Aptos" w:hAnsi="Aptos"/>
                <w:sz w:val="15"/>
              </w:rPr>
              <w:t>VIP-841</w:t>
            </w:r>
          </w:p>
        </w:tc>
        <w:tc>
          <w:tcPr>
            <w:tcW w:type="dxa" w:w="3408"/>
            <w:vAlign w:val="top"/>
          </w:tcPr>
          <w:p>
            <w:pPr>
              <w:spacing w:after="0"/>
            </w:pPr>
            <w:r>
              <w:rPr>
                <w:rFonts w:ascii="Aptos" w:hAnsi="Aptos"/>
                <w:sz w:val="15"/>
              </w:rPr>
              <w:t>Theodore Roosevelt</w:t>
            </w:r>
          </w:p>
        </w:tc>
        <w:tc>
          <w:tcPr>
            <w:tcW w:type="dxa" w:w="3408"/>
            <w:vAlign w:val="top"/>
          </w:tcPr>
          <w:p>
            <w:pPr>
              <w:spacing w:after="0"/>
            </w:pPr>
            <w:r>
              <w:rPr>
                <w:rFonts w:ascii="Aptos" w:hAnsi="Aptos"/>
                <w:sz w:val="15"/>
              </w:rPr>
              <w:t>Severe: Animal Dander</w:t>
            </w:r>
          </w:p>
        </w:tc>
      </w:tr>
      <w:tr>
        <w:tc>
          <w:tcPr>
            <w:tcW w:type="dxa" w:w="3408"/>
            <w:vAlign w:val="top"/>
          </w:tcPr>
          <w:p>
            <w:pPr>
              <w:spacing w:after="0"/>
            </w:pPr>
            <w:r>
              <w:rPr>
                <w:rFonts w:ascii="Aptos" w:hAnsi="Aptos"/>
                <w:sz w:val="15"/>
              </w:rPr>
              <w:t>VIP-879</w:t>
            </w:r>
          </w:p>
        </w:tc>
        <w:tc>
          <w:tcPr>
            <w:tcW w:type="dxa" w:w="3408"/>
            <w:vAlign w:val="top"/>
          </w:tcPr>
          <w:p>
            <w:pPr>
              <w:spacing w:after="0"/>
            </w:pPr>
            <w:r>
              <w:rPr>
                <w:rFonts w:ascii="Aptos" w:hAnsi="Aptos"/>
                <w:sz w:val="15"/>
              </w:rPr>
              <w:t>Linda Martinez</w:t>
            </w:r>
          </w:p>
        </w:tc>
        <w:tc>
          <w:tcPr>
            <w:tcW w:type="dxa" w:w="3408"/>
            <w:vAlign w:val="top"/>
          </w:tcPr>
          <w:p>
            <w:pPr>
              <w:spacing w:after="0"/>
            </w:pPr>
            <w:r>
              <w:rPr>
                <w:rFonts w:ascii="Aptos" w:hAnsi="Aptos"/>
                <w:sz w:val="15"/>
              </w:rPr>
              <w:t>Severe: Radiation/Iodine</w:t>
            </w:r>
          </w:p>
        </w:tc>
      </w:tr>
    </w:tbl>
    <w:p>
      <w:pPr>
        <w:pStyle w:val="Heading1"/>
      </w:pPr>
      <w:r>
        <w:t>Phase 2 — revenue reconciliation</w:t>
      </w:r>
    </w:p>
    <w:p>
      <w:r>
        <w:t>Master mix: Gold 69, Silver 21, Bronze 10 = $407,500 correct revenue. Billed mix: Gold 28, Silver 68, Bronze 4 = $314,000. Patient-level variance uses Correct minus Billed: positive is leakage/collect; negative is overcharge/refund.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7365D"/>
          </w:tcPr>
          <w:p>
            <w:pPr>
              <w:spacing w:after="0"/>
            </w:pPr>
            <w:r>
              <w:rPr>
                <w:rFonts w:ascii="Aptos" w:hAnsi="Aptos"/>
                <w:b/>
                <w:color w:val="FFFFFF"/>
                <w:sz w:val="15"/>
              </w:rPr>
              <w:t>Control</w:t>
            </w:r>
          </w:p>
        </w:tc>
        <w:tc>
          <w:tcPr>
            <w:tcW w:type="dxa" w:w="2556"/>
            <w:vAlign w:val="top"/>
            <w:shd w:fill="17365D"/>
          </w:tcPr>
          <w:p>
            <w:pPr>
              <w:spacing w:after="0"/>
            </w:pPr>
            <w:r>
              <w:rPr>
                <w:rFonts w:ascii="Aptos" w:hAnsi="Aptos"/>
                <w:b/>
                <w:color w:val="FFFFFF"/>
                <w:sz w:val="15"/>
              </w:rPr>
              <w:t>Accounts</w:t>
            </w:r>
          </w:p>
        </w:tc>
        <w:tc>
          <w:tcPr>
            <w:tcW w:type="dxa" w:w="2556"/>
            <w:vAlign w:val="top"/>
            <w:shd w:fill="17365D"/>
          </w:tcPr>
          <w:p>
            <w:pPr>
              <w:spacing w:after="0"/>
            </w:pPr>
            <w:r>
              <w:rPr>
                <w:rFonts w:ascii="Aptos" w:hAnsi="Aptos"/>
                <w:b/>
                <w:color w:val="FFFFFF"/>
                <w:sz w:val="15"/>
              </w:rPr>
              <w:t>Amount</w:t>
            </w:r>
          </w:p>
        </w:tc>
        <w:tc>
          <w:tcPr>
            <w:tcW w:type="dxa" w:w="2556"/>
            <w:vAlign w:val="top"/>
            <w:shd w:fill="17365D"/>
          </w:tcPr>
          <w:p>
            <w:pPr>
              <w:spacing w:after="0"/>
            </w:pPr>
            <w:r>
              <w:rPr>
                <w:rFonts w:ascii="Aptos" w:hAnsi="Aptos"/>
                <w:b/>
                <w:color w:val="FFFFFF"/>
                <w:sz w:val="15"/>
              </w:rPr>
              <w:t>Action</w:t>
            </w:r>
          </w:p>
        </w:tc>
      </w:tr>
      <w:tr>
        <w:tc>
          <w:tcPr>
            <w:tcW w:type="dxa" w:w="2556"/>
            <w:vAlign w:val="top"/>
          </w:tcPr>
          <w:p>
            <w:pPr>
              <w:spacing w:after="0"/>
            </w:pPr>
            <w:r>
              <w:rPr>
                <w:rFonts w:ascii="Aptos" w:hAnsi="Aptos"/>
                <w:sz w:val="15"/>
              </w:rPr>
              <w:t>Leakage / underbilled</w:t>
            </w:r>
          </w:p>
        </w:tc>
        <w:tc>
          <w:tcPr>
            <w:tcW w:type="dxa" w:w="2556"/>
            <w:vAlign w:val="top"/>
          </w:tcPr>
          <w:p>
            <w:pPr>
              <w:spacing w:after="0"/>
            </w:pPr>
            <w:r>
              <w:rPr>
                <w:rFonts w:ascii="Aptos" w:hAnsi="Aptos"/>
                <w:sz w:val="15"/>
              </w:rPr>
              <w:t>71</w:t>
            </w:r>
          </w:p>
        </w:tc>
        <w:tc>
          <w:tcPr>
            <w:tcW w:type="dxa" w:w="2556"/>
            <w:vAlign w:val="top"/>
          </w:tcPr>
          <w:p>
            <w:pPr>
              <w:spacing w:after="0"/>
            </w:pPr>
            <w:r>
              <w:rPr>
                <w:rFonts w:ascii="Aptos" w:hAnsi="Aptos"/>
                <w:sz w:val="15"/>
              </w:rPr>
              <w:t>$178,500</w:t>
            </w:r>
          </w:p>
        </w:tc>
        <w:tc>
          <w:tcPr>
            <w:tcW w:type="dxa" w:w="2556"/>
            <w:vAlign w:val="top"/>
          </w:tcPr>
          <w:p>
            <w:pPr>
              <w:spacing w:after="0"/>
            </w:pPr>
            <w:r>
              <w:rPr>
                <w:rFonts w:ascii="Aptos" w:hAnsi="Aptos"/>
                <w:sz w:val="15"/>
              </w:rPr>
              <w:t>COLLECT / REBILL</w:t>
            </w:r>
          </w:p>
        </w:tc>
      </w:tr>
      <w:tr>
        <w:tc>
          <w:tcPr>
            <w:tcW w:type="dxa" w:w="2556"/>
            <w:vAlign w:val="top"/>
          </w:tcPr>
          <w:p>
            <w:pPr>
              <w:spacing w:after="0"/>
            </w:pPr>
            <w:r>
              <w:rPr>
                <w:rFonts w:ascii="Aptos" w:hAnsi="Aptos"/>
                <w:sz w:val="15"/>
              </w:rPr>
              <w:t>Overcharge / overbilled</w:t>
            </w:r>
          </w:p>
        </w:tc>
        <w:tc>
          <w:tcPr>
            <w:tcW w:type="dxa" w:w="2556"/>
            <w:vAlign w:val="top"/>
          </w:tcPr>
          <w:p>
            <w:pPr>
              <w:spacing w:after="0"/>
            </w:pPr>
            <w:r>
              <w:rPr>
                <w:rFonts w:ascii="Aptos" w:hAnsi="Aptos"/>
                <w:sz w:val="15"/>
              </w:rPr>
              <w:t>28</w:t>
            </w:r>
          </w:p>
        </w:tc>
        <w:tc>
          <w:tcPr>
            <w:tcW w:type="dxa" w:w="2556"/>
            <w:vAlign w:val="top"/>
          </w:tcPr>
          <w:p>
            <w:pPr>
              <w:spacing w:after="0"/>
            </w:pPr>
            <w:r>
              <w:rPr>
                <w:rFonts w:ascii="Aptos" w:hAnsi="Aptos"/>
                <w:sz w:val="15"/>
              </w:rPr>
              <w:t>$85,000</w:t>
            </w:r>
          </w:p>
        </w:tc>
        <w:tc>
          <w:tcPr>
            <w:tcW w:type="dxa" w:w="2556"/>
            <w:vAlign w:val="top"/>
          </w:tcPr>
          <w:p>
            <w:pPr>
              <w:spacing w:after="0"/>
            </w:pPr>
            <w:r>
              <w:rPr>
                <w:rFonts w:ascii="Aptos" w:hAnsi="Aptos"/>
                <w:sz w:val="15"/>
              </w:rPr>
              <w:t>REFUND / CREDIT</w:t>
            </w:r>
          </w:p>
        </w:tc>
      </w:tr>
      <w:tr>
        <w:tc>
          <w:tcPr>
            <w:tcW w:type="dxa" w:w="2556"/>
            <w:vAlign w:val="top"/>
          </w:tcPr>
          <w:p>
            <w:pPr>
              <w:spacing w:after="0"/>
            </w:pPr>
            <w:r>
              <w:rPr>
                <w:rFonts w:ascii="Aptos" w:hAnsi="Aptos"/>
                <w:sz w:val="15"/>
              </w:rPr>
              <w:t>Correct match</w:t>
            </w:r>
          </w:p>
        </w:tc>
        <w:tc>
          <w:tcPr>
            <w:tcW w:type="dxa" w:w="2556"/>
            <w:vAlign w:val="top"/>
          </w:tcPr>
          <w:p>
            <w:pPr>
              <w:spacing w:after="0"/>
            </w:pPr>
            <w:r>
              <w:rPr>
                <w:rFonts w:ascii="Aptos" w:hAnsi="Aptos"/>
                <w:sz w:val="15"/>
              </w:rPr>
              <w:t>1</w:t>
            </w:r>
          </w:p>
        </w:tc>
        <w:tc>
          <w:tcPr>
            <w:tcW w:type="dxa" w:w="2556"/>
            <w:vAlign w:val="top"/>
          </w:tcPr>
          <w:p>
            <w:pPr>
              <w:spacing w:after="0"/>
            </w:pPr>
            <w:r>
              <w:rPr>
                <w:rFonts w:ascii="Aptos" w:hAnsi="Aptos"/>
                <w:sz w:val="15"/>
              </w:rPr>
              <w:t>$0</w:t>
            </w:r>
          </w:p>
        </w:tc>
        <w:tc>
          <w:tcPr>
            <w:tcW w:type="dxa" w:w="2556"/>
            <w:vAlign w:val="top"/>
          </w:tcPr>
          <w:p>
            <w:pPr>
              <w:spacing w:after="0"/>
            </w:pPr>
            <w:r>
              <w:rPr>
                <w:rFonts w:ascii="Aptos" w:hAnsi="Aptos"/>
                <w:sz w:val="15"/>
              </w:rPr>
              <w:t>NO ACTION</w:t>
            </w:r>
          </w:p>
        </w:tc>
      </w:tr>
      <w:tr>
        <w:tc>
          <w:tcPr>
            <w:tcW w:type="dxa" w:w="2556"/>
            <w:vAlign w:val="top"/>
          </w:tcPr>
          <w:p>
            <w:pPr>
              <w:spacing w:after="0"/>
            </w:pPr>
            <w:r>
              <w:rPr>
                <w:rFonts w:ascii="Aptos" w:hAnsi="Aptos"/>
                <w:sz w:val="15"/>
              </w:rPr>
              <w:t>Net shortfall</w:t>
            </w:r>
          </w:p>
        </w:tc>
        <w:tc>
          <w:tcPr>
            <w:tcW w:type="dxa" w:w="2556"/>
            <w:vAlign w:val="top"/>
          </w:tcPr>
          <w:p>
            <w:pPr>
              <w:spacing w:after="0"/>
            </w:pPr>
            <w:r>
              <w:rPr>
                <w:rFonts w:ascii="Aptos" w:hAnsi="Aptos"/>
                <w:sz w:val="15"/>
              </w:rPr>
              <w:t>100</w:t>
            </w:r>
          </w:p>
        </w:tc>
        <w:tc>
          <w:tcPr>
            <w:tcW w:type="dxa" w:w="2556"/>
            <w:vAlign w:val="top"/>
          </w:tcPr>
          <w:p>
            <w:pPr>
              <w:spacing w:after="0"/>
            </w:pPr>
            <w:r>
              <w:rPr>
                <w:rFonts w:ascii="Aptos" w:hAnsi="Aptos"/>
                <w:sz w:val="15"/>
              </w:rPr>
              <w:t>$93,500</w:t>
            </w:r>
          </w:p>
        </w:tc>
        <w:tc>
          <w:tcPr>
            <w:tcW w:type="dxa" w:w="2556"/>
            <w:vAlign w:val="top"/>
          </w:tcPr>
          <w:p>
            <w:pPr>
              <w:spacing w:after="0"/>
            </w:pPr>
            <w:r>
              <w:rPr>
                <w:rFonts w:ascii="Aptos" w:hAnsi="Aptos"/>
                <w:sz w:val="15"/>
              </w:rPr>
              <w:t>RECOVER NET</w:t>
            </w:r>
          </w:p>
        </w:tc>
      </w:tr>
    </w:tbl>
    <w:p>
      <w:r>
        <w:t>Anchor verification: VIP-801 Silver vs Bronze leakage $1,500; VIP-807 Bronze vs Gold overcharge $4,000; VIP-810 Gold vs Bronze leakage $4,000; VIP-823 Gold vs Silver leakage $2,500; VIP-802 Silver vs Silver match.</w:t>
      </w:r>
    </w:p>
    <w:p>
      <w:pPr>
        <w:pStyle w:val="Heading1"/>
      </w:pPr>
      <w:r>
        <w:t>Phase 3 — emergency triage and clash elimination</w:t>
      </w:r>
    </w:p>
    <w:p>
      <w:r>
        <w:t>Only CRITICAL/CRISIS cases were selected. High, Elevated, Low, and Normal patients were not scheduled as life-threatening. VIP-880 is first because it is CRITICAL. One physician and one room are used in sequential 30-minute windows; the clash audit records 0 overlaps.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top"/>
            <w:shd w:fill="17365D"/>
          </w:tcPr>
          <w:p>
            <w:pPr>
              <w:spacing w:after="0"/>
            </w:pPr>
            <w:r>
              <w:rPr>
                <w:rFonts w:ascii="Aptos" w:hAnsi="Aptos"/>
                <w:b/>
                <w:color w:val="FFFFFF"/>
                <w:sz w:val="15"/>
              </w:rPr>
              <w:t>Priority</w:t>
            </w:r>
          </w:p>
        </w:tc>
        <w:tc>
          <w:tcPr>
            <w:tcW w:type="dxa" w:w="1461"/>
            <w:vAlign w:val="top"/>
            <w:shd w:fill="17365D"/>
          </w:tcPr>
          <w:p>
            <w:pPr>
              <w:spacing w:after="0"/>
            </w:pPr>
            <w:r>
              <w:rPr>
                <w:rFonts w:ascii="Aptos" w:hAnsi="Aptos"/>
                <w:b/>
                <w:color w:val="FFFFFF"/>
                <w:sz w:val="15"/>
              </w:rPr>
              <w:t>Guest ID</w:t>
            </w:r>
          </w:p>
        </w:tc>
        <w:tc>
          <w:tcPr>
            <w:tcW w:type="dxa" w:w="1461"/>
            <w:vAlign w:val="top"/>
            <w:shd w:fill="17365D"/>
          </w:tcPr>
          <w:p>
            <w:pPr>
              <w:spacing w:after="0"/>
            </w:pPr>
            <w:r>
              <w:rPr>
                <w:rFonts w:ascii="Aptos" w:hAnsi="Aptos"/>
                <w:b/>
                <w:color w:val="FFFFFF"/>
                <w:sz w:val="15"/>
              </w:rPr>
              <w:t>Status</w:t>
            </w:r>
          </w:p>
        </w:tc>
        <w:tc>
          <w:tcPr>
            <w:tcW w:type="dxa" w:w="1461"/>
            <w:vAlign w:val="top"/>
            <w:shd w:fill="17365D"/>
          </w:tcPr>
          <w:p>
            <w:pPr>
              <w:spacing w:after="0"/>
            </w:pPr>
            <w:r>
              <w:rPr>
                <w:rFonts w:ascii="Aptos" w:hAnsi="Aptos"/>
                <w:b/>
                <w:color w:val="FFFFFF"/>
                <w:sz w:val="15"/>
              </w:rPr>
              <w:t>BP</w:t>
            </w:r>
          </w:p>
        </w:tc>
        <w:tc>
          <w:tcPr>
            <w:tcW w:type="dxa" w:w="1461"/>
            <w:vAlign w:val="top"/>
            <w:shd w:fill="17365D"/>
          </w:tcPr>
          <w:p>
            <w:pPr>
              <w:spacing w:after="0"/>
            </w:pPr>
            <w:r>
              <w:rPr>
                <w:rFonts w:ascii="Aptos" w:hAnsi="Aptos"/>
                <w:b/>
                <w:color w:val="FFFFFF"/>
                <w:sz w:val="15"/>
              </w:rPr>
              <w:t>HR</w:t>
            </w:r>
          </w:p>
        </w:tc>
        <w:tc>
          <w:tcPr>
            <w:tcW w:type="dxa" w:w="1461"/>
            <w:vAlign w:val="top"/>
            <w:shd w:fill="17365D"/>
          </w:tcPr>
          <w:p>
            <w:pPr>
              <w:spacing w:after="0"/>
            </w:pPr>
            <w:r>
              <w:rPr>
                <w:rFonts w:ascii="Aptos" w:hAnsi="Aptos"/>
                <w:b/>
                <w:color w:val="FFFFFF"/>
                <w:sz w:val="15"/>
              </w:rPr>
              <w:t>Clinical anchor</w:t>
            </w:r>
          </w:p>
        </w:tc>
        <w:tc>
          <w:tcPr>
            <w:tcW w:type="dxa" w:w="1461"/>
            <w:vAlign w:val="top"/>
            <w:shd w:fill="17365D"/>
          </w:tcPr>
          <w:p>
            <w:pPr>
              <w:spacing w:after="0"/>
            </w:pPr>
            <w:r>
              <w:rPr>
                <w:rFonts w:ascii="Aptos" w:hAnsi="Aptos"/>
                <w:b/>
                <w:color w:val="FFFFFF"/>
                <w:sz w:val="15"/>
              </w:rPr>
              <w:t>Slot</w:t>
            </w:r>
          </w:p>
        </w:tc>
      </w:tr>
      <w:tr>
        <w:tc>
          <w:tcPr>
            <w:tcW w:type="dxa" w:w="1461"/>
            <w:vAlign w:val="top"/>
          </w:tcPr>
          <w:p>
            <w:pPr>
              <w:spacing w:after="0"/>
            </w:pPr>
            <w:r>
              <w:rPr>
                <w:rFonts w:ascii="Aptos" w:hAnsi="Aptos"/>
                <w:sz w:val="15"/>
              </w:rPr>
              <w:t>1</w:t>
            </w:r>
          </w:p>
        </w:tc>
        <w:tc>
          <w:tcPr>
            <w:tcW w:type="dxa" w:w="1461"/>
            <w:vAlign w:val="top"/>
          </w:tcPr>
          <w:p>
            <w:pPr>
              <w:spacing w:after="0"/>
            </w:pPr>
            <w:r>
              <w:rPr>
                <w:rFonts w:ascii="Aptos" w:hAnsi="Aptos"/>
                <w:sz w:val="15"/>
              </w:rPr>
              <w:t>VIP-880</w:t>
            </w:r>
          </w:p>
        </w:tc>
        <w:tc>
          <w:tcPr>
            <w:tcW w:type="dxa" w:w="1461"/>
            <w:vAlign w:val="top"/>
          </w:tcPr>
          <w:p>
            <w:pPr>
              <w:spacing w:after="0"/>
            </w:pPr>
            <w:r>
              <w:rPr>
                <w:rFonts w:ascii="Aptos" w:hAnsi="Aptos"/>
                <w:sz w:val="15"/>
              </w:rPr>
              <w:t>CRITICAL</w:t>
            </w:r>
          </w:p>
        </w:tc>
        <w:tc>
          <w:tcPr>
            <w:tcW w:type="dxa" w:w="1461"/>
            <w:vAlign w:val="top"/>
          </w:tcPr>
          <w:p>
            <w:pPr>
              <w:spacing w:after="0"/>
            </w:pPr>
            <w:r>
              <w:rPr>
                <w:rFonts w:ascii="Aptos" w:hAnsi="Aptos"/>
                <w:sz w:val="15"/>
              </w:rPr>
              <w:t>200/130</w:t>
            </w:r>
          </w:p>
        </w:tc>
        <w:tc>
          <w:tcPr>
            <w:tcW w:type="dxa" w:w="1461"/>
            <w:vAlign w:val="top"/>
          </w:tcPr>
          <w:p>
            <w:pPr>
              <w:spacing w:after="0"/>
            </w:pPr>
            <w:r>
              <w:rPr>
                <w:rFonts w:ascii="Aptos" w:hAnsi="Aptos"/>
                <w:sz w:val="15"/>
              </w:rPr>
              <w:t>120</w:t>
            </w:r>
          </w:p>
        </w:tc>
        <w:tc>
          <w:tcPr>
            <w:tcW w:type="dxa" w:w="1461"/>
            <w:vAlign w:val="top"/>
          </w:tcPr>
          <w:p>
            <w:pPr>
              <w:spacing w:after="0"/>
            </w:pPr>
            <w:r>
              <w:rPr>
                <w:rFonts w:ascii="Aptos" w:hAnsi="Aptos"/>
                <w:sz w:val="15"/>
              </w:rPr>
              <w:t>HYPERTENSIVE CRISIS - CALL 911</w:t>
            </w:r>
          </w:p>
        </w:tc>
        <w:tc>
          <w:tcPr>
            <w:tcW w:type="dxa" w:w="1461"/>
            <w:vAlign w:val="top"/>
          </w:tcPr>
          <w:p>
            <w:pPr>
              <w:spacing w:after="0"/>
            </w:pPr>
            <w:r>
              <w:rPr>
                <w:rFonts w:ascii="Aptos" w:hAnsi="Aptos"/>
                <w:sz w:val="15"/>
              </w:rPr>
              <w:t>08:00-08:30</w:t>
            </w:r>
          </w:p>
        </w:tc>
      </w:tr>
      <w:tr>
        <w:tc>
          <w:tcPr>
            <w:tcW w:type="dxa" w:w="1461"/>
            <w:vAlign w:val="top"/>
          </w:tcPr>
          <w:p>
            <w:pPr>
              <w:spacing w:after="0"/>
            </w:pPr>
            <w:r>
              <w:rPr>
                <w:rFonts w:ascii="Aptos" w:hAnsi="Aptos"/>
                <w:sz w:val="15"/>
              </w:rPr>
              <w:t>2</w:t>
            </w:r>
          </w:p>
        </w:tc>
        <w:tc>
          <w:tcPr>
            <w:tcW w:type="dxa" w:w="1461"/>
            <w:vAlign w:val="top"/>
          </w:tcPr>
          <w:p>
            <w:pPr>
              <w:spacing w:after="0"/>
            </w:pPr>
            <w:r>
              <w:rPr>
                <w:rFonts w:ascii="Aptos" w:hAnsi="Aptos"/>
                <w:sz w:val="15"/>
              </w:rPr>
              <w:t>VIP-823</w:t>
            </w:r>
          </w:p>
        </w:tc>
        <w:tc>
          <w:tcPr>
            <w:tcW w:type="dxa" w:w="1461"/>
            <w:vAlign w:val="top"/>
          </w:tcPr>
          <w:p>
            <w:pPr>
              <w:spacing w:after="0"/>
            </w:pPr>
            <w:r>
              <w:rPr>
                <w:rFonts w:ascii="Aptos" w:hAnsi="Aptos"/>
                <w:sz w:val="15"/>
              </w:rPr>
              <w:t>CRISIS</w:t>
            </w:r>
          </w:p>
        </w:tc>
        <w:tc>
          <w:tcPr>
            <w:tcW w:type="dxa" w:w="1461"/>
            <w:vAlign w:val="top"/>
          </w:tcPr>
          <w:p>
            <w:pPr>
              <w:spacing w:after="0"/>
            </w:pPr>
            <w:r>
              <w:rPr>
                <w:rFonts w:ascii="Aptos" w:hAnsi="Aptos"/>
                <w:sz w:val="15"/>
              </w:rPr>
              <w:t>190/120</w:t>
            </w:r>
          </w:p>
        </w:tc>
        <w:tc>
          <w:tcPr>
            <w:tcW w:type="dxa" w:w="1461"/>
            <w:vAlign w:val="top"/>
          </w:tcPr>
          <w:p>
            <w:pPr>
              <w:spacing w:after="0"/>
            </w:pPr>
            <w:r>
              <w:rPr>
                <w:rFonts w:ascii="Aptos" w:hAnsi="Aptos"/>
                <w:sz w:val="15"/>
              </w:rPr>
              <w:t>105</w:t>
            </w:r>
          </w:p>
        </w:tc>
        <w:tc>
          <w:tcPr>
            <w:tcW w:type="dxa" w:w="1461"/>
            <w:vAlign w:val="top"/>
          </w:tcPr>
          <w:p>
            <w:pPr>
              <w:spacing w:after="0"/>
            </w:pPr>
            <w:r>
              <w:rPr>
                <w:rFonts w:ascii="Aptos" w:hAnsi="Aptos"/>
                <w:sz w:val="15"/>
              </w:rPr>
              <w:t>Hypertensive Urgency - STAT</w:t>
            </w:r>
          </w:p>
        </w:tc>
        <w:tc>
          <w:tcPr>
            <w:tcW w:type="dxa" w:w="1461"/>
            <w:vAlign w:val="top"/>
          </w:tcPr>
          <w:p>
            <w:pPr>
              <w:spacing w:after="0"/>
            </w:pPr>
            <w:r>
              <w:rPr>
                <w:rFonts w:ascii="Aptos" w:hAnsi="Aptos"/>
                <w:sz w:val="15"/>
              </w:rPr>
              <w:t>08:30-09:00</w:t>
            </w:r>
          </w:p>
        </w:tc>
      </w:tr>
      <w:tr>
        <w:tc>
          <w:tcPr>
            <w:tcW w:type="dxa" w:w="1461"/>
            <w:vAlign w:val="top"/>
          </w:tcPr>
          <w:p>
            <w:pPr>
              <w:spacing w:after="0"/>
            </w:pPr>
            <w:r>
              <w:rPr>
                <w:rFonts w:ascii="Aptos" w:hAnsi="Aptos"/>
                <w:sz w:val="15"/>
              </w:rPr>
              <w:t>3</w:t>
            </w:r>
          </w:p>
        </w:tc>
        <w:tc>
          <w:tcPr>
            <w:tcW w:type="dxa" w:w="1461"/>
            <w:vAlign w:val="top"/>
          </w:tcPr>
          <w:p>
            <w:pPr>
              <w:spacing w:after="0"/>
            </w:pPr>
            <w:r>
              <w:rPr>
                <w:rFonts w:ascii="Aptos" w:hAnsi="Aptos"/>
                <w:sz w:val="15"/>
              </w:rPr>
              <w:t>VIP-802</w:t>
            </w:r>
          </w:p>
        </w:tc>
        <w:tc>
          <w:tcPr>
            <w:tcW w:type="dxa" w:w="1461"/>
            <w:vAlign w:val="top"/>
          </w:tcPr>
          <w:p>
            <w:pPr>
              <w:spacing w:after="0"/>
            </w:pPr>
            <w:r>
              <w:rPr>
                <w:rFonts w:ascii="Aptos" w:hAnsi="Aptos"/>
                <w:sz w:val="15"/>
              </w:rPr>
              <w:t>CRISIS</w:t>
            </w:r>
          </w:p>
        </w:tc>
        <w:tc>
          <w:tcPr>
            <w:tcW w:type="dxa" w:w="1461"/>
            <w:vAlign w:val="top"/>
          </w:tcPr>
          <w:p>
            <w:pPr>
              <w:spacing w:after="0"/>
            </w:pPr>
            <w:r>
              <w:rPr>
                <w:rFonts w:ascii="Aptos" w:hAnsi="Aptos"/>
                <w:sz w:val="15"/>
              </w:rPr>
              <w:t>185/115</w:t>
            </w:r>
          </w:p>
        </w:tc>
        <w:tc>
          <w:tcPr>
            <w:tcW w:type="dxa" w:w="1461"/>
            <w:vAlign w:val="top"/>
          </w:tcPr>
          <w:p>
            <w:pPr>
              <w:spacing w:after="0"/>
            </w:pPr>
            <w:r>
              <w:rPr>
                <w:rFonts w:ascii="Aptos" w:hAnsi="Aptos"/>
                <w:sz w:val="15"/>
              </w:rPr>
              <w:t>98</w:t>
            </w:r>
          </w:p>
        </w:tc>
        <w:tc>
          <w:tcPr>
            <w:tcW w:type="dxa" w:w="1461"/>
            <w:vAlign w:val="top"/>
          </w:tcPr>
          <w:p>
            <w:pPr>
              <w:spacing w:after="0"/>
            </w:pPr>
            <w:r>
              <w:rPr>
                <w:rFonts w:ascii="Aptos" w:hAnsi="Aptos"/>
                <w:sz w:val="15"/>
              </w:rPr>
              <w:t>IMMEDIATE MD INTERVENTION</w:t>
            </w:r>
          </w:p>
        </w:tc>
        <w:tc>
          <w:tcPr>
            <w:tcW w:type="dxa" w:w="1461"/>
            <w:vAlign w:val="top"/>
          </w:tcPr>
          <w:p>
            <w:pPr>
              <w:spacing w:after="0"/>
            </w:pPr>
            <w:r>
              <w:rPr>
                <w:rFonts w:ascii="Aptos" w:hAnsi="Aptos"/>
                <w:sz w:val="15"/>
              </w:rPr>
              <w:t>09:00-09:30</w:t>
            </w:r>
          </w:p>
        </w:tc>
      </w:tr>
      <w:tr>
        <w:tc>
          <w:tcPr>
            <w:tcW w:type="dxa" w:w="1461"/>
            <w:vAlign w:val="top"/>
          </w:tcPr>
          <w:p>
            <w:pPr>
              <w:spacing w:after="0"/>
            </w:pPr>
            <w:r>
              <w:rPr>
                <w:rFonts w:ascii="Aptos" w:hAnsi="Aptos"/>
                <w:sz w:val="15"/>
              </w:rPr>
              <w:t>4</w:t>
            </w:r>
          </w:p>
        </w:tc>
        <w:tc>
          <w:tcPr>
            <w:tcW w:type="dxa" w:w="1461"/>
            <w:vAlign w:val="top"/>
          </w:tcPr>
          <w:p>
            <w:pPr>
              <w:spacing w:after="0"/>
            </w:pPr>
            <w:r>
              <w:rPr>
                <w:rFonts w:ascii="Aptos" w:hAnsi="Aptos"/>
                <w:sz w:val="15"/>
              </w:rPr>
              <w:t>VIP-817</w:t>
            </w:r>
          </w:p>
        </w:tc>
        <w:tc>
          <w:tcPr>
            <w:tcW w:type="dxa" w:w="1461"/>
            <w:vAlign w:val="top"/>
          </w:tcPr>
          <w:p>
            <w:pPr>
              <w:spacing w:after="0"/>
            </w:pPr>
            <w:r>
              <w:rPr>
                <w:rFonts w:ascii="Aptos" w:hAnsi="Aptos"/>
                <w:sz w:val="15"/>
              </w:rPr>
              <w:t>CRISIS</w:t>
            </w:r>
          </w:p>
        </w:tc>
        <w:tc>
          <w:tcPr>
            <w:tcW w:type="dxa" w:w="1461"/>
            <w:vAlign w:val="top"/>
          </w:tcPr>
          <w:p>
            <w:pPr>
              <w:spacing w:after="0"/>
            </w:pPr>
            <w:r>
              <w:rPr>
                <w:rFonts w:ascii="Aptos" w:hAnsi="Aptos"/>
                <w:sz w:val="15"/>
              </w:rPr>
              <w:t>120/80</w:t>
            </w:r>
          </w:p>
        </w:tc>
        <w:tc>
          <w:tcPr>
            <w:tcW w:type="dxa" w:w="1461"/>
            <w:vAlign w:val="top"/>
          </w:tcPr>
          <w:p>
            <w:pPr>
              <w:spacing w:after="0"/>
            </w:pPr>
            <w:r>
              <w:rPr>
                <w:rFonts w:ascii="Aptos" w:hAnsi="Aptos"/>
                <w:sz w:val="15"/>
              </w:rPr>
              <w:t>115</w:t>
            </w:r>
          </w:p>
        </w:tc>
        <w:tc>
          <w:tcPr>
            <w:tcW w:type="dxa" w:w="1461"/>
            <w:vAlign w:val="top"/>
          </w:tcPr>
          <w:p>
            <w:pPr>
              <w:spacing w:after="0"/>
            </w:pPr>
            <w:r>
              <w:rPr>
                <w:rFonts w:ascii="Aptos" w:hAnsi="Aptos"/>
                <w:sz w:val="15"/>
              </w:rPr>
              <w:t>Tachycardia - Immediate EKG</w:t>
            </w:r>
          </w:p>
        </w:tc>
        <w:tc>
          <w:tcPr>
            <w:tcW w:type="dxa" w:w="1461"/>
            <w:vAlign w:val="top"/>
          </w:tcPr>
          <w:p>
            <w:pPr>
              <w:spacing w:after="0"/>
            </w:pPr>
            <w:r>
              <w:rPr>
                <w:rFonts w:ascii="Aptos" w:hAnsi="Aptos"/>
                <w:sz w:val="15"/>
              </w:rPr>
              <w:t>09:30-10:00</w:t>
            </w:r>
          </w:p>
        </w:tc>
      </w:tr>
    </w:tbl>
    <w:p>
      <w:pPr>
        <w:pStyle w:val="Heading1"/>
      </w:pPr>
      <w:r>
        <w:t>Phase 4 — clearance and integrated disposition</w:t>
      </w:r>
    </w:p>
    <w:p>
      <w:r>
        <w:t>The clearance letter uses a documented conservative rule: CRISIS/CRITICAL are not cleared; the remaining 96 are listed in the cleared appendix with verified allergies and source triage actions. The integrated master propagates corrected identity, master VIP, verified allergy, populated package cost, billed VIP/cost, billing result/action, BP, HR, triage, emergency slot, and clearance disposition on each of 100 patient rows.</w:t>
      </w:r>
    </w:p>
    <w:p>
      <w:r>
        <w:t>Integrated anchors: VIP-802 Silver / $2,500 / Severe: Peanuts / CRISIS / MATCH; VIP-817 Gold / $5,000 / Severe: Bee Stings / CRISIS / LEAKAGE; VIP-823 Gold / $5,000 / None / CRISIS / LEAKAGE; VIP-880 Gold / $5,000 / None / CRITICAL / LEAKAGE.</w:t>
      </w:r>
    </w:p>
    <w:p>
      <w:pPr>
        <w:pStyle w:val="Heading1"/>
      </w:pPr>
      <w:r>
        <w:t>Produced deliverables and traceability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7365D"/>
          </w:tcPr>
          <w:p>
            <w:pPr>
              <w:spacing w:after="0"/>
            </w:pPr>
            <w:r>
              <w:rPr>
                <w:rFonts w:ascii="Aptos" w:hAnsi="Aptos"/>
                <w:b/>
                <w:color w:val="FFFFFF"/>
                <w:sz w:val="15"/>
              </w:rPr>
              <w:t>Task phase</w:t>
            </w:r>
          </w:p>
        </w:tc>
        <w:tc>
          <w:tcPr>
            <w:tcW w:type="dxa" w:w="3408"/>
            <w:vAlign w:val="top"/>
            <w:shd w:fill="17365D"/>
          </w:tcPr>
          <w:p>
            <w:pPr>
              <w:spacing w:after="0"/>
            </w:pPr>
            <w:r>
              <w:rPr>
                <w:rFonts w:ascii="Aptos" w:hAnsi="Aptos"/>
                <w:b/>
                <w:color w:val="FFFFFF"/>
                <w:sz w:val="15"/>
              </w:rPr>
              <w:t>Deliverable</w:t>
            </w:r>
          </w:p>
        </w:tc>
        <w:tc>
          <w:tcPr>
            <w:tcW w:type="dxa" w:w="3408"/>
            <w:vAlign w:val="top"/>
            <w:shd w:fill="17365D"/>
          </w:tcPr>
          <w:p>
            <w:pPr>
              <w:spacing w:after="0"/>
            </w:pPr>
            <w:r>
              <w:rPr>
                <w:rFonts w:ascii="Aptos" w:hAnsi="Aptos"/>
                <w:b/>
                <w:color w:val="FFFFFF"/>
                <w:sz w:val="15"/>
              </w:rPr>
              <w:t>Audit location</w:t>
            </w:r>
          </w:p>
        </w:tc>
      </w:tr>
      <w:tr>
        <w:tc>
          <w:tcPr>
            <w:tcW w:type="dxa" w:w="3408"/>
            <w:vAlign w:val="top"/>
          </w:tcPr>
          <w:p>
            <w:pPr>
              <w:spacing w:after="0"/>
            </w:pPr>
            <w:r>
              <w:rPr>
                <w:rFonts w:ascii="Aptos" w:hAnsi="Aptos"/>
                <w:sz w:val="15"/>
              </w:rPr>
              <w:t>Identity correction</w:t>
            </w:r>
          </w:p>
        </w:tc>
        <w:tc>
          <w:tcPr>
            <w:tcW w:type="dxa" w:w="3408"/>
            <w:vAlign w:val="top"/>
          </w:tcPr>
          <w:p>
            <w:pPr>
              <w:spacing w:after="0"/>
            </w:pPr>
            <w:r>
              <w:rPr>
                <w:rFonts w:ascii="Aptos" w:hAnsi="Aptos"/>
                <w:sz w:val="15"/>
              </w:rPr>
              <w:t>Solution file (Messy vs Master).xlsx</w:t>
            </w:r>
          </w:p>
        </w:tc>
        <w:tc>
          <w:tcPr>
            <w:tcW w:type="dxa" w:w="3408"/>
            <w:vAlign w:val="top"/>
          </w:tcPr>
          <w:p>
            <w:pPr>
              <w:spacing w:after="0"/>
            </w:pPr>
            <w:r>
              <w:rPr>
                <w:rFonts w:ascii="Aptos" w:hAnsi="Aptos"/>
                <w:sz w:val="15"/>
              </w:rPr>
              <w:t>Patient Reconciliation; Audit Summary; Critical Allergy Controls</w:t>
            </w:r>
          </w:p>
        </w:tc>
      </w:tr>
      <w:tr>
        <w:tc>
          <w:tcPr>
            <w:tcW w:type="dxa" w:w="3408"/>
            <w:vAlign w:val="top"/>
          </w:tcPr>
          <w:p>
            <w:pPr>
              <w:spacing w:after="0"/>
            </w:pPr>
            <w:r>
              <w:rPr>
                <w:rFonts w:ascii="Aptos" w:hAnsi="Aptos"/>
                <w:sz w:val="15"/>
              </w:rPr>
              <w:t>Revenue/lab audit</w:t>
            </w:r>
          </w:p>
        </w:tc>
        <w:tc>
          <w:tcPr>
            <w:tcW w:type="dxa" w:w="3408"/>
            <w:vAlign w:val="top"/>
          </w:tcPr>
          <w:p>
            <w:pPr>
              <w:spacing w:after="0"/>
            </w:pPr>
            <w:r>
              <w:rPr>
                <w:rFonts w:ascii="Aptos" w:hAnsi="Aptos"/>
                <w:sz w:val="15"/>
              </w:rPr>
              <w:t>Updated revenue reconciliation and lab audit.xlsx</w:t>
            </w:r>
          </w:p>
        </w:tc>
        <w:tc>
          <w:tcPr>
            <w:tcW w:type="dxa" w:w="3408"/>
            <w:vAlign w:val="top"/>
          </w:tcPr>
          <w:p>
            <w:pPr>
              <w:spacing w:after="0"/>
            </w:pPr>
            <w:r>
              <w:rPr>
                <w:rFonts w:ascii="Aptos" w:hAnsi="Aptos"/>
                <w:sz w:val="15"/>
              </w:rPr>
              <w:t>Patient Billing Audit; Revenue Summary; Anchor Checks; Clinical Triage Audit</w:t>
            </w:r>
          </w:p>
        </w:tc>
      </w:tr>
      <w:tr>
        <w:tc>
          <w:tcPr>
            <w:tcW w:type="dxa" w:w="3408"/>
            <w:vAlign w:val="top"/>
          </w:tcPr>
          <w:p>
            <w:pPr>
              <w:spacing w:after="0"/>
            </w:pPr>
            <w:r>
              <w:rPr>
                <w:rFonts w:ascii="Aptos" w:hAnsi="Aptos"/>
                <w:sz w:val="15"/>
              </w:rPr>
              <w:t>Emergency schedule</w:t>
            </w:r>
          </w:p>
        </w:tc>
        <w:tc>
          <w:tcPr>
            <w:tcW w:type="dxa" w:w="3408"/>
            <w:vAlign w:val="top"/>
          </w:tcPr>
          <w:p>
            <w:pPr>
              <w:spacing w:after="0"/>
            </w:pPr>
            <w:r>
              <w:rPr>
                <w:rFonts w:ascii="Aptos" w:hAnsi="Aptos"/>
                <w:sz w:val="15"/>
              </w:rPr>
              <w:t>Emergency Follow-Up Schedule.xlsx</w:t>
            </w:r>
          </w:p>
        </w:tc>
        <w:tc>
          <w:tcPr>
            <w:tcW w:type="dxa" w:w="3408"/>
            <w:vAlign w:val="top"/>
          </w:tcPr>
          <w:p>
            <w:pPr>
              <w:spacing w:after="0"/>
            </w:pPr>
            <w:r>
              <w:rPr>
                <w:rFonts w:ascii="Aptos" w:hAnsi="Aptos"/>
                <w:sz w:val="15"/>
              </w:rPr>
              <w:t>Emergency Schedule; Clash Audit; Selection Control</w:t>
            </w:r>
          </w:p>
        </w:tc>
      </w:tr>
      <w:tr>
        <w:tc>
          <w:tcPr>
            <w:tcW w:type="dxa" w:w="3408"/>
            <w:vAlign w:val="top"/>
          </w:tcPr>
          <w:p>
            <w:pPr>
              <w:spacing w:after="0"/>
            </w:pPr>
            <w:r>
              <w:rPr>
                <w:rFonts w:ascii="Aptos" w:hAnsi="Aptos"/>
                <w:sz w:val="15"/>
              </w:rPr>
              <w:t>Clearance communication</w:t>
            </w:r>
          </w:p>
        </w:tc>
        <w:tc>
          <w:tcPr>
            <w:tcW w:type="dxa" w:w="3408"/>
            <w:vAlign w:val="top"/>
          </w:tcPr>
          <w:p>
            <w:pPr>
              <w:spacing w:after="0"/>
            </w:pPr>
            <w:r>
              <w:rPr>
                <w:rFonts w:ascii="Aptos" w:hAnsi="Aptos"/>
                <w:sz w:val="15"/>
              </w:rPr>
              <w:t>MEDICAL CLEARANCE LETTER.docx</w:t>
            </w:r>
          </w:p>
        </w:tc>
        <w:tc>
          <w:tcPr>
            <w:tcW w:type="dxa" w:w="3408"/>
            <w:vAlign w:val="top"/>
          </w:tcPr>
          <w:p>
            <w:pPr>
              <w:spacing w:after="0"/>
            </w:pPr>
            <w:r>
              <w:rPr>
                <w:rFonts w:ascii="Aptos" w:hAnsi="Aptos"/>
                <w:sz w:val="15"/>
              </w:rPr>
              <w:t>Letter; urgent exclusions; 96-patient cleared roster</w:t>
            </w:r>
          </w:p>
        </w:tc>
      </w:tr>
      <w:tr>
        <w:tc>
          <w:tcPr>
            <w:tcW w:type="dxa" w:w="3408"/>
            <w:vAlign w:val="top"/>
          </w:tcPr>
          <w:p>
            <w:pPr>
              <w:spacing w:after="0"/>
            </w:pPr>
            <w:r>
              <w:rPr>
                <w:rFonts w:ascii="Aptos" w:hAnsi="Aptos"/>
                <w:sz w:val="15"/>
              </w:rPr>
              <w:t>Integrated disposition</w:t>
            </w:r>
          </w:p>
        </w:tc>
        <w:tc>
          <w:tcPr>
            <w:tcW w:type="dxa" w:w="3408"/>
            <w:vAlign w:val="top"/>
          </w:tcPr>
          <w:p>
            <w:pPr>
              <w:spacing w:after="0"/>
            </w:pPr>
            <w:r>
              <w:rPr>
                <w:rFonts w:ascii="Aptos" w:hAnsi="Aptos"/>
                <w:sz w:val="15"/>
              </w:rPr>
              <w:t>Integrated Executive Master file.xlsx</w:t>
            </w:r>
          </w:p>
        </w:tc>
        <w:tc>
          <w:tcPr>
            <w:tcW w:type="dxa" w:w="3408"/>
            <w:vAlign w:val="top"/>
          </w:tcPr>
          <w:p>
            <w:pPr>
              <w:spacing w:after="0"/>
            </w:pPr>
            <w:r>
              <w:rPr>
                <w:rFonts w:ascii="Aptos" w:hAnsi="Aptos"/>
                <w:sz w:val="15"/>
              </w:rPr>
              <w:t>Executive Master; Executive Summary; Urgent Cohort; QA Controls</w:t>
            </w:r>
          </w:p>
        </w:tc>
      </w:tr>
      <w:tr>
        <w:tc>
          <w:tcPr>
            <w:tcW w:type="dxa" w:w="3408"/>
            <w:vAlign w:val="top"/>
          </w:tcPr>
          <w:p>
            <w:pPr>
              <w:spacing w:after="0"/>
            </w:pPr>
            <w:r>
              <w:rPr>
                <w:rFonts w:ascii="Aptos" w:hAnsi="Aptos"/>
                <w:sz w:val="15"/>
              </w:rPr>
              <w:t>Method and controls</w:t>
            </w:r>
          </w:p>
        </w:tc>
        <w:tc>
          <w:tcPr>
            <w:tcW w:type="dxa" w:w="3408"/>
            <w:vAlign w:val="top"/>
          </w:tcPr>
          <w:p>
            <w:pPr>
              <w:spacing w:after="0"/>
            </w:pPr>
            <w:r>
              <w:rPr>
                <w:rFonts w:ascii="Aptos" w:hAnsi="Aptos"/>
                <w:sz w:val="15"/>
              </w:rPr>
              <w:t>ExplanatoryFile(N).docx</w:t>
            </w:r>
          </w:p>
        </w:tc>
        <w:tc>
          <w:tcPr>
            <w:tcW w:type="dxa" w:w="3408"/>
            <w:vAlign w:val="top"/>
          </w:tcPr>
          <w:p>
            <w:pPr>
              <w:spacing w:after="0"/>
            </w:pPr>
            <w:r>
              <w:rPr>
                <w:rFonts w:ascii="Aptos" w:hAnsi="Aptos"/>
                <w:sz w:val="15"/>
              </w:rPr>
              <w:t>This end-to-end audit trail</w:t>
            </w:r>
          </w:p>
        </w:tc>
      </w:tr>
    </w:tbl>
    <w:p>
      <w:pPr>
        <w:pStyle w:val="Heading1"/>
      </w:pPr>
      <w:r>
        <w:t>Final control conclusion</w:t>
      </w:r>
    </w:p>
    <w:p>
      <w:r>
        <w:t>All six requested roles are present and cross-referenced. The package accounts for 100/100 identities, 100/100 billing rows, 100/100 clinical rows, four urgent exclusions, 96 cleared patients, and zero emergency scheduling conflicts. Collection and refund actions reconcile to the $93,500 net shortfall.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