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pStyle w:val="Heading1"/>
      </w:pPr>
      <w:r>
        <w:t>Controlled Formulary And Reconciliation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/>
        </w:trPr>
        <w:tc>
          <w:tcPr>
            <w:tcW w:type="dxa" w:w="2045"/>
          </w:tcPr>
          <w:p>
            <w:r>
              <w:rPr>
                <w:b/>
                <w:color w:val="17324D"/>
              </w:rPr>
              <w:t>Document ID</w:t>
            </w:r>
          </w:p>
        </w:tc>
        <w:tc>
          <w:tcPr>
            <w:tcW w:type="dxa" w:w="2045"/>
          </w:tcPr>
          <w:p>
            <w:r>
              <w:rPr>
                <w:b/>
                <w:color w:val="17324D"/>
              </w:rPr>
              <w:t>Revision</w:t>
            </w:r>
          </w:p>
        </w:tc>
        <w:tc>
          <w:tcPr>
            <w:tcW w:type="dxa" w:w="2045"/>
          </w:tcPr>
          <w:p>
            <w:r>
              <w:rPr>
                <w:b/>
                <w:color w:val="17324D"/>
              </w:rPr>
              <w:t>Status</w:t>
            </w:r>
          </w:p>
        </w:tc>
        <w:tc>
          <w:tcPr>
            <w:tcW w:type="dxa" w:w="2045"/>
          </w:tcPr>
          <w:p>
            <w:r>
              <w:rPr>
                <w:b/>
                <w:color w:val="17324D"/>
              </w:rPr>
              <w:t>Effective date</w:t>
            </w:r>
          </w:p>
        </w:tc>
        <w:tc>
          <w:tcPr>
            <w:tcW w:type="dxa" w:w="2045"/>
          </w:tcPr>
          <w:p>
            <w:r>
              <w:rPr>
                <w:b/>
                <w:color w:val="17324D"/>
              </w:rPr>
              <w:t>Approved by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FG-2026-04</w:t>
            </w:r>
          </w:p>
        </w:tc>
        <w:tc>
          <w:tcPr>
            <w:tcW w:type="dxa" w:w="2045"/>
          </w:tcPr>
          <w:p>
            <w:r>
              <w:t>R4.2</w:t>
            </w:r>
          </w:p>
        </w:tc>
        <w:tc>
          <w:tcPr>
            <w:tcW w:type="dxa" w:w="2045"/>
          </w:tcPr>
          <w:p>
            <w:r>
              <w:t>Approved</w:t>
            </w:r>
          </w:p>
        </w:tc>
        <w:tc>
          <w:tcPr>
            <w:tcW w:type="dxa" w:w="2045"/>
          </w:tcPr>
          <w:p>
            <w:r>
              <w:t>2026-07-01</w:t>
            </w:r>
          </w:p>
        </w:tc>
        <w:tc>
          <w:tcPr>
            <w:tcW w:type="dxa" w:w="2045"/>
          </w:tcPr>
          <w:p>
            <w:r>
              <w:t>Medication Use Committee</w:t>
            </w:r>
          </w:p>
        </w:tc>
      </w:tr>
    </w:tbl>
    <w:p>
      <w:pPr>
        <w:pStyle w:val="Heading2"/>
      </w:pPr>
      <w:r>
        <w:t>1. Source Authority For Care-Transition Reconciliation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408"/>
          </w:tcPr>
          <w:p>
            <w:r>
              <w:rPr>
                <w:b/>
                <w:color w:val="17324D"/>
              </w:rPr>
              <w:t>Rank</w:t>
            </w:r>
          </w:p>
        </w:tc>
        <w:tc>
          <w:tcPr>
            <w:tcW w:type="dxa" w:w="3408"/>
          </w:tcPr>
          <w:p>
            <w:r>
              <w:rPr>
                <w:b/>
                <w:color w:val="17324D"/>
              </w:rPr>
              <w:t>Source or record type</w:t>
            </w:r>
          </w:p>
        </w:tc>
        <w:tc>
          <w:tcPr>
            <w:tcW w:type="dxa" w:w="3408"/>
          </w:tcPr>
          <w:p>
            <w:r>
              <w:rPr>
                <w:b/>
                <w:color w:val="17324D"/>
              </w:rPr>
              <w:t>Operational use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Final signed care-transition medication summary</w:t>
            </w:r>
          </w:p>
        </w:tc>
        <w:tc>
          <w:tcPr>
            <w:tcW w:type="dxa" w:w="3408"/>
          </w:tcPr>
          <w:p>
            <w:r>
              <w:t>Controls continue, start, change, and stop instructions after the signed time.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Prescriber clarification after final summary</w:t>
            </w:r>
          </w:p>
        </w:tc>
        <w:tc>
          <w:tcPr>
            <w:tcW w:type="dxa" w:w="3408"/>
          </w:tcPr>
          <w:p>
            <w:r>
              <w:t>Can resolve questions created by the final summary; use the latest dated clarification.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Active verified allergy record</w:t>
            </w:r>
          </w:p>
        </w:tc>
        <w:tc>
          <w:tcPr>
            <w:tcW w:type="dxa" w:w="3408"/>
          </w:tcPr>
          <w:p>
            <w:r>
              <w:t>Requires stop or clarification when a medication maps to an active severe allergy group.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Approved formulary substitution table in this reference</w:t>
            </w:r>
          </w:p>
        </w:tc>
        <w:tc>
          <w:tcPr>
            <w:tcW w:type="dxa" w:w="3408"/>
          </w:tcPr>
          <w:p>
            <w:r>
              <w:t>Allows named product-level substitutions only; class-level substitutions are not permitted.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Outpatient pharmacy profile and dispensing history</w:t>
            </w:r>
          </w:p>
        </w:tc>
        <w:tc>
          <w:tcPr>
            <w:tcW w:type="dxa" w:w="3408"/>
          </w:tcPr>
          <w:p>
            <w:r>
              <w:t>Shows supply, fills, and active profile state; does not override higher-ranked records.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Admission medication history and patient portal list</w:t>
            </w:r>
          </w:p>
        </w:tc>
        <w:tc>
          <w:tcPr>
            <w:tcW w:type="dxa" w:w="3408"/>
          </w:tcPr>
          <w:p>
            <w:r>
              <w:t>Supports home-list history and duplicate detection; does not override higher-ranked records.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Preliminary reconciliation queue rows</w:t>
            </w:r>
          </w:p>
        </w:tc>
        <w:tc>
          <w:tcPr>
            <w:tcW w:type="dxa" w:w="3408"/>
          </w:tcPr>
          <w:p>
            <w:r>
              <w:t>Workflow notes only; final or current rows must be checked before acting.</w:t>
            </w:r>
          </w:p>
        </w:tc>
      </w:tr>
    </w:tbl>
    <w:p>
      <w:pPr>
        <w:pStyle w:val="Heading2"/>
      </w:pPr>
      <w:r>
        <w:t>2. Safety Boundary</w:t>
      </w:r>
    </w:p>
    <w:p>
      <w:pPr>
        <w:pStyle w:val="ListBullet"/>
      </w:pPr>
      <w:r>
        <w:t>Use KEEP, CHANGE, STOP, or CLARIFY as operational dispositions; do not infer a new treatment plan from diagnosis or therapeutic class alone.</w:t>
      </w:r>
    </w:p>
    <w:p>
      <w:pPr>
        <w:pStyle w:val="ListBullet"/>
      </w:pPr>
      <w:r>
        <w:t>If a severe active allergy group maps to an active medication and the final summary stops it, set STOP and notify the pharmacist owner.</w:t>
      </w:r>
    </w:p>
    <w:p>
      <w:pPr>
        <w:pStyle w:val="ListBullet"/>
      </w:pPr>
      <w:r>
        <w:t>If an active medication is absent from the final summary and a later clarification does not resolve it, set CLARIFY rather than keep or stop.</w:t>
      </w:r>
    </w:p>
    <w:p>
      <w:pPr>
        <w:pStyle w:val="ListBullet"/>
      </w:pPr>
      <w:r>
        <w:t>For patient-only supplements not continued by the final summary, stop unless a later prescriber clarification says to continue.</w:t>
      </w:r>
    </w:p>
    <w:p>
      <w:pPr>
        <w:pStyle w:val="Heading2"/>
      </w:pPr>
      <w:r>
        <w:t>3. Approved Product-Level Substitutions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56"/>
          </w:tcPr>
          <w:p>
            <w:r>
              <w:rPr>
                <w:b/>
                <w:color w:val="17324D"/>
              </w:rPr>
              <w:t>Rule ID</w:t>
            </w:r>
          </w:p>
        </w:tc>
        <w:tc>
          <w:tcPr>
            <w:tcW w:type="dxa" w:w="2556"/>
          </w:tcPr>
          <w:p>
            <w:r>
              <w:rPr>
                <w:b/>
                <w:color w:val="17324D"/>
              </w:rPr>
              <w:t>Incoming label or product</w:t>
            </w:r>
          </w:p>
        </w:tc>
        <w:tc>
          <w:tcPr>
            <w:tcW w:type="dxa" w:w="2556"/>
          </w:tcPr>
          <w:p>
            <w:r>
              <w:rPr>
                <w:b/>
                <w:color w:val="17324D"/>
              </w:rPr>
              <w:t>Resolved outpatient product</w:t>
            </w:r>
          </w:p>
        </w:tc>
        <w:tc>
          <w:tcPr>
            <w:tcW w:type="dxa" w:w="2556"/>
          </w:tcPr>
          <w:p>
            <w:r>
              <w:rPr>
                <w:b/>
                <w:color w:val="17324D"/>
              </w:rPr>
              <w:t>Limit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FG-SUB-001</w:t>
            </w:r>
          </w:p>
        </w:tc>
        <w:tc>
          <w:tcPr>
            <w:tcW w:type="dxa" w:w="2556"/>
          </w:tcPr>
          <w:p>
            <w:r>
              <w:t>Lantus SoloStar, Basaglar KwikPen, Semglee, or insulin glargine-yfgn U-100</w:t>
            </w:r>
          </w:p>
        </w:tc>
        <w:tc>
          <w:tcPr>
            <w:tcW w:type="dxa" w:w="2556"/>
          </w:tcPr>
          <w:p>
            <w:r>
              <w:t>insulin glargine-yfgn U-100 pen</w:t>
            </w:r>
          </w:p>
        </w:tc>
        <w:tc>
          <w:tcPr>
            <w:tcW w:type="dxa" w:w="2556"/>
          </w:tcPr>
          <w:p>
            <w:r>
              <w:t>Same concentration only; if the final summary changes units, use the final-summary units.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FG-SUB-002</w:t>
            </w:r>
          </w:p>
        </w:tc>
        <w:tc>
          <w:tcPr>
            <w:tcW w:type="dxa" w:w="2556"/>
          </w:tcPr>
          <w:p>
            <w:r>
              <w:t>pantoprazole 40 mg tablet</w:t>
            </w:r>
          </w:p>
        </w:tc>
        <w:tc>
          <w:tcPr>
            <w:tcW w:type="dxa" w:w="2556"/>
          </w:tcPr>
          <w:p>
            <w:r>
              <w:t>omeprazole 20 mg capsule</w:t>
            </w:r>
          </w:p>
        </w:tc>
        <w:tc>
          <w:tcPr>
            <w:tcW w:type="dxa" w:w="2556"/>
          </w:tcPr>
          <w:p>
            <w:r>
              <w:t>Allowed unless the final summary states do not substitute.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FG-SUB-003</w:t>
            </w:r>
          </w:p>
        </w:tc>
        <w:tc>
          <w:tcPr>
            <w:tcW w:type="dxa" w:w="2556"/>
          </w:tcPr>
          <w:p>
            <w:r>
              <w:t>Ventolin HFA, ProAir HFA, or generic albuterol HFA 90 mcg</w:t>
            </w:r>
          </w:p>
        </w:tc>
        <w:tc>
          <w:tcPr>
            <w:tcW w:type="dxa" w:w="2556"/>
          </w:tcPr>
          <w:p>
            <w:r>
              <w:t>albuterol HFA inhaler</w:t>
            </w:r>
          </w:p>
        </w:tc>
        <w:tc>
          <w:tcPr>
            <w:tcW w:type="dxa" w:w="2556"/>
          </w:tcPr>
          <w:p>
            <w:r>
              <w:t>Metered-dose HFA products only.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FG-SUB-004</w:t>
            </w:r>
          </w:p>
        </w:tc>
        <w:tc>
          <w:tcPr>
            <w:tcW w:type="dxa" w:w="2556"/>
          </w:tcPr>
          <w:p>
            <w:r>
              <w:t>Klor-Con M20 or potassium chloride ER 20 mEq</w:t>
            </w:r>
          </w:p>
        </w:tc>
        <w:tc>
          <w:tcPr>
            <w:tcW w:type="dxa" w:w="2556"/>
          </w:tcPr>
          <w:p>
            <w:r>
              <w:t>potassium chloride ER 20 mEq tablet</w:t>
            </w:r>
          </w:p>
        </w:tc>
        <w:tc>
          <w:tcPr>
            <w:tcW w:type="dxa" w:w="2556"/>
          </w:tcPr>
          <w:p>
            <w:r>
              <w:t>Same extended-release strength only.</w:t>
            </w:r>
          </w:p>
        </w:tc>
      </w:tr>
    </w:tbl>
    <w:p>
      <w:pPr>
        <w:pStyle w:val="Heading2"/>
      </w:pPr>
      <w:r>
        <w:t>4. Explicit Non-Substitutions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408"/>
          </w:tcPr>
          <w:p>
            <w:r>
              <w:rPr>
                <w:b/>
                <w:color w:val="17324D"/>
              </w:rPr>
              <w:t>Rule ID</w:t>
            </w:r>
          </w:p>
        </w:tc>
        <w:tc>
          <w:tcPr>
            <w:tcW w:type="dxa" w:w="3408"/>
          </w:tcPr>
          <w:p>
            <w:r>
              <w:rPr>
                <w:b/>
                <w:color w:val="17324D"/>
              </w:rPr>
              <w:t>Do not collapse</w:t>
            </w:r>
          </w:p>
        </w:tc>
        <w:tc>
          <w:tcPr>
            <w:tcW w:type="dxa" w:w="3408"/>
          </w:tcPr>
          <w:p>
            <w:r>
              <w:rPr>
                <w:b/>
                <w:color w:val="17324D"/>
              </w:rPr>
              <w:t>Reason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FG-SUB-EXCL-01</w:t>
            </w:r>
          </w:p>
        </w:tc>
        <w:tc>
          <w:tcPr>
            <w:tcW w:type="dxa" w:w="3408"/>
          </w:tcPr>
          <w:p>
            <w:r>
              <w:t>atorvastatin and rosuvastatin</w:t>
            </w:r>
          </w:p>
        </w:tc>
        <w:tc>
          <w:tcPr>
            <w:tcW w:type="dxa" w:w="3408"/>
          </w:tcPr>
          <w:p>
            <w:r>
              <w:t>Same class does not equal a formulary substitution; use the final summary lines.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FG-SUB-EXCL-02</w:t>
            </w:r>
          </w:p>
        </w:tc>
        <w:tc>
          <w:tcPr>
            <w:tcW w:type="dxa" w:w="3408"/>
          </w:tcPr>
          <w:p>
            <w:r>
              <w:t>metoprolol tartrate and metoprolol succinate ER</w:t>
            </w:r>
          </w:p>
        </w:tc>
        <w:tc>
          <w:tcPr>
            <w:tcW w:type="dxa" w:w="3408"/>
          </w:tcPr>
          <w:p>
            <w:r>
              <w:t>Different release form and instructions; use the final summary lines.</w:t>
            </w:r>
          </w:p>
        </w:tc>
      </w:tr>
    </w:tbl>
    <w:p>
      <w:pPr>
        <w:pStyle w:val="Heading2"/>
      </w:pPr>
      <w:r>
        <w:t>5. Risk And Owner Guidance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408"/>
          </w:tcPr>
          <w:p>
            <w:r>
              <w:rPr>
                <w:b/>
                <w:color w:val="17324D"/>
              </w:rPr>
              <w:t>Risk tier</w:t>
            </w:r>
          </w:p>
        </w:tc>
        <w:tc>
          <w:tcPr>
            <w:tcW w:type="dxa" w:w="3408"/>
          </w:tcPr>
          <w:p>
            <w:r>
              <w:rPr>
                <w:b/>
                <w:color w:val="17324D"/>
              </w:rPr>
              <w:t>Medication groups</w:t>
            </w:r>
          </w:p>
        </w:tc>
        <w:tc>
          <w:tcPr>
            <w:tcW w:type="dxa" w:w="3408"/>
          </w:tcPr>
          <w:p>
            <w:r>
              <w:rPr>
                <w:b/>
                <w:color w:val="17324D"/>
              </w:rPr>
              <w:t>Expected owner timing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anticoagulants, insulin products, opioids, severe active allergy conflicts</w:t>
            </w:r>
          </w:p>
        </w:tc>
        <w:tc>
          <w:tcPr>
            <w:tcW w:type="dxa" w:w="3408"/>
          </w:tcPr>
          <w:p>
            <w:r>
              <w:t>Pharmacist review same business day.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MED</w:t>
            </w:r>
          </w:p>
        </w:tc>
        <w:tc>
          <w:tcPr>
            <w:tcW w:type="dxa" w:w="3408"/>
          </w:tcPr>
          <w:p>
            <w:r>
              <w:t>cardiovascular dose changes, potassium/electrolyte-related medications, nitroglycerin</w:t>
            </w:r>
          </w:p>
        </w:tc>
        <w:tc>
          <w:tcPr>
            <w:tcW w:type="dxa" w:w="3408"/>
          </w:tcPr>
          <w:p>
            <w:r>
              <w:t>Pharmacist or prescriber review within 1 business day.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LOW</w:t>
            </w:r>
          </w:p>
        </w:tc>
        <w:tc>
          <w:tcPr>
            <w:tcW w:type="dxa" w:w="3408"/>
          </w:tcPr>
          <w:p>
            <w:r>
              <w:t>routine chronic medications, nonessential supplements, bowel regimen, inhaler maintenance</w:t>
            </w:r>
          </w:p>
        </w:tc>
        <w:tc>
          <w:tcPr>
            <w:tcW w:type="dxa" w:w="3408"/>
          </w:tcPr>
          <w:p>
            <w:r>
              <w:t>Routine reconciliation within 2 business days unless another rule escalates it.</w:t>
            </w:r>
          </w:p>
        </w:tc>
      </w:tr>
    </w:tbl>
    <w:p>
      <w:pPr>
        <w:pStyle w:val="Heading2"/>
      </w:pPr>
      <w:r>
        <w:t>6.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56"/>
          </w:tcPr>
          <w:p>
            <w:r>
              <w:rPr>
                <w:b/>
                <w:color w:val="17324D"/>
              </w:rPr>
              <w:t>Revision</w:t>
            </w:r>
          </w:p>
        </w:tc>
        <w:tc>
          <w:tcPr>
            <w:tcW w:type="dxa" w:w="2556"/>
          </w:tcPr>
          <w:p>
            <w:r>
              <w:rPr>
                <w:b/>
                <w:color w:val="17324D"/>
              </w:rPr>
              <w:t>Status</w:t>
            </w:r>
          </w:p>
        </w:tc>
        <w:tc>
          <w:tcPr>
            <w:tcW w:type="dxa" w:w="2556"/>
          </w:tcPr>
          <w:p>
            <w:r>
              <w:rPr>
                <w:b/>
                <w:color w:val="17324D"/>
              </w:rPr>
              <w:t>Effective date</w:t>
            </w:r>
          </w:p>
        </w:tc>
        <w:tc>
          <w:tcPr>
            <w:tcW w:type="dxa" w:w="2556"/>
          </w:tcPr>
          <w:p>
            <w:r>
              <w:rPr>
                <w:b/>
                <w:color w:val="17324D"/>
              </w:rPr>
              <w:t>Note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R4.1</w:t>
            </w:r>
          </w:p>
        </w:tc>
        <w:tc>
          <w:tcPr>
            <w:tcW w:type="dxa" w:w="2556"/>
          </w:tcPr>
          <w:p>
            <w:r>
              <w:t>Retired</w:t>
            </w:r>
          </w:p>
        </w:tc>
        <w:tc>
          <w:tcPr>
            <w:tcW w:type="dxa" w:w="2556"/>
          </w:tcPr>
          <w:p>
            <w:r>
              <w:t>2026-05-01</w:t>
            </w:r>
          </w:p>
        </w:tc>
        <w:tc>
          <w:tcPr>
            <w:tcW w:type="dxa" w:w="2556"/>
          </w:tcPr>
          <w:p>
            <w:r>
              <w:t>Prior outpatient PPI interchange table.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R4.2</w:t>
            </w:r>
          </w:p>
        </w:tc>
        <w:tc>
          <w:tcPr>
            <w:tcW w:type="dxa" w:w="2556"/>
          </w:tcPr>
          <w:p>
            <w:r>
              <w:t>Approved</w:t>
            </w:r>
          </w:p>
        </w:tc>
        <w:tc>
          <w:tcPr>
            <w:tcW w:type="dxa" w:w="2556"/>
          </w:tcPr>
          <w:p>
            <w:r>
              <w:t>2026-07-01</w:t>
            </w:r>
          </w:p>
        </w:tc>
        <w:tc>
          <w:tcPr>
            <w:tcW w:type="dxa" w:w="2556"/>
          </w:tcPr>
          <w:p>
            <w:r>
              <w:t>Current controlled version for the index reconciliation date.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R4.3-draft</w:t>
            </w:r>
          </w:p>
        </w:tc>
        <w:tc>
          <w:tcPr>
            <w:tcW w:type="dxa" w:w="2556"/>
          </w:tcPr>
          <w:p>
            <w:r>
              <w:t>Draft only</w:t>
            </w:r>
          </w:p>
        </w:tc>
        <w:tc>
          <w:tcPr>
            <w:tcW w:type="dxa" w:w="2556"/>
          </w:tcPr>
          <w:p>
            <w:r>
              <w:t>Not effective</w:t>
            </w:r>
          </w:p>
        </w:tc>
        <w:tc>
          <w:tcPr>
            <w:tcW w:type="dxa" w:w="2556"/>
          </w:tcPr>
          <w:p>
            <w:r>
              <w:t>Draft rabeprazole language is not approved and must not be used for active reconciliation.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FG-2026-04 R4.2 | Approved controlled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Pharmacy Operations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Controlled Formulary And Reconciliation Reference</dc:title>
  <dc:subject>Operational source authority and substitution rules</dc:subject>
  <dc:creator>Pharmacy Operations</dc:creator>
  <cp:keywords>formulary, substitution, medication reconciliation, safety boundary</cp:keywords>
  <dc:description>Approved operational formulary and reconciliation reference for the index care-transition period.</dc:description>
  <cp:lastModifiedBy>Pharmacy Operations</cp:lastModifiedBy>
  <cp:revision>R4.2</cp:revision>
  <dcterms:created xsi:type="dcterms:W3CDTF">2026-07-01T00:00:00Z</dcterms:created>
  <dcterms:modified xsi:type="dcterms:W3CDTF">2026-07-01T00:00:00Z</dcterms:modified>
  <cp:category>Controlled reference</cp:category>
  <cp:contentStatus>Approved</cp:contentStatus>
</cp:coreProperties>
</file>