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Pharmacist Medication Reconciliation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val="clear" w:color="auto" w:fill="F7F7F5"/>
          </w:tcPr>
          <w:p>
            <w:r>
              <w:rPr>
                <w:b/>
                <w:color w:val="17324D"/>
              </w:rPr>
              <w:t>Field</w:t>
            </w:r>
          </w:p>
        </w:tc>
        <w:tc>
          <w:tcPr>
            <w:tcW w:type="dxa" w:w="7776"/>
            <w:shd w:val="clear" w:color="auto" w:fill="F7F7F5"/>
          </w:tcPr>
          <w:p>
            <w:r>
              <w:rPr>
                <w:b/>
                <w:color w:val="17324D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t>Case</w:t>
            </w:r>
          </w:p>
        </w:tc>
        <w:tc>
          <w:tcPr>
            <w:tcW w:type="dxa" w:w="7776"/>
            <w:vAlign w:val="top"/>
          </w:tcPr>
          <w:p>
            <w:r>
              <w:t>CT-2026-0713-18</w:t>
            </w:r>
          </w:p>
        </w:tc>
      </w:tr>
      <w:tr>
        <w:tc>
          <w:tcPr>
            <w:tcW w:type="dxa" w:w="2016"/>
            <w:vAlign w:val="top"/>
          </w:tcPr>
          <w:p>
            <w:r>
              <w:t>Patient label</w:t>
            </w:r>
          </w:p>
        </w:tc>
        <w:tc>
          <w:tcPr>
            <w:tcW w:type="dxa" w:w="7776"/>
            <w:vAlign w:val="top"/>
          </w:tcPr>
          <w:p>
            <w:r>
              <w:t>Mara Ellison</w:t>
            </w:r>
          </w:p>
        </w:tc>
      </w:tr>
      <w:tr>
        <w:tc>
          <w:tcPr>
            <w:tcW w:type="dxa" w:w="2016"/>
            <w:vAlign w:val="top"/>
          </w:tcPr>
          <w:p>
            <w:r>
              <w:t>Effective date</w:t>
            </w:r>
          </w:p>
        </w:tc>
        <w:tc>
          <w:tcPr>
            <w:tcW w:type="dxa" w:w="7776"/>
            <w:vAlign w:val="top"/>
          </w:tcPr>
          <w:p>
            <w:r>
              <w:t>2026-07-15</w:t>
            </w:r>
          </w:p>
        </w:tc>
      </w:tr>
      <w:tr>
        <w:tc>
          <w:tcPr>
            <w:tcW w:type="dxa" w:w="2016"/>
            <w:vAlign w:val="top"/>
          </w:tcPr>
          <w:p>
            <w:r>
              <w:t>Status</w:t>
            </w:r>
          </w:p>
        </w:tc>
        <w:tc>
          <w:tcPr>
            <w:tcW w:type="dxa" w:w="7776"/>
            <w:vAlign w:val="top"/>
          </w:tcPr>
          <w:p>
            <w:r>
              <w:t>Final for pharmacist action; open items stay in CLARIFY.</w:t>
            </w:r>
          </w:p>
        </w:tc>
      </w:tr>
    </w:tbl>
    <w:p>
      <w:pPr>
        <w:pStyle w:val="Heading2"/>
      </w:pPr>
      <w:r>
        <w:t>1.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val="clear" w:color="auto" w:fill="F7F7F5"/>
          </w:tcPr>
          <w:p>
            <w:r>
              <w:rPr>
                <w:b/>
                <w:color w:val="17324D"/>
              </w:rPr>
              <w:t>Decision element</w:t>
            </w:r>
          </w:p>
        </w:tc>
        <w:tc>
          <w:tcPr>
            <w:tcW w:type="dxa" w:w="7344"/>
            <w:shd w:val="clear" w:color="auto" w:fill="F7F7F5"/>
          </w:tcPr>
          <w:p>
            <w:r>
              <w:rPr>
                <w:b/>
                <w:color w:val="17324D"/>
              </w:rPr>
              <w:t>Operational answer</w:t>
            </w:r>
          </w:p>
        </w:tc>
      </w:tr>
      <w:tr>
        <w:tc>
          <w:tcPr>
            <w:tcW w:type="dxa" w:w="2448"/>
            <w:vAlign w:val="top"/>
          </w:tcPr>
          <w:p>
            <w:r>
              <w:t>Decision</w:t>
            </w:r>
          </w:p>
        </w:tc>
        <w:tc>
          <w:tcPr>
            <w:tcW w:type="dxa" w:w="7344"/>
            <w:vAlign w:val="top"/>
          </w:tcPr>
          <w:p>
            <w:r>
              <w:t>Use the final signed transition summary, latest prescriber clarification, verified allergy record, and approved formulary guide to reconcile the index care-transition population.</w:t>
            </w:r>
          </w:p>
        </w:tc>
      </w:tr>
      <w:tr>
        <w:tc>
          <w:tcPr>
            <w:tcW w:type="dxa" w:w="2448"/>
            <w:vAlign w:val="top"/>
          </w:tcPr>
          <w:p>
            <w:r>
              <w:t>Population</w:t>
            </w:r>
          </w:p>
        </w:tc>
        <w:tc>
          <w:tcPr>
            <w:tcW w:type="dxa" w:w="7344"/>
            <w:vAlign w:val="top"/>
          </w:tcPr>
          <w:p>
            <w:r>
              <w:t>35 retained medication identities for CT-2026-0713-18; exclude the same-batch CT-2026-0713-19 cetirizine row.</w:t>
            </w:r>
          </w:p>
        </w:tc>
      </w:tr>
      <w:tr>
        <w:tc>
          <w:tcPr>
            <w:tcW w:type="dxa" w:w="2448"/>
            <w:vAlign w:val="top"/>
          </w:tcPr>
          <w:p>
            <w:r>
              <w:t>Action mix</w:t>
            </w:r>
          </w:p>
        </w:tc>
        <w:tc>
          <w:tcPr>
            <w:tcW w:type="dxa" w:w="7344"/>
            <w:vAlign w:val="top"/>
          </w:tcPr>
          <w:p>
            <w:r>
              <w:t>KEEP 13, CHANGE 6, STOP 14, CLARIFY 2.</w:t>
            </w:r>
          </w:p>
        </w:tc>
      </w:tr>
      <w:tr>
        <w:tc>
          <w:tcPr>
            <w:tcW w:type="dxa" w:w="2448"/>
            <w:vAlign w:val="top"/>
          </w:tcPr>
          <w:p>
            <w:r>
              <w:t>Safety boundary</w:t>
            </w:r>
          </w:p>
        </w:tc>
        <w:tc>
          <w:tcPr>
            <w:tcW w:type="dxa" w:w="7344"/>
            <w:vAlign w:val="top"/>
          </w:tcPr>
          <w:p>
            <w:r>
              <w:t>Do not infer therapy for omitted active medications. Spironolactone and magnesium oxide remain clarification questions.</w:t>
            </w:r>
          </w:p>
        </w:tc>
      </w:tr>
    </w:tbl>
    <w:p>
      <w:pPr>
        <w:pStyle w:val="Heading2"/>
      </w:pPr>
      <w:r>
        <w:t>2. Compact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val="clear" w:color="auto" w:fill="F7F7F5"/>
          </w:tcPr>
          <w:p>
            <w:r>
              <w:rPr>
                <w:b/>
                <w:color w:val="17324D"/>
              </w:rPr>
              <w:t>Finding</w:t>
            </w:r>
          </w:p>
        </w:tc>
        <w:tc>
          <w:tcPr>
            <w:tcW w:type="dxa" w:w="7344"/>
            <w:shd w:val="clear" w:color="auto" w:fill="F7F7F5"/>
          </w:tcPr>
          <w:p>
            <w:r>
              <w:rPr>
                <w:b/>
                <w:color w:val="17324D"/>
              </w:rPr>
              <w:t>Evidence-grounded disposition</w:t>
            </w:r>
          </w:p>
        </w:tc>
      </w:tr>
      <w:tr>
        <w:tc>
          <w:tcPr>
            <w:tcW w:type="dxa" w:w="2448"/>
            <w:vAlign w:val="top"/>
          </w:tcPr>
          <w:p>
            <w:r>
              <w:t>Scope and duplicates</w:t>
            </w:r>
          </w:p>
        </w:tc>
        <w:tc>
          <w:tcPr>
            <w:tcW w:type="dxa" w:w="7344"/>
            <w:vAlign w:val="top"/>
          </w:tcPr>
          <w:p>
            <w:r>
              <w:t>Action_Register retains 35 medication identities; patient-entered Lopressor and metoprolol tartrate collapse into one stopped metoprolol tartrate row; CT-2026-0713-19 cetirizine is excluded.</w:t>
            </w:r>
          </w:p>
        </w:tc>
      </w:tr>
      <w:tr>
        <w:tc>
          <w:tcPr>
            <w:tcW w:type="dxa" w:w="2448"/>
            <w:vAlign w:val="top"/>
          </w:tcPr>
          <w:p>
            <w:r>
              <w:t>Authority timeline</w:t>
            </w:r>
          </w:p>
        </w:tc>
        <w:tc>
          <w:tcPr>
            <w:tcW w:type="dxa" w:w="7344"/>
            <w:vAlign w:val="top"/>
          </w:tcPr>
          <w:p>
            <w:r>
              <w:t>DCS-744201-FINAL signed 2026-07-13 16:40 governs after preliminary queue rows; EML-20260714-1510 resolves potassium after the BMP; FG-2026-04 R4.2 is the approved formulary version.</w:t>
            </w:r>
          </w:p>
        </w:tc>
      </w:tr>
      <w:tr>
        <w:tc>
          <w:tcPr>
            <w:tcW w:type="dxa" w:w="2448"/>
            <w:vAlign w:val="top"/>
          </w:tcPr>
          <w:p>
            <w:r>
              <w:t>Antithrombotic disposition</w:t>
            </w:r>
          </w:p>
        </w:tc>
        <w:tc>
          <w:tcPr>
            <w:tcW w:type="dxa" w:w="7344"/>
            <w:vAlign w:val="top"/>
          </w:tcPr>
          <w:p>
            <w:r>
              <w:t>Apixaban is KEEP. Warfarin, aspirin, and clopidogrel are STOP. RCQ-7714 is rejected because it predates the final summary.</w:t>
            </w:r>
          </w:p>
        </w:tc>
      </w:tr>
      <w:tr>
        <w:tc>
          <w:tcPr>
            <w:tcW w:type="dxa" w:w="2448"/>
            <w:vAlign w:val="top"/>
          </w:tcPr>
          <w:p>
            <w:r>
              <w:t>Allergy actions</w:t>
            </w:r>
          </w:p>
        </w:tc>
        <w:tc>
          <w:tcPr>
            <w:tcW w:type="dxa" w:w="7344"/>
            <w:vAlign w:val="top"/>
          </w:tcPr>
          <w:p>
            <w:r>
              <w:t>Lisinopril, amoxicillin-clavulanate, and naproxen are STOP using active allergy anchors ALG-ACEI-20260712, ALG-PCN-20240703, and ALG-NSAID-20260218.</w:t>
            </w:r>
          </w:p>
        </w:tc>
      </w:tr>
      <w:tr>
        <w:tc>
          <w:tcPr>
            <w:tcW w:type="dxa" w:w="2448"/>
            <w:vAlign w:val="top"/>
          </w:tcPr>
          <w:p>
            <w:r>
              <w:t>Substitution actions</w:t>
            </w:r>
          </w:p>
        </w:tc>
        <w:tc>
          <w:tcPr>
            <w:tcW w:type="dxa" w:w="7344"/>
            <w:vAlign w:val="top"/>
          </w:tcPr>
          <w:p>
            <w:r>
              <w:t>Insulin glargine-yfgn 30 units, omeprazole 20 mg, albuterol HFA, and potassium chloride ER 20 mEq use approved product-level substitutions; draft rabeprazole and class-level statin/beta-blocker substitution are rejected.</w:t>
            </w:r>
          </w:p>
        </w:tc>
      </w:tr>
      <w:tr>
        <w:tc>
          <w:tcPr>
            <w:tcW w:type="dxa" w:w="2448"/>
            <w:vAlign w:val="top"/>
          </w:tcPr>
          <w:p>
            <w:r>
              <w:t>Dose and product changes</w:t>
            </w:r>
          </w:p>
        </w:tc>
        <w:tc>
          <w:tcPr>
            <w:tcW w:type="dxa" w:w="7344"/>
            <w:vAlign w:val="top"/>
          </w:tcPr>
          <w:p>
            <w:r>
              <w:t>Metoprolol tartrate is STOP and metoprolol succinate ER 100 mg is CHANGE. Furosemide changes to 40 mg daily, losartan starts, and rosuvastatin starts while atorvastatin stops.</w:t>
            </w:r>
          </w:p>
        </w:tc>
      </w:tr>
      <w:tr>
        <w:tc>
          <w:tcPr>
            <w:tcW w:type="dxa" w:w="2448"/>
            <w:vAlign w:val="top"/>
          </w:tcPr>
          <w:p>
            <w:r>
              <w:t>Unresolved boundary</w:t>
            </w:r>
          </w:p>
        </w:tc>
        <w:tc>
          <w:tcPr>
            <w:tcW w:type="dxa" w:w="7344"/>
            <w:vAlign w:val="top"/>
          </w:tcPr>
          <w:p>
            <w:r>
              <w:t>Only spironolactone and magnesium oxide remain CLARIFY pending owner response.</w:t>
            </w:r>
          </w:p>
        </w:tc>
      </w:tr>
    </w:tbl>
    <w:p>
      <w:pPr>
        <w:pStyle w:val="Heading2"/>
      </w:pPr>
      <w:r>
        <w:t>3. Escalation And Owner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val="clear" w:color="auto" w:fill="F7F7F5"/>
          </w:tcPr>
          <w:p>
            <w:r>
              <w:rPr>
                <w:b/>
                <w:color w:val="17324D"/>
              </w:rPr>
              <w:t>Owner</w:t>
            </w:r>
          </w:p>
        </w:tc>
        <w:tc>
          <w:tcPr>
            <w:tcW w:type="dxa" w:w="6336"/>
            <w:shd w:val="clear" w:color="auto" w:fill="F7F7F5"/>
          </w:tcPr>
          <w:p>
            <w:r>
              <w:rPr>
                <w:b/>
                <w:color w:val="17324D"/>
              </w:rPr>
              <w:t>Action</w:t>
            </w:r>
          </w:p>
        </w:tc>
        <w:tc>
          <w:tcPr>
            <w:tcW w:type="dxa" w:w="1296"/>
            <w:shd w:val="clear" w:color="auto" w:fill="F7F7F5"/>
          </w:tcPr>
          <w:p>
            <w:r>
              <w:rPr>
                <w:b/>
                <w:color w:val="17324D"/>
              </w:rPr>
              <w:t>Due</w:t>
            </w:r>
          </w:p>
        </w:tc>
      </w:tr>
      <w:tr>
        <w:tc>
          <w:tcPr>
            <w:tcW w:type="dxa" w:w="2304"/>
            <w:vAlign w:val="top"/>
          </w:tcPr>
          <w:p>
            <w:r>
              <w:t>Same-day pharmacist</w:t>
            </w:r>
          </w:p>
        </w:tc>
        <w:tc>
          <w:tcPr>
            <w:tcW w:type="dxa" w:w="6336"/>
            <w:vAlign w:val="top"/>
          </w:tcPr>
          <w:p>
            <w:r>
              <w:t>Warfarin STOP, apixaban KEEP, insulin glargine CHANGE, insulin lispro KEEP, lisinopril/amoxicillin-clavulanate/naproxen allergy STOP, oxycodone STOP.</w:t>
            </w:r>
          </w:p>
        </w:tc>
        <w:tc>
          <w:tcPr>
            <w:tcW w:type="dxa" w:w="1296"/>
            <w:vAlign w:val="top"/>
          </w:tcPr>
          <w:p>
            <w:r>
              <w:t>2026-07-15</w:t>
            </w:r>
          </w:p>
        </w:tc>
      </w:tr>
      <w:tr>
        <w:tc>
          <w:tcPr>
            <w:tcW w:type="dxa" w:w="2304"/>
            <w:vAlign w:val="top"/>
          </w:tcPr>
          <w:p>
            <w:r>
              <w:t>Prescriber / Cardiology</w:t>
            </w:r>
          </w:p>
        </w:tc>
        <w:tc>
          <w:tcPr>
            <w:tcW w:type="dxa" w:w="6336"/>
            <w:vAlign w:val="top"/>
          </w:tcPr>
          <w:p>
            <w:r>
              <w:t>Confirm whether spironolactone 25 mg should continue from the active pharmacy profile.</w:t>
            </w:r>
          </w:p>
        </w:tc>
        <w:tc>
          <w:tcPr>
            <w:tcW w:type="dxa" w:w="1296"/>
            <w:vAlign w:val="top"/>
          </w:tcPr>
          <w:p>
            <w:r>
              <w:t>2026-07-15</w:t>
            </w:r>
          </w:p>
        </w:tc>
      </w:tr>
      <w:tr>
        <w:tc>
          <w:tcPr>
            <w:tcW w:type="dxa" w:w="2304"/>
            <w:vAlign w:val="top"/>
          </w:tcPr>
          <w:p>
            <w:r>
              <w:t>Discharging service</w:t>
            </w:r>
          </w:p>
        </w:tc>
        <w:tc>
          <w:tcPr>
            <w:tcW w:type="dxa" w:w="6336"/>
            <w:vAlign w:val="top"/>
          </w:tcPr>
          <w:p>
            <w:r>
              <w:t>Confirm whether magnesium oxide 400 mg should continue because it is absent from the final transition summary.</w:t>
            </w:r>
          </w:p>
        </w:tc>
        <w:tc>
          <w:tcPr>
            <w:tcW w:type="dxa" w:w="1296"/>
            <w:vAlign w:val="top"/>
          </w:tcPr>
          <w:p>
            <w:r>
              <w:t>2026-07-16</w:t>
            </w:r>
          </w:p>
        </w:tc>
      </w:tr>
      <w:tr>
        <w:tc>
          <w:tcPr>
            <w:tcW w:type="dxa" w:w="2304"/>
            <w:vAlign w:val="top"/>
          </w:tcPr>
          <w:p>
            <w:r>
              <w:t>Pharmacy profile cleanup</w:t>
            </w:r>
          </w:p>
        </w:tc>
        <w:tc>
          <w:tcPr>
            <w:tcW w:type="dxa" w:w="6336"/>
            <w:vAlign w:val="top"/>
          </w:tcPr>
          <w:p>
            <w:r>
              <w:t>Close stale or superseded profile rows: warfarin, lisinopril ready-fill, clopidogrel, atorvastatin, docusate, oxycodone, and other final-stop rows.</w:t>
            </w:r>
          </w:p>
        </w:tc>
        <w:tc>
          <w:tcPr>
            <w:tcW w:type="dxa" w:w="1296"/>
            <w:vAlign w:val="top"/>
          </w:tcPr>
          <w:p>
            <w:r>
              <w:t>2026-07-16</w:t>
            </w:r>
          </w:p>
        </w:tc>
      </w:tr>
    </w:tbl>
    <w:p>
      <w:pPr>
        <w:pStyle w:val="Heading2"/>
      </w:pPr>
      <w:r>
        <w:t>4. Workbook Tie-Out</w:t>
      </w:r>
    </w:p>
    <w:p>
      <w:r>
        <w:t>The med_rec.xlsx Action_Register, Status_View, Risk_Matrix, and Formula_Checks use the same population, action counts, clarification set, and evidence anchors as this note. Any downstream edit should be made in the workbook register first and then reflected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Revision 1.0 | Final operational note | Page </w:t>
    </w:r>
    <w:fldSimple w:instr="PAGE">
      <w:r>
        <w:rPr>
          <w:sz w:val="16"/>
        </w:rPr>
        <w:t>1</w:t>
      </w:r>
    </w:fldSimple>
    <w:r>
      <w:rPr>
        <w:sz w:val="16"/>
      </w:rPr>
      <w:t xml:space="preserve"> of </w:t>
    </w:r>
    <w:fldSimple w:instr="NUMPAGES">
      <w:r>
        <w:rPr>
          <w:sz w:val="16"/>
        </w:rPr>
        <w:t>2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Pharmacist Medication Reconciliation Note | CT-2026-0713-18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405</Words>
  <Characters>2975</Characters>
  <Application>Microsoft Word</Application>
  <DocSecurity>0</DocSecurity>
  <Lines>57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Outpatient Pharmacy</Company>
  <LinksUpToDate>false</LinksUpToDate>
  <CharactersWithSpaces>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Pharmacist Medication Reconciliation Note</dc:title>
  <dc:subject>Evidence-grounded reconciliation note for CT-2026-0713-18</dc:subject>
  <dc:creator>Outpatient Pharmacy</dc:creator>
  <cp:keywords>pharmacist note, med rec, care transition</cp:keywords>
  <dc:description>Operational reconciliation note linked to the med_rec workbook.</dc:description>
  <cp:lastModifiedBy>Outpatient Pharmacy</cp:lastModifiedBy>
  <cp:revision>1</cp:revision>
  <dcterms:created xsi:type="dcterms:W3CDTF">2026-07-15T13:24:22Z</dcterms:created>
  <dcterms:modified xsi:type="dcterms:W3CDTF">2026-07-15T13:24:22Z</dcterms:modified>
  <cp:category>Medication reconciliation</cp:category>
  <cp:contentStatus>Final operational note</cp:contentStatus>
</cp:coreProperties>
</file>