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2"/>
        </w:rPr>
        <w:t>Wire Rod and Stitch Coupon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D9EAF7"/>
          </w:tcPr>
          <w:p>
            <w:r>
              <w:rPr>
                <w:b/>
                <w:color w:val="1D3557"/>
              </w:rPr>
              <w:t>Field</w:t>
            </w:r>
          </w:p>
        </w:tc>
        <w:tc>
          <w:tcPr>
            <w:tcW w:type="dxa" w:w="7920"/>
            <w:shd w:fill="D9EAF7"/>
          </w:tcPr>
          <w:p>
            <w:r>
              <w:rPr>
                <w:b/>
                <w:color w:val="1D3557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STD-CU-309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3.0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Effective Date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2026-05-30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Author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Evan Brooks, Incoming Quality Engineer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Controlled</w:t>
            </w:r>
          </w:p>
        </w:tc>
      </w:tr>
    </w:tbl>
    <w:p>
      <w:pPr>
        <w:pStyle w:val="Heading2"/>
      </w:pPr>
      <w:r>
        <w:t>1. Purpose</w:t>
      </w:r>
    </w:p>
    <w:p>
      <w:r>
        <w:t>Control oxygen-sensitive wire rod and stitch coupon lots before anneal and microbond evaluation.</w:t>
      </w:r>
    </w:p>
    <w:p>
      <w:pPr>
        <w:pStyle w:val="Heading2"/>
      </w:pPr>
      <w:r>
        <w:t>2. Applicability</w:t>
      </w:r>
    </w:p>
    <w:p>
      <w:r>
        <w:t>Apply to incoming E-Cu58 and stitch-wire coupons; use other standards only when they are more stringent.</w:t>
      </w:r>
    </w:p>
    <w:p>
      <w:pPr>
        <w:pStyle w:val="Heading2"/>
      </w:pPr>
      <w:r>
        <w:t>3.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</w:tcPr>
          <w:p>
            <w:r>
              <w:rPr>
                <w:b/>
                <w:color w:val="1D3557"/>
              </w:rPr>
              <w:t>Impurity or field</w:t>
            </w:r>
          </w:p>
        </w:tc>
        <w:tc>
          <w:tcPr>
            <w:tcW w:type="dxa" w:w="6336"/>
            <w:shd w:fill="D9EAF7"/>
          </w:tcPr>
          <w:p>
            <w:r>
              <w:rPr>
                <w:b/>
                <w:color w:val="1D3557"/>
              </w:rPr>
              <w:t>Limit / rule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Oxygen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5.0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Sulfur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6.0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Lead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7.0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Bismuth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3.0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Iron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12.0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Nickel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5.0 ppm</w:t>
            </w:r>
          </w:p>
        </w:tc>
      </w:tr>
    </w:tbl>
    <w:p>
      <w:pPr>
        <w:pStyle w:val="Heading2"/>
      </w:pPr>
      <w:r>
        <w:t>4. Notes</w:t>
      </w:r>
    </w:p>
    <w:p>
      <w:r>
        <w:t>The oxygen and nickel limits here are intentionally lower than the base material table because wire-draw defects are sensitive to both species.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Wire Rod and Stitch Coupon Limits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STD-CU-309 | Rev. 3.0 | Controlled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5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D35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 Rod and Stitch Coupon Limits</dc:title>
  <dc:subject>Copper conductor qualification source document</dc:subject>
  <dc:creator>Evan Brooks, Incoming Quality Engineer</dc:creator>
  <cp:keywords>copper, PCB, conductor, qualification</cp:keywords>
  <dc:description>Generated benchmark source artifact; no hidden answers.</dc:description>
  <cp:lastModifiedBy/>
  <cp:revision>1</cp:revision>
  <dcterms:created xsi:type="dcterms:W3CDTF">2013-12-23T23:15:00Z</dcterms:created>
  <dcterms:modified xsi:type="dcterms:W3CDTF">2013-12-23T23:15:00Z</dcterms:modified>
  <cp:category>Materials qualification</cp:category>
</cp:coreProperties>
</file>