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Conductor Control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CCP-CU-180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2026-05-20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Olivia Grant, Product Quality Engineer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Revision History</w:t>
      </w:r>
    </w:p>
    <w:p>
      <w:r>
        <w:t>Rev. 1.0 supported pre-July pilot builds and remains available for traceability.</w:t>
      </w:r>
    </w:p>
    <w:p>
      <w:pPr>
        <w:pStyle w:val="Heading2"/>
      </w:pPr>
      <w:r>
        <w:t>2. Electrical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D9EAF7"/>
          </w:tcPr>
          <w:p>
            <w:r>
              <w:rPr>
                <w:b/>
                <w:color w:val="1D3557"/>
              </w:rPr>
              <w:t>Clause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color w:val="1D3557"/>
              </w:rPr>
              <w:t>Parameter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Scope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Minimum conductivity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100.0 % IACS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all copper conductor lots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Maximum trace resistance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170 mOhm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50 mm hybrid-bond verification trace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E-3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Finished copper thickness floor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17.0 um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hybrid-bond stack codes</w:t>
            </w:r>
          </w:p>
        </w:tc>
      </w:tr>
    </w:tbl>
    <w:p>
      <w:pPr>
        <w:pStyle w:val="Heading2"/>
      </w:pPr>
      <w:r>
        <w:t>3. Qualification Note</w:t>
      </w:r>
    </w:p>
    <w:p>
      <w:r>
        <w:t>Rev. 1.0 is not the governing electrical limit after the July supplier alignment notice.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Conductor Control Plan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CCP-CU-180 | Rev. 1.0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Conductor Control Plan</dc:title>
  <dc:subject>Copper conductor qualification source document</dc:subject>
  <dc:creator>Olivia Grant, Product Quality Engineer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