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Hybrid Bonding Copper Process Change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PCN-HB-044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2026-07-05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Marco Ramos, Process Integration Manager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Change Scope</w:t>
      </w:r>
    </w:p>
    <w:p>
      <w:r>
        <w:t>This notice applies only to hybrid-bond stack codes beginning with HB- for July 2026 RDL and stitch coupon lots.</w:t>
      </w:r>
    </w:p>
    <w:p>
      <w:pPr>
        <w:pStyle w:val="Heading2"/>
      </w:pPr>
      <w:r>
        <w:t>2. Changed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Parameter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Rev. 2 reference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color w:val="1D3557"/>
              </w:rPr>
              <w:t>PCN-C governed value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color w:val="1D3557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Finished copper thickness floor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18.0 um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17.5 um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metrology gauge correlation after XR-17 service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Maximum trace resistance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160 mOhm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electrical acceptance remains governed by CCP-CU-180 Rev. 2</w:t>
            </w:r>
          </w:p>
        </w:tc>
      </w:tr>
    </w:tbl>
    <w:p>
      <w:pPr>
        <w:pStyle w:val="Heading2"/>
      </w:pPr>
      <w:r>
        <w:t>3. Verification</w:t>
      </w:r>
    </w:p>
    <w:p>
      <w:r>
        <w:t>Gauge XR-17 log entries are acceptable evidence when they include panel, lot, trace identifier, average thickness, and sample count.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Hybrid Bonding Copper Process Change Notice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PCN-HB-044 | Rev. C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Bonding Copper Process Change Notice</dc:title>
  <dc:subject>Copper conductor qualification source document</dc:subject>
  <dc:creator>Marco Ramos, Process Integration Manager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