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color w:val="1D3557"/>
          <w:sz w:val="36"/>
        </w:rPr>
        <w:t>July Copper Conductor Qualification Risk Assessment</w:t>
      </w:r>
    </w:p>
    <w:p>
      <w:pPr>
        <w:pStyle w:val="Normal"/>
        <w:spacing w:before="0" w:after="60"/>
        <w:rPr/>
      </w:pPr>
      <w:r>
        <w:rPr>
          <w:sz w:val="19"/>
        </w:rPr>
        <w:t>Audience: Manufacturing Quality Manager. Package dependency: source_register.xlsx -&gt; technical_findings_matrix.xlsx -&gt; qualification_readout.pptx -&gt; risk_assessment.docx.</w:t>
      </w:r>
    </w:p>
    <w:p>
      <w:pPr>
        <w:pStyle w:val="Heading1"/>
        <w:keepNext w:val="true"/>
        <w:spacing w:before="140" w:after="60"/>
        <w:rPr/>
      </w:pPr>
      <w:r>
        <w:rPr>
          <w:color w:val="1D3557"/>
        </w:rPr>
        <w:t>1. Summary</w:t>
      </w:r>
    </w:p>
    <w:p>
      <w:pPr>
        <w:pStyle w:val="Normal"/>
        <w:spacing w:before="0" w:after="60"/>
        <w:rPr/>
      </w:pPr>
      <w:r>
        <w:rPr>
          <w:sz w:val="19"/>
        </w:rPr>
        <w:t>The July copper conductor refresh covers 13 in-scope material identities and five July release lots. The decision is to release LOT-CU-2607-A and LOT-CU-2607-C, conditionally release LOT-CU-2607-B under MAT-WVR-26-071, and hold LOT-CU-2607-D and LOT-CU-2607-E.</w:t>
      </w:r>
    </w:p>
    <w:p>
      <w:pPr>
        <w:pStyle w:val="Normal"/>
        <w:spacing w:before="0" w:after="60"/>
        <w:rPr>
          <w:sz w:val="19"/>
        </w:rPr>
      </w:pPr>
      <w:r>
        <w:rPr>
          <w:sz w:val="19"/>
        </w:rPr>
        <w:t>Top finding RISK-01 is LOT-CU-2607-D with score 80. The lot has sulfur above the 4.0 ppm customer limit, conductivity below 100.5% IACS, and a narrow trace-resistance margin of 4.66 mOhm.</w:t>
      </w:r>
    </w:p>
    <w:p>
      <w:pPr>
        <w:pStyle w:val="Normal"/>
        <w:spacing w:before="0" w:after="60"/>
        <w:rPr>
          <w:sz w:val="19"/>
        </w:rPr>
      </w:pPr>
      <w:r>
        <w:rPr>
          <w:sz w:val="19"/>
        </w:rPr>
      </w:r>
    </w:p>
    <w:tbl>
      <w:tblPr>
        <w:tblW w:w="1016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Lot</w:t>
            </w:r>
          </w:p>
        </w:tc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Decision</w:t>
            </w:r>
          </w:p>
        </w:tc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Risk score</w:t>
            </w:r>
          </w:p>
        </w:tc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Evidence basis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LOT-CU-2607-A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Release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0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Chemistry and conductivity pass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LOT-CU-2607-B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Conditional release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8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Oxygen covered by MAT-WVR-26-071; no other impurity waived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LOT-CU-2607-C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Release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0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Conductivity 100.90% IACS after calibration; chemistry pass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LOT-CU-2607-D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Hold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80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Sulfur 5.0 ppm &gt; 4.0; conductivity 97.85% IACS; resistance 155.34 mOhm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LOT-CU-2607-E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Hold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40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Lead 5.4 ppm &gt; 5.0 on eta Cu3Sn coupon</w:t>
            </w:r>
          </w:p>
        </w:tc>
      </w:tr>
    </w:tbl>
    <w:p>
      <w:pPr>
        <w:pStyle w:val="Heading1"/>
        <w:keepNext w:val="true"/>
        <w:spacing w:before="140" w:after="60"/>
        <w:rPr>
          <w:rFonts w:ascii="Aptos Display" w:hAnsi="Aptos Display"/>
          <w:color w:val="1D3557"/>
        </w:rPr>
      </w:pPr>
      <w:r>
        <w:rPr>
          <w:color w:val="1D3557"/>
        </w:rPr>
      </w:r>
    </w:p>
    <w:p>
      <w:pPr>
        <w:pStyle w:val="Heading1"/>
        <w:spacing w:before="140" w:after="60"/>
        <w:rPr>
          <w:rFonts w:ascii="Aptos Display" w:hAnsi="Aptos Display"/>
          <w:color w:val="1D3557"/>
        </w:rPr>
      </w:pPr>
      <w:r>
        <w:rPr>
          <w:color w:val="1D3557"/>
        </w:rPr>
        <w:t>2. Impact</w:t>
      </w:r>
    </w:p>
    <w:p>
      <w:pPr>
        <w:pStyle w:val="Normal"/>
        <w:spacing w:before="0" w:after="60"/>
        <w:rPr/>
      </w:pPr>
      <w:r>
        <w:rPr>
          <w:sz w:val="19"/>
        </w:rPr>
        <w:t>The held lots block only the affected HB-RDL panel and BGA solder-interface coupon. Released lots remain available for standard conductor builds. Conditional release of LOT-CU-2607-B is limited to the annealed stitch-wire coupon and must not be generalized to other impurities or lots.</w:t>
      </w:r>
    </w:p>
    <w:p>
      <w:pPr>
        <w:pStyle w:val="Normal"/>
        <w:spacing w:before="0" w:after="60"/>
        <w:rPr>
          <w:sz w:val="19"/>
        </w:rPr>
      </w:pPr>
      <w:r>
        <w:rPr>
          <w:sz w:val="19"/>
        </w:rPr>
        <w:t>The governed resistance calculation for TRACE-HB-225 is 155.34 mOhm against a 160 mOhm limit. The room-temperature shortcut would understate resistance by 31.61 mOhm.</w:t>
      </w:r>
    </w:p>
    <w:p>
      <w:pPr>
        <w:pStyle w:val="Normal"/>
        <w:spacing w:before="0" w:after="60"/>
        <w:rPr>
          <w:sz w:val="19"/>
        </w:rPr>
      </w:pPr>
      <w:r>
        <w:rPr>
          <w:sz w:val="19"/>
        </w:rPr>
      </w:r>
    </w:p>
    <w:p>
      <w:pPr>
        <w:pStyle w:val="Heading1"/>
        <w:keepNext w:val="true"/>
        <w:spacing w:before="140" w:after="60"/>
        <w:rPr/>
      </w:pPr>
      <w:r>
        <w:rPr>
          <w:color w:val="1D3557"/>
        </w:rPr>
        <w:t>3. Timeline</w:t>
      </w:r>
    </w:p>
    <w:tbl>
      <w:tblPr>
        <w:tblW w:w="1016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w="3389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Timestamp</w:t>
            </w:r>
          </w:p>
        </w:tc>
        <w:tc>
          <w:tcPr>
            <w:tcW w:w="3389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Event</w:t>
            </w:r>
          </w:p>
        </w:tc>
        <w:tc>
          <w:tcPr>
            <w:tcW w:w="3389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2026-07-02 09:18 PDT</w:t>
            </w:r>
          </w:p>
        </w:tc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HB service temperature set to 85 C for the July trace margin.</w:t>
            </w:r>
          </w:p>
        </w:tc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EMAIL-HB-WINDOW</w:t>
            </w:r>
          </w:p>
        </w:tc>
      </w:tr>
      <w:tr>
        <w:trPr>
          <w:cantSplit/>
        </w:trPr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2026-07-03 13:42 PDT</w:t>
            </w:r>
          </w:p>
        </w:tc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Rev. 2 confirmed for E-1/E-2; PCN-HB-044 Rev. C limited to HB thickness floor.</w:t>
            </w:r>
          </w:p>
        </w:tc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EV-REV-01</w:t>
            </w:r>
          </w:p>
        </w:tc>
      </w:tr>
      <w:tr>
        <w:trPr>
          <w:cantSplit/>
        </w:trPr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2026-07-06 16:27 PDT</w:t>
            </w:r>
          </w:p>
        </w:tc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Nora Patel approved MAT-WVR-26-071 for LOT-CU-2607-B oxygen only.</w:t>
            </w:r>
          </w:p>
        </w:tc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EV-WVR-01</w:t>
            </w:r>
          </w:p>
        </w:tc>
      </w:tr>
      <w:tr>
        <w:trPr>
          <w:cantSplit/>
        </w:trPr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2026-07-08 21:14 UTC</w:t>
            </w:r>
          </w:p>
        </w:tc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XR-17 log recorded 17.8 um average copper thickness for LOT-CU-2607-D.</w:t>
            </w:r>
          </w:p>
        </w:tc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XR17-20260708-04</w:t>
            </w:r>
          </w:p>
        </w:tc>
      </w:tr>
      <w:tr>
        <w:trPr>
          <w:cantSplit/>
        </w:trPr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2026-07-09 05:12 UTC</w:t>
            </w:r>
          </w:p>
        </w:tc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Ingest log rejected broad literature metadata as property evidence.</w:t>
            </w:r>
          </w:p>
        </w:tc>
        <w:tc>
          <w:tcPr>
            <w:tcW w:w="3389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LIT-0726-07</w:t>
            </w:r>
          </w:p>
        </w:tc>
      </w:tr>
    </w:tbl>
    <w:p>
      <w:pPr>
        <w:pStyle w:val="Normal"/>
        <w:spacing w:before="0" w:after="160"/>
        <w:rPr>
          <w:b/>
          <w:bCs/>
          <w:sz w:val="28"/>
          <w:szCs w:val="28"/>
        </w:rPr>
      </w:pPr>
      <w:r>
        <w:br w:type="page"/>
      </w:r>
      <w:r>
        <w:rPr>
          <w:rFonts w:ascii="Aptos Display" w:hAnsi="Aptos Display"/>
          <w:b/>
          <w:bCs/>
          <w:color w:val="1D3557"/>
          <w:sz w:val="28"/>
          <w:szCs w:val="28"/>
        </w:rPr>
        <w:t>4. Contributing Factors</w:t>
      </w:r>
    </w:p>
    <w:tbl>
      <w:tblPr>
        <w:tblW w:w="1016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Factor ID</w:t>
            </w:r>
          </w:p>
        </w:tc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Finding</w:t>
            </w:r>
          </w:p>
        </w:tc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Mechanism</w:t>
            </w:r>
          </w:p>
        </w:tc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Downstream effect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CI-01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Customer sulfur limit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CQA-CU-772 sets sulfur at 4.0 ppm, below the published 6.0-8.0 ppm limits.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LOT-CU-2607-D becomes a hold.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CI-02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Temperature-adjusted resistance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Resistivity, temperature coefficient, service temperature, geometry, and thickness combine to produce a narrow margin.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Resistance is watch-banded even before chemistry hold.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CI-03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Oxygen waiver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MAT-WVR-26-071 applies only to LOT-CU-2607-B oxygen up to 7.0 ppm.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Lot B is conditional release, not hold.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DQ-01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Duplicate sync rows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Duplicate lab rows are retained as evidence but not counted twice.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Violation count remains two held lots.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DQ-02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Catalog decoys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PubChem canonicalization and broad literature metadata are identity/context evidence, not stability/property proof.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Copper sulfate and YBCO are excluded from release conclusions.</w:t>
            </w:r>
          </w:p>
        </w:tc>
      </w:tr>
    </w:tbl>
    <w:p>
      <w:pPr>
        <w:pStyle w:val="Heading1"/>
        <w:keepNext w:val="true"/>
        <w:spacing w:before="140" w:after="60"/>
        <w:rPr>
          <w:rFonts w:ascii="Aptos Display" w:hAnsi="Aptos Display"/>
          <w:color w:val="1D3557"/>
        </w:rPr>
      </w:pPr>
      <w:r>
        <w:rPr>
          <w:color w:val="1D3557"/>
        </w:rPr>
      </w:r>
    </w:p>
    <w:p>
      <w:pPr>
        <w:pStyle w:val="Heading1"/>
        <w:spacing w:before="140" w:after="60"/>
        <w:rPr>
          <w:rFonts w:ascii="Aptos Display" w:hAnsi="Aptos Display"/>
          <w:color w:val="1D3557"/>
        </w:rPr>
      </w:pPr>
      <w:r>
        <w:rPr>
          <w:color w:val="1D3557"/>
        </w:rPr>
        <w:t>5. Response</w:t>
      </w:r>
    </w:p>
    <w:p>
      <w:pPr>
        <w:pStyle w:val="Normal"/>
        <w:spacing w:before="0" w:after="60"/>
        <w:rPr/>
      </w:pPr>
      <w:r>
        <w:rPr>
          <w:sz w:val="19"/>
        </w:rPr>
        <w:t>The technical model uses the 13-row material population from the source register, Rev. 2 electrical criteria, PCN-HB-044 Rev. C for HB thickness, strict impurity limits, measured-value priority, and condition-matched property values.</w:t>
      </w:r>
    </w:p>
    <w:p>
      <w:pPr>
        <w:pStyle w:val="Normal"/>
        <w:spacing w:before="0" w:after="60"/>
        <w:rPr/>
      </w:pPr>
      <w:r>
        <w:rPr>
          <w:sz w:val="19"/>
        </w:rPr>
        <w:t>Measured property priority is applied directly: MAT-CU-C101 uses 101.52% IACS rather than the nearby 101.0% literature value, MAT-CU-HBPLATE uses 219 MPa yield strength under 23 C / 101.3 kPa / 1E-3 s^-1 rather than the 176 MPa accelerated condition, and thermal conductivity uses measured values of 392.6 W/mK and 386.8 W/mK for MAT-CU-C101 and MAT-CU-HBPLATE respectively.</w:t>
      </w:r>
    </w:p>
    <w:p>
      <w:pPr>
        <w:pStyle w:val="Normal"/>
        <w:spacing w:before="0" w:after="60"/>
        <w:rPr/>
      </w:pPr>
      <w:r>
        <w:rPr>
          <w:sz w:val="19"/>
        </w:rPr>
        <w:t>The AFLOW intermetallic screen ranks aflow:aca47c434f9e2dc8 first at -0.0973103 eV/atom, followed by aflow:53725bf233e77afc at -0.0961982 eV/atom and aflow:65ad75192503ef40 at -0.0915473 eV/atom.</w:t>
      </w:r>
    </w:p>
    <w:p>
      <w:pPr>
        <w:pStyle w:val="Normal"/>
        <w:spacing w:before="0" w:after="60"/>
        <w:rPr/>
      </w:pPr>
      <w:r>
        <w:rPr>
          <w:sz w:val="19"/>
        </w:rPr>
        <w:t>Catalog reconciliation keeps MAT-CU2O-CUPRITE as Cu2O from legacy Cu^1O notation, separates it from MAT-CUO-TENORITE, and rejects copper sulfate CID 24462 as identity-only because no OQMD sulfate stability row is present.</w:t>
      </w:r>
    </w:p>
    <w:p>
      <w:pPr>
        <w:pStyle w:val="Normal"/>
        <w:spacing w:before="0" w:after="60"/>
        <w:rPr/>
      </w:pPr>
      <w:r>
        <w:rPr>
          <w:sz w:val="19"/>
        </w:rPr>
        <w:t>The readout carries the same top-three ranking: LOT-CU-2607-D score 80 hold, LOT-CU-2607-E score 40 hold, and LOT-CU-2607-B score 8 conditional release.</w:t>
      </w:r>
      <w:r>
        <w:br w:type="page"/>
      </w:r>
    </w:p>
    <w:p>
      <w:pPr>
        <w:pStyle w:val="Normal"/>
        <w:spacing w:before="0" w:after="160"/>
        <w:rPr>
          <w:b/>
          <w:bCs/>
          <w:sz w:val="28"/>
          <w:szCs w:val="28"/>
        </w:rPr>
      </w:pPr>
      <w:r>
        <w:rPr>
          <w:rFonts w:ascii="Aptos Display" w:hAnsi="Aptos Display"/>
          <w:b/>
          <w:bCs/>
          <w:color w:val="1D3557"/>
          <w:sz w:val="28"/>
          <w:szCs w:val="28"/>
        </w:rPr>
        <w:t>6. Corrective Actions</w:t>
      </w:r>
    </w:p>
    <w:tbl>
      <w:tblPr>
        <w:tblW w:w="1016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w="2033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Action ID</w:t>
            </w:r>
          </w:p>
        </w:tc>
        <w:tc>
          <w:tcPr>
            <w:tcW w:w="2033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Owner</w:t>
            </w:r>
          </w:p>
        </w:tc>
        <w:tc>
          <w:tcPr>
            <w:tcW w:w="2033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Due</w:t>
            </w:r>
          </w:p>
        </w:tc>
        <w:tc>
          <w:tcPr>
            <w:tcW w:w="2033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Closure criteria</w:t>
            </w:r>
          </w:p>
        </w:tc>
        <w:tc>
          <w:tcPr>
            <w:tcW w:w="2033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Linked risk</w:t>
            </w:r>
          </w:p>
        </w:tc>
      </w:tr>
      <w:tr>
        <w:trPr>
          <w:cantSplit/>
        </w:trPr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CA-01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Meredith Chen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2026-07-13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Repeat sulfur assay and TRACE-HB-225 resistance on replacement HB-RDL panel; release only if sulfur &lt;= 4.0 ppm and margin remains positive.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RISK-01</w:t>
            </w:r>
          </w:p>
        </w:tc>
      </w:tr>
      <w:tr>
        <w:trPr>
          <w:cantSplit/>
        </w:trPr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CA-02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Evan Brooks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2026-07-12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Quarantine LOT-CU-2607-E coupon and obtain supplier lead-contamination RCA with corrected COA.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RISK-02</w:t>
            </w:r>
          </w:p>
        </w:tc>
      </w:tr>
      <w:tr>
        <w:trPr>
          <w:cantSplit/>
        </w:trPr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CA-03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Nora Patel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2026-07-14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Attach MAT-WVR-26-071 to the release record and verify next E-Cu58 oxygen result is &lt;= 5.0 ppm.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RISK-03</w:t>
            </w:r>
          </w:p>
        </w:tc>
      </w:tr>
      <w:tr>
        <w:trPr>
          <w:cantSplit/>
        </w:trPr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CA-04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Omar Shah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2026-07-15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Mark LIT-0726-07 and MAT-YBCO-CUPRATE as decoys in the source register for future runs.</w:t>
            </w:r>
          </w:p>
        </w:tc>
        <w:tc>
          <w:tcPr>
            <w:tcW w:w="2033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DQ-02</w:t>
            </w:r>
          </w:p>
        </w:tc>
      </w:tr>
    </w:tbl>
    <w:p>
      <w:pPr>
        <w:pStyle w:val="Normal"/>
        <w:spacing w:before="0" w:after="160"/>
        <w:rPr>
          <w:b/>
          <w:bCs/>
          <w:sz w:val="28"/>
          <w:szCs w:val="28"/>
        </w:rPr>
      </w:pPr>
      <w:r>
        <w:br w:type="page"/>
      </w:r>
      <w:r>
        <w:rPr>
          <w:rFonts w:ascii="Aptos Display" w:hAnsi="Aptos Display"/>
          <w:b/>
          <w:bCs/>
          <w:color w:val="1D3557"/>
          <w:sz w:val="28"/>
          <w:szCs w:val="28"/>
        </w:rPr>
        <w:t>7. Evidence Cross-Reference</w:t>
      </w:r>
    </w:p>
    <w:tbl>
      <w:tblPr>
        <w:tblW w:w="1016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Claim</w:t>
            </w:r>
          </w:p>
        </w:tc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Primary evidence</w:t>
            </w:r>
          </w:p>
        </w:tc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Second evidence</w:t>
            </w:r>
          </w:p>
        </w:tc>
        <w:tc>
          <w:tcPr>
            <w:tcW w:w="2541" w:type="dxa"/>
            <w:tcBorders/>
            <w:shd w:fill="D9EAF7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D3557"/>
                <w:sz w:val="18"/>
              </w:rPr>
              <w:t>Output dependency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Sulfur breach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ASSAY-0726-04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CQA-CU-772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source register -&gt; model -&gt; readout -&gt; review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Oxygen exception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ASSAY-0726-02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MAT-WVR-26-071, Nora Patel, 2026-07-06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source register -&gt; model -&gt; review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Resistance margin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LR-COND-0726-06 and TRACE-HB-225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CFG-QA-CU-0726, XR17 log, CCP-CU-180 Rev. 2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model -&gt; readout -&gt; review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AFLOW intermetallic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aflow:aca47c434f9e2dc8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7"/>
              </w:rPr>
              <w:t>Ag1Al1Cu1 formation enthalpy -0.0973103 eV/atom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source register -&gt; model</w:t>
            </w:r>
          </w:p>
        </w:tc>
      </w:tr>
      <w:tr>
        <w:trPr>
          <w:cantSplit/>
        </w:trPr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PubChem/OQMD exclusion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CID 24462 CuO4S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No OQMD sulfate row</w:t>
            </w:r>
          </w:p>
        </w:tc>
        <w:tc>
          <w:tcPr>
            <w:tcW w:w="254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sz w:val="18"/>
              </w:rPr>
              <w:t>source register -&gt; model -&gt; review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36" w:right="936" w:gutter="0" w:header="504" w:top="792" w:footer="504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680"/>
        <w:tab w:val="clear" w:pos="9360"/>
      </w:tabs>
      <w:rPr>
        <w:color w:themeColor="background1" w:themeShade="a6" w:val="A6A6A6"/>
      </w:rPr>
    </w:pPr>
    <w:r>
      <w:rPr>
        <w:sz w:val="16"/>
      </w:rPr>
      <w:t>July Copper Conductor Qualification Risk Assessment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680"/>
        <w:tab w:val="clear" w:pos="9360"/>
      </w:tabs>
      <w:rPr>
        <w:color w:themeColor="background1" w:themeShade="a6" w:val="A6A6A6"/>
      </w:rPr>
    </w:pPr>
    <w:r>
      <w:rPr>
        <w:sz w:val="16"/>
      </w:rPr>
      <w:t>July Copper Conductor Qualification Risk Assessment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right" w:pos="10368" w:leader="none"/>
      </w:tabs>
      <w:rPr/>
    </w:pPr>
    <w:r>
      <w:rPr>
        <w:sz w:val="17"/>
      </w:rPr>
      <w:t>CCP-CU-180 July Review | Controlled | Replacement complete</w:t>
      <w:tab/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4</w:t>
    </w:r>
    <w:r>
      <w:rPr>
        <w:sz w:val="17"/>
      </w:rPr>
      <w:fldChar w:fldCharType="end"/>
    </w:r>
    <w:r>
      <w:rPr>
        <w:sz w:val="17"/>
      </w:rPr>
      <w:t xml:space="preserve"> /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4</w:t>
    </w:r>
    <w:r>
      <w:rPr>
        <w:sz w:val="17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right" w:pos="10368" w:leader="none"/>
      </w:tabs>
      <w:rPr/>
    </w:pPr>
    <w:r>
      <w:rPr>
        <w:sz w:val="17"/>
      </w:rPr>
      <w:t>CCP-CU-180 July Review | Controlled | Replacement complete</w:t>
      <w:tab/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4</w:t>
    </w:r>
    <w:r>
      <w:rPr>
        <w:sz w:val="17"/>
      </w:rPr>
      <w:fldChar w:fldCharType="end"/>
    </w:r>
    <w:r>
      <w:rPr>
        <w:sz w:val="17"/>
      </w:rPr>
      <w:t xml:space="preserve"> /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4</w:t>
    </w:r>
    <w:r>
      <w:rPr>
        <w:sz w:val="17"/>
      </w:rPr>
      <w:fldChar w:fldCharType="end"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01e1"/>
    <w:pPr>
      <w:widowControl/>
      <w:bidi w:val="0"/>
      <w:spacing w:lineRule="auto" w:line="259" w:before="0" w:after="160"/>
      <w:jc w:val="start"/>
    </w:pPr>
    <w:rPr>
      <w:rFonts w:ascii="Aptos" w:hAnsi="Aptos" w:eastAsia="Arial" w:cs="" w:cstheme="minorBidi" w:eastAsiaTheme="minorHAnsi"/>
      <w:color w:val="auto"/>
      <w:kern w:val="0"/>
      <w:sz w:val="18"/>
      <w:szCs w:val="22"/>
      <w:lang w:val="en-US" w:eastAsia="en-US" w:bidi="ar-SA"/>
    </w:rPr>
  </w:style>
  <w:style w:type="paragraph" w:styleId="Heading1" w:customStyle="1">
    <w:name w:val="heading 1"/>
    <w:qFormat/>
    <w:pPr>
      <w:widowControl/>
      <w:bidi w:val="0"/>
      <w:spacing w:lineRule="auto" w:line="259" w:before="0" w:after="160"/>
      <w:jc w:val="start"/>
    </w:pPr>
    <w:rPr>
      <w:rFonts w:ascii="Aptos Display" w:hAnsi="Aptos Display" w:eastAsia="Arial" w:cs=""/>
      <w:b/>
      <w:color w:val="1D3557"/>
      <w:kern w:val="0"/>
      <w:sz w:val="28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1e1"/>
    <w:pPr>
      <w:spacing w:lineRule="atLeast" w:line="280" w:before="360" w:after="0"/>
      <w:outlineLvl w:val="1"/>
    </w:pPr>
    <w:rPr>
      <w:rFonts w:ascii="Aptos" w:hAnsi="Aptos" w:cs="Arial"/>
      <w:b/>
      <w:color w:val="1D3557"/>
      <w:sz w:val="22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e395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e395a"/>
    <w:rPr/>
  </w:style>
  <w:style w:type="character" w:styleId="PlaceholderText">
    <w:name w:val="Placeholder Text"/>
    <w:basedOn w:val="DefaultParagraphFont"/>
    <w:uiPriority w:val="99"/>
    <w:semiHidden/>
    <w:qFormat/>
    <w:rsid w:val="009445df"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445df"/>
    <w:rPr>
      <w:rFonts w:ascii="Tahoma" w:hAnsi="Tahoma" w:cs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qFormat/>
    <w:rsid w:val="00eb01e1"/>
    <w:rPr>
      <w:rFonts w:ascii="Arial" w:hAnsi="Arial" w:cs="Arial" w:asciiTheme="majorHAnsi" w:hAnsiTheme="majorHAnsi"/>
      <w:color w:themeColor="accent1" w:themeShade="bf" w:val="365F91"/>
      <w:sz w:val="4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b01e1"/>
    <w:rPr>
      <w:rFonts w:ascii="Arial" w:hAnsi="Arial" w:cs="Arial"/>
      <w:b/>
      <w:sz w:val="26"/>
      <w:szCs w:val="26"/>
    </w:rPr>
  </w:style>
  <w:style w:type="character" w:styleId="NormalIndentedChar" w:customStyle="1">
    <w:name w:val="Normal Indented Char"/>
    <w:basedOn w:val="DefaultParagraphFont"/>
    <w:link w:val="NormalIndented"/>
    <w:qFormat/>
    <w:rsid w:val="00eb01e1"/>
    <w:rPr>
      <w:rFonts w:ascii="Arial" w:hAnsi="Aria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e395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e395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c7590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445d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b01e1"/>
    <w:pPr>
      <w:pBdr>
        <w:bottom w:val="single" w:sz="4" w:space="0" w:color="365F91" w:themeColor="accent1" w:themeShade="bf"/>
      </w:pBdr>
      <w:spacing w:lineRule="auto" w:line="360"/>
    </w:pPr>
    <w:rPr>
      <w:rFonts w:ascii="Arial" w:hAnsi="Arial" w:cs="Arial" w:asciiTheme="majorHAnsi" w:hAnsiTheme="majorHAnsi"/>
      <w:color w:themeColor="accent1" w:themeShade="bf" w:val="365F91"/>
      <w:sz w:val="44"/>
    </w:rPr>
  </w:style>
  <w:style w:type="paragraph" w:styleId="NormalIndented" w:customStyle="1">
    <w:name w:val="Normal Indented"/>
    <w:basedOn w:val="Normal"/>
    <w:link w:val="NormalIndentedChar"/>
    <w:qFormat/>
    <w:rsid w:val="00eb01e1"/>
    <w:pPr>
      <w:ind w:start="288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Copper qualification incident review</Template>
  <TotalTime>2</TotalTime>
  <Application>LibreOffice/26.2.4.2$Windows_X86_64 LibreOffice_project/0229ac93fcf0d7cbc6376066c6f35021cef002dc</Application>
  <AppVersion>15.0000</AppVersion>
  <Pages>4</Pages>
  <Words>755</Words>
  <Characters>4797</Characters>
  <CharactersWithSpaces>5417</CharactersWithSpaces>
  <Paragraphs>135</Paragraphs>
  <Company>Process Materials Quality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Chemical process materials qualification</cp:category>
  <dc:creator>Materials quality analyst</dc:creator>
  <dc:description>Sector: chemicals and process industries; intended use: copper conductor release decision; format: DOCX; blueprint: incident_review; visual system: premium_minimal; variation: cc9a6e5ec1e8; replacement status: complete.</dc:description>
  <cp:keywords>afo.v1.chemical.docx.incident_review.premium_minimal.cc9a6e5ec1e8 copper incident review replacement complete</cp:keywords>
  <dc:language>en-IN</dc:language>
  <cp:lastModifiedBy/>
  <dcterms:modified xsi:type="dcterms:W3CDTF">2026-07-12T07:40:13Z</dcterms:modified>
  <cp:revision>4</cp:revision>
  <dc:subject>Incident-style monthly copper qualification review</dc:subject>
  <dc:title>July Copper Conductor Qualification Risk Assessment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/>
  </property>
  <property fmtid="{D5CDD505-2E9C-101B-9397-08002B2CF9AE}" pid="3" name="Template">
    <vt:lpwstr/>
  </property>
  <property fmtid="{D5CDD505-2E9C-101B-9397-08002B2CF9AE}" pid="4" name="Version">
    <vt:lpwstr/>
  </property>
</Properties>
</file>