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Approved customer correspondence</w:t>
      </w:r>
    </w:p>
    <w:p>
      <w:pPr>
        <w:pStyle w:val="Title"/>
      </w:pPr>
      <w:r>
        <w:t xml:space="preserve">Approved Response Form Library</w:t>
      </w:r>
    </w:p>
    <w:p>
      <w:pPr>
        <w:pStyle w:val="Subtitle"/>
      </w:pPr>
      <w:r>
        <w:t xml:space="preserve">Revision 2026-07 | Warranty merchandise request letters</w:t>
      </w:r>
    </w:p>
    <w:p>
      <w:pPr>
        <w:pBdr>
          <w:bottom w:val="single" w:color="557C78" w:sz="18" w:space="1"/>
        </w:pBdr>
        <w:spacing w:after="260"/>
      </w:pPr>
    </w:p>
    <w:p>
      <w:pPr>
        <w:pStyle w:val="Callout"/>
      </w:pPr>
      <w:r>
        <w:t xml:space="preserve">Use these clauses only with a register-backed disposition, case_id, source_corr_id, response date, signer, and distribution record. Do not promise feasibility approval, shipment, credit release, or policy exception approval.</w:t>
      </w:r>
    </w:p>
    <w:p>
      <w:pPr>
        <w:pStyle w:val="Heading1"/>
      </w:pPr>
      <w:r>
        <w:t xml:space="preserve">Form Control</w:t>
      </w:r>
    </w:p>
    <w:tbl>
      <w:tblPr>
        <w:tblW w:type="dxa" w:w="10080"/>
        <w:tblBorders>
          <w:top w:val="single" w:color="C7BBAE" w:sz="4"/>
          <w:left w:val="single" w:color="C7BBAE" w:sz="4"/>
          <w:bottom w:val="single" w:color="C7BBAE" w:sz="4"/>
          <w:right w:val="single" w:color="C7BBAE" w:sz="4"/>
          <w:insideH w:val="single" w:color="C7BBAE" w:sz="4"/>
          <w:insideV w:val="single" w:color="C7BBAE" w:sz="4"/>
        </w:tblBorders>
        <w:tblLayout w:type="fixed"/>
        <w:tblCellMar>
          <w:top w:type="dxa" w:w="95"/>
          <w:left w:type="dxa" w:w="130"/>
          <w:bottom w:type="dxa" w:w="95"/>
          <w:right w:type="dxa" w:w="130"/>
        </w:tblCellMar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20272E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20272E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Owner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Warranty correspondence operations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Approved signer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Priya Nair, Warranty Correspondence Supervisor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Rule document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Warranty Merchandise Request Rules Rev. 2026-06-28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Usage limit</w:t>
            </w:r>
          </w:p>
        </w:tc>
        <w:tc>
          <w:tcPr>
            <w:tcW w:type="dxa" w:w="756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Standard order, held, ineligible, unavailable, duplicate, and routed feasibility responses only.</w:t>
            </w:r>
          </w:p>
        </w:tc>
      </w:tr>
    </w:tbl>
    <w:p>
      <w:pPr>
        <w:pStyle w:val="Heading1"/>
      </w:pPr>
      <w:r>
        <w:t xml:space="preserve">Letter Structure</w:t>
      </w:r>
    </w:p>
    <w:p>
      <w:pPr>
        <w:pStyle w:val="Body"/>
      </w:pPr>
      <w:r>
        <w:t xml:space="preserve">Every letter must contain the Northstar Home Goods warranty correspondence heading, customer address block, response date, reference line with case_id and source_corr_id, salutation, product and quantity facts, permitted commitment, response instructions, signature block, and internal distribution record.</w:t>
      </w:r>
    </w:p>
    <w:p>
      <w:pPr>
        <w:pStyle w:val="Heading1"/>
      </w:pPr>
      <w:r>
        <w:t xml:space="preserve">Response Clauses</w:t>
      </w:r>
    </w:p>
    <w:tbl>
      <w:tblPr>
        <w:tblW w:type="dxa" w:w="10080"/>
        <w:tblBorders>
          <w:top w:val="single" w:color="C7BBAE" w:sz="4"/>
          <w:left w:val="single" w:color="C7BBAE" w:sz="4"/>
          <w:bottom w:val="single" w:color="C7BBAE" w:sz="4"/>
          <w:right w:val="single" w:color="C7BBAE" w:sz="4"/>
          <w:insideH w:val="single" w:color="C7BBAE" w:sz="4"/>
          <w:insideV w:val="single" w:color="C7BBAE" w:sz="4"/>
        </w:tblBorders>
        <w:tblLayout w:type="fixed"/>
        <w:tblCellMar>
          <w:top w:type="dxa" w:w="65"/>
          <w:left w:type="dxa" w:w="95"/>
          <w:bottom w:type="dxa" w:w="65"/>
          <w:right w:type="dxa" w:w="95"/>
        </w:tblCellMar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20272E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Response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20272E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Approved Use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R_STANDARD_ORDER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Confirm the resolved SKU, approved quantity, warranty no-charge handling, ship-to destination, and order request reference.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R_STANDARD_SUBSTITUTE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Explain the approved substitute SKU and state that it is the service replacement for the requested retired item.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R_PARTIAL_STANDARD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Confirm only the quantity allowed by the remaining warranty allowance and explain the unapproved remainder.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R_BACKORDER_NOTICE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State current unavailability and the catalog backorder date without creating an import row.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R_SPECIAL_ACK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Acknowledge referral to the owner queue and state that feasibility has not been decided by the correspondence clerk.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R_CREDIT_HOLD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State that order preparation is held until the credit desk releases the account restriction.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R_MISSING_PROOF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Request the missing proof needed to reopen the merchandise request.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R_ADDRESS_FIX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Ask the customer to confirm a corrected serviceable ship-to address before fulfillment.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R_UNAVAILABLE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Explain discontinued or unavailable status and close the request unless new evidence is supplied.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R_DUPLICATE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Reference the original case and close the duplicate correspondence.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R_CLARIFICATION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Ask for product identification details and preserve the source correspondence reference.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R_INELIGIBLE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shd w:fill="F2EEE6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State the entitlement or product-family reason the request cannot be fulfilled.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 w:val="false"/>
                <w:bCs w:val="false"/>
                <w:color w:val="20272E"/>
              </w:rPr>
              <w:t xml:space="preserve">R_SPECIAL_UNAVAILABLE</w:t>
            </w:r>
          </w:p>
        </w:tc>
        <w:tc>
          <w:tcPr>
            <w:tcW w:type="dxa" w:w="7480"/>
            <w:tcBorders>
              <w:top w:val="single" w:color="C7BBAE" w:sz="4"/>
              <w:left w:val="single" w:color="C7BBAE" w:sz="4"/>
              <w:bottom w:val="single" w:color="C7BBAE" w:sz="4"/>
              <w:right w:val="single" w:color="C7BBAE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20272E"/>
              </w:rPr>
              <w:t xml:space="preserve">State that the special-product category is blocked and no feasibility referral is opened.</w:t>
            </w:r>
          </w:p>
        </w:tc>
      </w:tr>
    </w:tbl>
    <w:p>
      <w:pPr>
        <w:pStyle w:val="Heading1"/>
      </w:pPr>
      <w:r>
        <w:t xml:space="preserve">Commitment Limits</w:t>
      </w:r>
    </w:p>
    <w:p>
      <w:pPr>
        <w:pStyle w:val="Body"/>
      </w:pPr>
      <w:r>
        <w:t xml:space="preserve">Standard order letters may state that an order request file has been prepared for fulfillment import. Backorder, held, ineligible, unavailable, duplicate, and special-product letters must state the reason and next action without implying that future work has been completed.</w:t>
      </w:r>
    </w:p>
    <w:sectPr>
      <w:headerReference w:type="default" r:id="rId6"/>
      <w:footerReference w:type="default" r:id="rId7"/>
      <w:pgSz w:w="12240" w:h="15840" w:orient="portrait"/>
      <w:pgMar w:top="112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adea">
    <w:family w:val="auto"/>
    <w:pitch w:val="variable"/>
    <w:sig w:usb0="E0002AFF" w:usb1="C000247B" w:usb2="00000009" w:usb3="00000000" w:csb0="000001FF" w:csb1="00000000"/>
    <w:embedRegular r:id="rId1" w:fontKey="{92b25bee-d5cb-772d-6373-6e7a79ddbb2d}"/>
  </w:font>
  <w:font w:name="Carlito">
    <w:family w:val="auto"/>
    <w:pitch w:val="variable"/>
    <w:sig w:usb0="E0002AFF" w:usb1="C000247B" w:usb2="00000009" w:usb3="00000000" w:csb0="000001FF" w:csb1="00000000"/>
    <w:embedRegular r:id="rId2" w:fontKey="{4ad6bba7-76e9-5425-f1e3-d5b739277bac}"/>
  </w:font>
  <w:font w:name="Liberation Mono">
    <w:family w:val="auto"/>
    <w:pitch w:val="variable"/>
    <w:sig w:usb0="E0002AFF" w:usb1="C000247B" w:usb2="00000009" w:usb3="00000000" w:csb0="000001FF" w:csb1="00000000"/>
    <w:embedRegular r:id="rId3" w:fontKey="{777797ba-ca7a-c7a2-a671-2af90242b0c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BBAE" w:sz="4" w:space="4"/>
      </w:pBdr>
      <w:tabs>
        <w:tab w:val="right" w:pos="9360"/>
      </w:tabs>
    </w:pPr>
    <w:r>
      <w:rPr>
        <w:rFonts w:ascii="Carlito" w:cs="Carlito" w:eastAsia="Carlito" w:hAnsi="Carlito"/>
        <w:color w:val="70675F"/>
        <w:sz w:val="16"/>
        <w:szCs w:val="16"/>
      </w:rPr>
      <w:t xml:space="preserve">Approved response forms | Rev. 2026-07</w:t>
    </w:r>
    <w:r>
      <w:t xml:space="preserve">	</w:t>
    </w:r>
    <w:r>
      <w:rPr>
        <w:rFonts w:ascii="Carlito" w:cs="Carlito" w:eastAsia="Carlito" w:hAnsi="Carlito"/>
        <w:color w:val="70675F"/>
        <w:sz w:val="16"/>
        <w:szCs w:val="16"/>
      </w:rPr>
      <w:t xml:space="preserve">Page </w:t>
    </w:r>
    <w:r>
      <w:rPr>
        <w:rFonts w:ascii="Carlito" w:cs="Carlito" w:eastAsia="Carlito" w:hAnsi="Carlito"/>
        <w:color w:val="7067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57C78" w:sz="6" w:space="4"/>
      </w:pBdr>
    </w:pPr>
    <w:r>
      <w:rPr>
        <w:rFonts w:ascii="Carlito" w:cs="Carlito" w:eastAsia="Carlito" w:hAnsi="Carlito"/>
        <w:b/>
        <w:bCs/>
        <w:color w:val="557C78"/>
        <w:sz w:val="16"/>
        <w:szCs w:val="16"/>
      </w:rPr>
      <w:t xml:space="preserve">Northstar Home Goods | Response form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0272E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Document Title"/>
    <w:basedOn w:val="Normal"/>
    <w:next w:val="Subtitle"/>
    <w:qFormat/>
    <w:pPr>
      <w:keepNext/>
      <w:spacing w:before="0" w:after="150"/>
    </w:pPr>
    <w:rPr>
      <w:rFonts w:ascii="Caladea" w:cs="Caladea" w:eastAsia="Caladea" w:hAnsi="Caladea"/>
      <w:b/>
      <w:bCs/>
      <w:color w:val="20272E"/>
      <w:sz w:val="44"/>
      <w:szCs w:val="44"/>
    </w:rPr>
  </w:style>
  <w:style w:type="paragraph" w:styleId="Subtitle">
    <w:name w:val="Document Subtitle"/>
    <w:basedOn w:val="Normal"/>
    <w:next w:val="Normal"/>
    <w:qFormat/>
    <w:pPr>
      <w:keepNext/>
      <w:spacing w:after="300"/>
    </w:pPr>
    <w:rPr>
      <w:rFonts w:ascii="Carlito" w:cs="Carlito" w:eastAsia="Carlito" w:hAnsi="Carlito"/>
      <w:color w:val="70675F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57C78" w:sz="10" w:space="5"/>
      </w:pBdr>
      <w:spacing w:before="300" w:after="120"/>
      <w:outlineLvl w:val="0"/>
    </w:pPr>
    <w:rPr>
      <w:rFonts w:ascii="Caladea" w:cs="Caladea" w:eastAsia="Caladea" w:hAnsi="Caladea"/>
      <w:b/>
      <w:bCs/>
      <w:color w:val="20272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Caladea" w:cs="Caladea" w:eastAsia="Caladea" w:hAnsi="Caladea"/>
      <w:b/>
      <w:bCs/>
      <w:color w:val="557C7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Carlito" w:cs="Carlito" w:eastAsia="Carlito" w:hAnsi="Carlito"/>
      <w:b/>
      <w:bCs/>
      <w:color w:val="20272E"/>
      <w:sz w:val="23"/>
      <w:szCs w:val="23"/>
    </w:rPr>
  </w:style>
  <w:style w:type="paragraph" w:styleId="Kicker">
    <w:name w:val="Kicker"/>
    <w:basedOn w:val="Normal"/>
    <w:next w:val="Title"/>
    <w:qFormat/>
    <w:pPr>
      <w:keepNext/>
      <w:spacing w:after="90"/>
    </w:pPr>
    <w:rPr>
      <w:rFonts w:ascii="Liberation Mono" w:cs="Liberation Mono" w:eastAsia="Liberation Mono" w:hAnsi="Liberation Mono"/>
      <w:b/>
      <w:bCs/>
      <w:caps/>
      <w:color w:val="557C78"/>
      <w:sz w:val="18"/>
      <w:szCs w:val="18"/>
    </w:rPr>
  </w:style>
  <w:style w:type="paragraph" w:styleId="Body">
    <w:name w:val="Body"/>
    <w:basedOn w:val="Normal"/>
    <w:next w:val="Body"/>
    <w:qFormat/>
    <w:pPr>
      <w:widowControl/>
      <w:spacing w:after="120" w:line="276"/>
    </w:pPr>
    <w:rPr>
      <w:rFonts w:ascii="Carlito" w:cs="Carlito" w:eastAsia="Carlito" w:hAnsi="Carlito"/>
      <w:color w:val="20272E"/>
      <w:sz w:val="21"/>
      <w:szCs w:val="21"/>
    </w:rPr>
  </w:style>
  <w:style w:type="paragraph" w:styleId="Small">
    <w:name w:val="Small Text"/>
    <w:basedOn w:val="Normal"/>
    <w:next w:val="Small"/>
    <w:pPr>
      <w:spacing w:after="80" w:line="240"/>
    </w:pPr>
    <w:rPr>
      <w:rFonts w:ascii="Liberation Mono" w:cs="Liberation Mono" w:eastAsia="Liberation Mono" w:hAnsi="Liberation Mono"/>
      <w:color w:val="70675F"/>
      <w:sz w:val="18"/>
      <w:szCs w:val="18"/>
    </w:rPr>
  </w:style>
  <w:style w:type="paragraph" w:styleId="Caption">
    <w:name w:val="Figure Caption"/>
    <w:basedOn w:val="Normal"/>
    <w:next w:val="Normal"/>
    <w:qFormat/>
    <w:pPr>
      <w:keepNext/>
      <w:spacing w:before="70" w:after="150"/>
    </w:pPr>
    <w:rPr>
      <w:rFonts w:ascii="Carlito" w:cs="Carlito" w:eastAsia="Carlito" w:hAnsi="Carlito"/>
      <w:i/>
      <w:iCs/>
      <w:color w:val="70675F"/>
      <w:sz w:val="18"/>
      <w:szCs w:val="18"/>
    </w:rPr>
  </w:style>
  <w:style w:type="paragraph" w:styleId="TableHeader">
    <w:name w:val="Table Header"/>
    <w:basedOn w:val="Normal"/>
    <w:next w:val="TableText"/>
    <w:pPr>
      <w:keepNext/>
      <w:spacing w:before="0" w:after="0"/>
    </w:pPr>
    <w:rPr>
      <w:rFonts w:ascii="Liberation Mono" w:cs="Liberation Mono" w:eastAsia="Liberation Mono" w:hAnsi="Liberation Mono"/>
      <w:b/>
      <w:bCs/>
      <w:color w:val="FFFFFF"/>
      <w:sz w:val="18"/>
      <w:szCs w:val="18"/>
    </w:rPr>
  </w:style>
  <w:style w:type="paragraph" w:styleId="TableText">
    <w:name w:val="Table Text"/>
    <w:basedOn w:val="Normal"/>
    <w:next w:val="TableText"/>
    <w:pPr>
      <w:widowControl/>
      <w:spacing w:before="0" w:after="0" w:line="220"/>
    </w:pPr>
    <w:rPr>
      <w:rFonts w:ascii="Carlito" w:cs="Carlito" w:eastAsia="Carlito" w:hAnsi="Carlito"/>
      <w:color w:val="20272E"/>
      <w:sz w:val="18"/>
      <w:szCs w:val="18"/>
    </w:rPr>
  </w:style>
  <w:style w:type="paragraph" w:styleId="Callout">
    <w:name w:val="Decision Callout"/>
    <w:basedOn w:val="Normal"/>
    <w:next w:val="Normal"/>
    <w:qFormat/>
    <w:pPr>
      <w:keepNext/>
      <w:pBdr>
        <w:left w:val="single" w:color="557C78" w:sz="22" w:space="8"/>
      </w:pBdr>
      <w:shd w:fill="D8D0C4" w:val="clear"/>
      <w:spacing w:before="120" w:after="180" w:line="276"/>
      <w:ind w:left="180" w:right="120"/>
    </w:pPr>
    <w:rPr>
      <w:rFonts w:ascii="Carlito" w:cs="Carlito" w:eastAsia="Carlito" w:hAnsi="Carlito"/>
      <w:b/>
      <w:bCs/>
      <w:color w:val="2027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Caladea.odttf"/><Relationship Id="rId2" Type="http://schemas.openxmlformats.org/officeDocument/2006/relationships/font" Target="fonts/Carlito.odttf"/><Relationship Id="rId3" Type="http://schemas.openxmlformats.org/officeDocument/2006/relationships/font" Target="fonts/Liberation Mono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Response Form Library</dc:title>
  <dc:subject>Controlled clauses for warranty merchandise correspondence</dc:subject>
  <dc:creator>Northstar Home Goods Customer Operations</dc:creator>
  <cp:keywords>warranty correspondence, response forms, customer letters</cp:keywords>
  <dc:description>Approved customer-response clauses and letter mechanics for warranty merchandise closeout.</dc:description>
  <cp:lastModifiedBy>Northstar Home Goods Customer Operations</cp:lastModifiedBy>
  <cp:revision>4</cp:revision>
  <dcterms:created xsi:type="dcterms:W3CDTF">2026-07-16T01:11:06.230Z</dcterms:created>
  <dcterms:modified xsi:type="dcterms:W3CDTF">2026-07-16T01:11:06.230Z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