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Warranty correspondence control</w:t>
      </w:r>
    </w:p>
    <w:p>
      <w:pPr>
        <w:pStyle w:val="Title"/>
      </w:pPr>
      <w:r>
        <w:t xml:space="preserve">Warranty Merchandise Request Rules</w:t>
      </w:r>
    </w:p>
    <w:p>
      <w:pPr>
        <w:pStyle w:val="Subtitle"/>
      </w:pPr>
      <w:r>
        <w:t xml:space="preserve">Revision 2026-06-28 | Effective for July 2026 merchandise request closeout</w:t>
      </w:r>
    </w:p>
    <w:p>
      <w:pPr>
        <w:pBdr>
          <w:bottom w:val="single" w:color="557C78" w:sz="18" w:space="1"/>
        </w:pBdr>
        <w:spacing w:after="260"/>
      </w:pPr>
    </w:p>
    <w:p>
      <w:pPr>
        <w:pStyle w:val="Callout"/>
      </w:pPr>
      <w:r>
        <w:t xml:space="preserve">Correspondence clerks may gather records, apply these disposition rules, prepare permitted customer responses, and route special-product feasibility questions. They do not approve policy exceptions, credit releases, product feasibility, or final claims decisions.</w:t>
      </w:r>
    </w:p>
    <w:p>
      <w:pPr>
        <w:pStyle w:val="Heading1"/>
      </w:pPr>
      <w:r>
        <w:t xml:space="preserve">Document Control</w:t>
      </w:r>
    </w:p>
    <w:tbl>
      <w:tblPr>
        <w:tblW w:type="dxa" w:w="10080"/>
        <w:tblBorders>
          <w:top w:val="single" w:color="C7BBAE" w:sz="4"/>
          <w:left w:val="single" w:color="C7BBAE" w:sz="4"/>
          <w:bottom w:val="single" w:color="C7BBAE" w:sz="4"/>
          <w:right w:val="single" w:color="C7BBAE" w:sz="4"/>
          <w:insideH w:val="single" w:color="C7BBAE" w:sz="4"/>
          <w:insideV w:val="single" w:color="C7BBAE" w:sz="4"/>
        </w:tblBorders>
        <w:tblLayout w:type="fixed"/>
        <w:tblCellMar>
          <w:top w:type="dxa" w:w="95"/>
          <w:left w:type="dxa" w:w="130"/>
          <w:bottom w:type="dxa" w:w="95"/>
          <w:right w:type="dxa" w:w="130"/>
        </w:tblCellMar>
      </w:tblPr>
      <w:tblGrid>
        <w:gridCol w:w="2520"/>
        <w:gridCol w:w="7560"/>
      </w:tblGrid>
      <w:tr>
        <w:trPr>
          <w:cantSplit/>
          <w:tblHeader/>
        </w:trPr>
        <w:tc>
          <w:tcPr>
            <w:tcW w:type="dxa" w:w="2520"/>
            <w:tcBorders>
              <w:top w:val="single" w:color="C7BBAE" w:sz="4"/>
              <w:left w:val="single" w:color="C7BBAE" w:sz="4"/>
              <w:bottom w:val="single" w:color="C7BBAE" w:sz="4"/>
              <w:right w:val="single" w:color="C7BBAE" w:sz="4"/>
            </w:tcBorders>
            <w:shd w:fill="20272E" w:val="clear"/>
            <w:tcMar>
              <w:top w:type="dxa" w:w="95"/>
              <w:left w:type="dxa" w:w="130"/>
              <w:bottom w:type="dxa" w:w="95"/>
              <w:right w:type="dxa" w:w="130"/>
            </w:tcMar>
            <w:vAlign w:val="center"/>
          </w:tcPr>
          <w:p>
            <w:pPr>
              <w:pStyle w:val="TableHeader"/>
              <w:keepNext/>
              <w:keepLines/>
              <w:jc w:val="left"/>
            </w:pPr>
            <w:r>
              <w:rPr>
                <w:b/>
                <w:bCs/>
                <w:color w:val="FFFFFF"/>
              </w:rPr>
              <w:t xml:space="preserve">Field</w:t>
            </w:r>
          </w:p>
        </w:tc>
        <w:tc>
          <w:tcPr>
            <w:tcW w:type="dxa" w:w="7560"/>
            <w:tcBorders>
              <w:top w:val="single" w:color="C7BBAE" w:sz="4"/>
              <w:left w:val="single" w:color="C7BBAE" w:sz="4"/>
              <w:bottom w:val="single" w:color="C7BBAE" w:sz="4"/>
              <w:right w:val="single" w:color="C7BBAE" w:sz="4"/>
            </w:tcBorders>
            <w:shd w:fill="20272E" w:val="clear"/>
            <w:tcMar>
              <w:top w:type="dxa" w:w="95"/>
              <w:left w:type="dxa" w:w="130"/>
              <w:bottom w:type="dxa" w:w="95"/>
              <w:right w:type="dxa" w:w="130"/>
            </w:tcMar>
            <w:vAlign w:val="center"/>
          </w:tcPr>
          <w:p>
            <w:pPr>
              <w:pStyle w:val="TableHeader"/>
              <w:keepNext/>
              <w:keepLines/>
              <w:jc w:val="left"/>
            </w:pPr>
            <w:r>
              <w:rPr>
                <w:b/>
                <w:bCs/>
                <w:color w:val="FFFFFF"/>
              </w:rPr>
              <w:t xml:space="preserve">Value</w:t>
            </w:r>
          </w:p>
        </w:tc>
      </w:tr>
      <w:tr>
        <w:trPr>
          <w:cantSplit/>
        </w:trPr>
        <w:tc>
          <w:tcPr>
            <w:tcW w:type="dxa" w:w="2520"/>
            <w:tcBorders>
              <w:top w:val="single" w:color="C7BBAE" w:sz="4"/>
              <w:left w:val="single" w:color="C7BBAE" w:sz="4"/>
              <w:bottom w:val="single" w:color="C7BBAE" w:sz="4"/>
              <w:right w:val="single" w:color="C7BBAE" w:sz="4"/>
            </w:tcBorders>
            <w:tcMar>
              <w:top w:type="dxa" w:w="95"/>
              <w:left w:type="dxa" w:w="130"/>
              <w:bottom w:type="dxa" w:w="95"/>
              <w:right w:type="dxa" w:w="130"/>
            </w:tcMar>
            <w:vAlign w:val="center"/>
          </w:tcPr>
          <w:p>
            <w:pPr>
              <w:pStyle w:val="TableText"/>
              <w:keepNext/>
              <w:keepLines/>
              <w:jc w:val="left"/>
            </w:pPr>
            <w:r>
              <w:rPr>
                <w:b w:val="false"/>
                <w:bCs w:val="false"/>
                <w:color w:val="20272E"/>
              </w:rPr>
              <w:t xml:space="preserve">Owner</w:t>
            </w:r>
          </w:p>
        </w:tc>
        <w:tc>
          <w:tcPr>
            <w:tcW w:type="dxa" w:w="7560"/>
            <w:tcBorders>
              <w:top w:val="single" w:color="C7BBAE" w:sz="4"/>
              <w:left w:val="single" w:color="C7BBAE" w:sz="4"/>
              <w:bottom w:val="single" w:color="C7BBAE" w:sz="4"/>
              <w:right w:val="single" w:color="C7BBAE" w:sz="4"/>
            </w:tcBorders>
            <w:tcMar>
              <w:top w:type="dxa" w:w="95"/>
              <w:left w:type="dxa" w:w="130"/>
              <w:bottom w:type="dxa" w:w="95"/>
              <w:right w:type="dxa" w:w="130"/>
            </w:tcMar>
            <w:vAlign w:val="center"/>
          </w:tcPr>
          <w:p>
            <w:pPr>
              <w:pStyle w:val="TableText"/>
              <w:keepNext/>
              <w:keepLines/>
              <w:jc w:val="left"/>
            </w:pPr>
            <w:r>
              <w:rPr>
                <w:b w:val="false"/>
                <w:bCs w:val="false"/>
                <w:color w:val="20272E"/>
              </w:rPr>
              <w:t xml:space="preserve">Warranty correspondence operations</w:t>
            </w:r>
          </w:p>
        </w:tc>
      </w:tr>
      <w:tr>
        <w:trPr>
          <w:cantSplit/>
        </w:trPr>
        <w:tc>
          <w:tcPr>
            <w:tcW w:type="dxa" w:w="2520"/>
            <w:tcBorders>
              <w:top w:val="single" w:color="C7BBAE" w:sz="4"/>
              <w:left w:val="single" w:color="C7BBAE" w:sz="4"/>
              <w:bottom w:val="single" w:color="C7BBAE" w:sz="4"/>
              <w:right w:val="single" w:color="C7BBAE" w:sz="4"/>
            </w:tcBorders>
            <w:shd w:fill="F2EEE6" w:val="clear"/>
            <w:tcMar>
              <w:top w:type="dxa" w:w="95"/>
              <w:left w:type="dxa" w:w="130"/>
              <w:bottom w:type="dxa" w:w="95"/>
              <w:right w:type="dxa" w:w="130"/>
            </w:tcMar>
            <w:vAlign w:val="center"/>
          </w:tcPr>
          <w:p>
            <w:pPr>
              <w:pStyle w:val="TableText"/>
              <w:keepNext/>
              <w:keepLines/>
              <w:jc w:val="left"/>
            </w:pPr>
            <w:r>
              <w:rPr>
                <w:b w:val="false"/>
                <w:bCs w:val="false"/>
                <w:color w:val="20272E"/>
              </w:rPr>
              <w:t xml:space="preserve">Approver</w:t>
            </w:r>
          </w:p>
        </w:tc>
        <w:tc>
          <w:tcPr>
            <w:tcW w:type="dxa" w:w="7560"/>
            <w:tcBorders>
              <w:top w:val="single" w:color="C7BBAE" w:sz="4"/>
              <w:left w:val="single" w:color="C7BBAE" w:sz="4"/>
              <w:bottom w:val="single" w:color="C7BBAE" w:sz="4"/>
              <w:right w:val="single" w:color="C7BBAE" w:sz="4"/>
            </w:tcBorders>
            <w:shd w:fill="F2EEE6" w:val="clear"/>
            <w:tcMar>
              <w:top w:type="dxa" w:w="95"/>
              <w:left w:type="dxa" w:w="130"/>
              <w:bottom w:type="dxa" w:w="95"/>
              <w:right w:type="dxa" w:w="130"/>
            </w:tcMar>
            <w:vAlign w:val="center"/>
          </w:tcPr>
          <w:p>
            <w:pPr>
              <w:pStyle w:val="TableText"/>
              <w:keepNext/>
              <w:keepLines/>
              <w:jc w:val="left"/>
            </w:pPr>
            <w:r>
              <w:rPr>
                <w:b w:val="false"/>
                <w:bCs w:val="false"/>
                <w:color w:val="20272E"/>
              </w:rPr>
              <w:t xml:space="preserve">Customer Operations Manager</w:t>
            </w:r>
          </w:p>
        </w:tc>
      </w:tr>
      <w:tr>
        <w:trPr>
          <w:cantSplit/>
        </w:trPr>
        <w:tc>
          <w:tcPr>
            <w:tcW w:type="dxa" w:w="2520"/>
            <w:tcBorders>
              <w:top w:val="single" w:color="C7BBAE" w:sz="4"/>
              <w:left w:val="single" w:color="C7BBAE" w:sz="4"/>
              <w:bottom w:val="single" w:color="C7BBAE" w:sz="4"/>
              <w:right w:val="single" w:color="C7BBAE" w:sz="4"/>
            </w:tcBorders>
            <w:tcMar>
              <w:top w:type="dxa" w:w="95"/>
              <w:left w:type="dxa" w:w="130"/>
              <w:bottom w:type="dxa" w:w="95"/>
              <w:right w:type="dxa" w:w="130"/>
            </w:tcMar>
            <w:vAlign w:val="center"/>
          </w:tcPr>
          <w:p>
            <w:pPr>
              <w:pStyle w:val="TableText"/>
              <w:keepNext/>
              <w:keepLines/>
              <w:jc w:val="left"/>
            </w:pPr>
            <w:r>
              <w:rPr>
                <w:b w:val="false"/>
                <w:bCs w:val="false"/>
                <w:color w:val="20272E"/>
              </w:rPr>
              <w:t xml:space="preserve">Effective period</w:t>
            </w:r>
          </w:p>
        </w:tc>
        <w:tc>
          <w:tcPr>
            <w:tcW w:type="dxa" w:w="7560"/>
            <w:tcBorders>
              <w:top w:val="single" w:color="C7BBAE" w:sz="4"/>
              <w:left w:val="single" w:color="C7BBAE" w:sz="4"/>
              <w:bottom w:val="single" w:color="C7BBAE" w:sz="4"/>
              <w:right w:val="single" w:color="C7BBAE" w:sz="4"/>
            </w:tcBorders>
            <w:tcMar>
              <w:top w:type="dxa" w:w="95"/>
              <w:left w:type="dxa" w:w="130"/>
              <w:bottom w:type="dxa" w:w="95"/>
              <w:right w:type="dxa" w:w="130"/>
            </w:tcMar>
            <w:vAlign w:val="center"/>
          </w:tcPr>
          <w:p>
            <w:pPr>
              <w:pStyle w:val="TableText"/>
              <w:keepNext/>
              <w:keepLines/>
              <w:jc w:val="left"/>
            </w:pPr>
            <w:r>
              <w:rPr>
                <w:b w:val="false"/>
                <w:bCs w:val="false"/>
                <w:color w:val="20272E"/>
              </w:rPr>
              <w:t xml:space="preserve">2026-06-28 through next controlled revision</w:t>
            </w:r>
          </w:p>
        </w:tc>
      </w:tr>
      <w:tr>
        <w:trPr>
          <w:cantSplit/>
        </w:trPr>
        <w:tc>
          <w:tcPr>
            <w:tcW w:type="dxa" w:w="2520"/>
            <w:tcBorders>
              <w:top w:val="single" w:color="C7BBAE" w:sz="4"/>
              <w:left w:val="single" w:color="C7BBAE" w:sz="4"/>
              <w:bottom w:val="single" w:color="C7BBAE" w:sz="4"/>
              <w:right w:val="single" w:color="C7BBAE" w:sz="4"/>
            </w:tcBorders>
            <w:shd w:fill="F2EEE6" w:val="clear"/>
            <w:tcMar>
              <w:top w:type="dxa" w:w="95"/>
              <w:left w:type="dxa" w:w="130"/>
              <w:bottom w:type="dxa" w:w="95"/>
              <w:right w:type="dxa" w:w="130"/>
            </w:tcMar>
            <w:vAlign w:val="center"/>
          </w:tcPr>
          <w:p>
            <w:pPr>
              <w:pStyle w:val="TableText"/>
              <w:keepNext w:val="false"/>
              <w:keepLines/>
              <w:jc w:val="left"/>
            </w:pPr>
            <w:r>
              <w:rPr>
                <w:b w:val="false"/>
                <w:bCs w:val="false"/>
                <w:color w:val="20272E"/>
              </w:rPr>
              <w:t xml:space="preserve">Source precedence</w:t>
            </w:r>
          </w:p>
        </w:tc>
        <w:tc>
          <w:tcPr>
            <w:tcW w:type="dxa" w:w="7560"/>
            <w:tcBorders>
              <w:top w:val="single" w:color="C7BBAE" w:sz="4"/>
              <w:left w:val="single" w:color="C7BBAE" w:sz="4"/>
              <w:bottom w:val="single" w:color="C7BBAE" w:sz="4"/>
              <w:right w:val="single" w:color="C7BBAE" w:sz="4"/>
            </w:tcBorders>
            <w:shd w:fill="F2EEE6" w:val="clear"/>
            <w:tcMar>
              <w:top w:type="dxa" w:w="95"/>
              <w:left w:type="dxa" w:w="130"/>
              <w:bottom w:type="dxa" w:w="95"/>
              <w:right w:type="dxa" w:w="130"/>
            </w:tcMar>
            <w:vAlign w:val="center"/>
          </w:tcPr>
          <w:p>
            <w:pPr>
              <w:pStyle w:val="TableText"/>
              <w:keepNext w:val="false"/>
              <w:keepLines/>
              <w:jc w:val="left"/>
            </w:pPr>
            <w:r>
              <w:rPr>
                <w:b w:val="false"/>
                <w:bCs w:val="false"/>
                <w:color w:val="20272E"/>
              </w:rPr>
              <w:t xml:space="preserve">Case queue, account master, product catalog, and capability matrix are joined before final response.</w:t>
            </w:r>
          </w:p>
        </w:tc>
      </w:tr>
    </w:tbl>
    <w:p>
      <w:pPr>
        <w:pStyle w:val="Heading1"/>
      </w:pPr>
      <w:r>
        <w:t xml:space="preserve">Standard Eligibility Rules</w:t>
      </w:r>
    </w:p>
    <w:p>
      <w:pPr>
        <w:pStyle w:val="Body"/>
      </w:pPr>
      <w:r>
        <w:t xml:space="preserve">A standard warranty merchandise order may be prepared only when the warranty is active on the received date, the resolved product family is covered, the approved quantity is within the remaining allowance, the resolved SKU is standard orderable, inventory is available, the ship-to is validated, proof requirements are met, and no credit restriction is open. A discontinued request with an approved substitute is resolved to the substitute SKU before orderability is tested.</w:t>
      </w:r>
    </w:p>
    <w:p>
      <w:pPr>
        <w:pStyle w:val="Heading1"/>
      </w:pPr>
      <w:r>
        <w:t xml:space="preserve">Commercial And Credit Rules</w:t>
      </w:r>
    </w:p>
    <w:p>
      <w:pPr>
        <w:pStyle w:val="Body"/>
      </w:pPr>
      <w:r>
        <w:t xml:space="preserve">Warranty replacement letters state no customer charge when a standard order request is prepared. Internal warranty value uses the current price list and handling fee table. Open credit holds, invalid addresses, and missing proof exclude rows from the import file until resolved.</w:t>
      </w:r>
    </w:p>
    <w:p>
      <w:pPr>
        <w:pStyle w:val="Heading1"/>
      </w:pPr>
      <w:r>
        <w:t xml:space="preserve">Exception And Route Codes</w:t>
      </w:r>
    </w:p>
    <w:tbl>
      <w:tblPr>
        <w:tblW w:type="dxa" w:w="10080"/>
        <w:tblBorders>
          <w:top w:val="single" w:color="C7BBAE" w:sz="4"/>
          <w:left w:val="single" w:color="C7BBAE" w:sz="4"/>
          <w:bottom w:val="single" w:color="C7BBAE" w:sz="4"/>
          <w:right w:val="single" w:color="C7BBAE" w:sz="4"/>
          <w:insideH w:val="single" w:color="C7BBAE" w:sz="4"/>
          <w:insideV w:val="single" w:color="C7BBAE" w:sz="4"/>
        </w:tblBorders>
        <w:tblLayout w:type="fixed"/>
        <w:tblCellMar>
          <w:top w:type="dxa" w:w="65"/>
          <w:left w:type="dxa" w:w="95"/>
          <w:bottom w:type="dxa" w:w="65"/>
          <w:right w:type="dxa" w:w="95"/>
        </w:tblCellMar>
      </w:tblPr>
      <w:tblGrid>
        <w:gridCol w:w="2160"/>
        <w:gridCol w:w="3100"/>
        <w:gridCol w:w="2240"/>
        <w:gridCol w:w="2580"/>
      </w:tblGrid>
      <w:tr>
        <w:trPr>
          <w:cantSplit/>
          <w:tblHeader/>
        </w:trPr>
        <w:tc>
          <w:tcPr>
            <w:tcW w:type="dxa" w:w="2160"/>
            <w:tcBorders>
              <w:top w:val="single" w:color="C7BBAE" w:sz="4"/>
              <w:left w:val="single" w:color="C7BBAE" w:sz="4"/>
              <w:bottom w:val="single" w:color="C7BBAE" w:sz="4"/>
              <w:right w:val="single" w:color="C7BBAE" w:sz="4"/>
            </w:tcBorders>
            <w:shd w:fill="20272E" w:val="clear"/>
            <w:tcMar>
              <w:top w:type="dxa" w:w="65"/>
              <w:left w:type="dxa" w:w="95"/>
              <w:bottom w:type="dxa" w:w="65"/>
              <w:right w:type="dxa" w:w="95"/>
            </w:tcMar>
            <w:vAlign w:val="center"/>
          </w:tcPr>
          <w:p>
            <w:pPr>
              <w:pStyle w:val="TableHeader"/>
              <w:keepNext/>
              <w:keepLines/>
              <w:jc w:val="left"/>
            </w:pPr>
            <w:r>
              <w:rPr>
                <w:b/>
                <w:bCs/>
                <w:color w:val="FFFFFF"/>
              </w:rPr>
              <w:t xml:space="preserve">Exception</w:t>
            </w:r>
          </w:p>
        </w:tc>
        <w:tc>
          <w:tcPr>
            <w:tcW w:type="dxa" w:w="3100"/>
            <w:tcBorders>
              <w:top w:val="single" w:color="C7BBAE" w:sz="4"/>
              <w:left w:val="single" w:color="C7BBAE" w:sz="4"/>
              <w:bottom w:val="single" w:color="C7BBAE" w:sz="4"/>
              <w:right w:val="single" w:color="C7BBAE" w:sz="4"/>
            </w:tcBorders>
            <w:shd w:fill="20272E" w:val="clear"/>
            <w:tcMar>
              <w:top w:type="dxa" w:w="65"/>
              <w:left w:type="dxa" w:w="95"/>
              <w:bottom w:type="dxa" w:w="65"/>
              <w:right w:type="dxa" w:w="95"/>
            </w:tcMar>
            <w:vAlign w:val="center"/>
          </w:tcPr>
          <w:p>
            <w:pPr>
              <w:pStyle w:val="TableHeader"/>
              <w:keepNext/>
              <w:keepLines/>
              <w:jc w:val="left"/>
            </w:pPr>
            <w:r>
              <w:rPr>
                <w:b/>
                <w:bCs/>
                <w:color w:val="FFFFFF"/>
              </w:rPr>
              <w:t xml:space="preserve">Disposition</w:t>
            </w:r>
          </w:p>
        </w:tc>
        <w:tc>
          <w:tcPr>
            <w:tcW w:type="dxa" w:w="2240"/>
            <w:tcBorders>
              <w:top w:val="single" w:color="C7BBAE" w:sz="4"/>
              <w:left w:val="single" w:color="C7BBAE" w:sz="4"/>
              <w:bottom w:val="single" w:color="C7BBAE" w:sz="4"/>
              <w:right w:val="single" w:color="C7BBAE" w:sz="4"/>
            </w:tcBorders>
            <w:shd w:fill="20272E" w:val="clear"/>
            <w:tcMar>
              <w:top w:type="dxa" w:w="65"/>
              <w:left w:type="dxa" w:w="95"/>
              <w:bottom w:type="dxa" w:w="65"/>
              <w:right w:type="dxa" w:w="95"/>
            </w:tcMar>
            <w:vAlign w:val="center"/>
          </w:tcPr>
          <w:p>
            <w:pPr>
              <w:pStyle w:val="TableHeader"/>
              <w:keepNext/>
              <w:keepLines/>
              <w:jc w:val="left"/>
            </w:pPr>
            <w:r>
              <w:rPr>
                <w:b/>
                <w:bCs/>
                <w:color w:val="FFFFFF"/>
              </w:rPr>
              <w:t xml:space="preserve">Response</w:t>
            </w:r>
          </w:p>
        </w:tc>
        <w:tc>
          <w:tcPr>
            <w:tcW w:type="dxa" w:w="2580"/>
            <w:tcBorders>
              <w:top w:val="single" w:color="C7BBAE" w:sz="4"/>
              <w:left w:val="single" w:color="C7BBAE" w:sz="4"/>
              <w:bottom w:val="single" w:color="C7BBAE" w:sz="4"/>
              <w:right w:val="single" w:color="C7BBAE" w:sz="4"/>
            </w:tcBorders>
            <w:shd w:fill="20272E" w:val="clear"/>
            <w:tcMar>
              <w:top w:type="dxa" w:w="65"/>
              <w:left w:type="dxa" w:w="95"/>
              <w:bottom w:type="dxa" w:w="65"/>
              <w:right w:type="dxa" w:w="95"/>
            </w:tcMar>
            <w:vAlign w:val="center"/>
          </w:tcPr>
          <w:p>
            <w:pPr>
              <w:pStyle w:val="TableHeader"/>
              <w:keepNext/>
              <w:keepLines/>
              <w:jc w:val="left"/>
            </w:pPr>
            <w:r>
              <w:rPr>
                <w:b/>
                <w:bCs/>
                <w:color w:val="FFFFFF"/>
              </w:rPr>
              <w:t xml:space="preserve">Next Owner</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NONE</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STANDARD_ORDER_PREPARED</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R_STANDARD_ORDER</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Fulfillment import coordinator</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QTY_CAP_PARTIAL</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PARTIAL_STANDARD_ORDER_PREPARED</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R_PARTIAL_STANDARD</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Fulfillment import coordinator</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BACKORDER</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AVAILABILITY_RESPONSE_SENT</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R_BACKORDER_NOTICE</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Inventory planning</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EXPIRED_ENTITLEMENT</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INELIGIBLE_RESPONSE_SENT</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R_INELIGIBLE</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SPECIAL_FEASIBILITY</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SPECIAL_ROUTE_PREPARED</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R_SPECIAL_ACK</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Special-product owner</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CREDIT_HOLD</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HELD_CREDIT_RELEASE_REQUIRED</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R_CREDIT_HOLD</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Credit desk</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MISSING_PROOF</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HELD_CUSTOMER_PROOF_REQUIRED</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R_MISSING_PROOF</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INVALID_ADDRESS</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HELD_ADDRESS_CORRECTION_REQUIRED</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R_ADDRESS_FIX</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DISCONTINUED_NO_REPLACEMENT</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UNAVAILABLE_RESPONSE_SENT</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R_UNAVAILABLE</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DUPLICATE_REQUEST</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DUPLICATE_CLOSED</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R_DUPLICATE</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UNCLEAR_PRODUCT</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HELD_PRODUCT_CLARIFICATION_REQUIRED</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R_CLARIFICATION</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FAMILY_NOT_COVERED</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INELIGIBLE_RESPONSE_SENT</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center"/>
            </w:pPr>
            <w:r>
              <w:rPr>
                <w:b w:val="false"/>
                <w:bCs w:val="false"/>
                <w:color w:val="20272E"/>
              </w:rPr>
              <w:t xml:space="preserve">R_INELIGIBLE</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SPECIAL_NONSTARTER</w:t>
            </w:r>
          </w:p>
        </w:tc>
        <w:tc>
          <w:tcPr>
            <w:tcW w:type="dxa" w:w="310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SPECIAL_UNAVAILABLE_RESPONSE_SENT</w:t>
            </w:r>
          </w:p>
        </w:tc>
        <w:tc>
          <w:tcPr>
            <w:tcW w:type="dxa" w:w="224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center"/>
            </w:pPr>
            <w:r>
              <w:rPr>
                <w:b w:val="false"/>
                <w:bCs w:val="false"/>
                <w:color w:val="20272E"/>
              </w:rPr>
              <w:t xml:space="preserve">R_SPECIAL_UNAVAILABLE</w:t>
            </w:r>
          </w:p>
        </w:tc>
        <w:tc>
          <w:tcPr>
            <w:tcW w:type="dxa" w:w="2580"/>
            <w:tcBorders>
              <w:top w:val="single" w:color="C7BBAE" w:sz="4"/>
              <w:left w:val="single" w:color="C7BBAE" w:sz="4"/>
              <w:bottom w:val="single" w:color="C7BBAE" w:sz="4"/>
              <w:right w:val="single" w:color="C7BBAE" w:sz="4"/>
            </w:tcBorders>
            <w:tcMar>
              <w:top w:type="dxa" w:w="65"/>
              <w:left w:type="dxa" w:w="95"/>
              <w:bottom w:type="dxa" w:w="65"/>
              <w:right w:type="dxa" w:w="95"/>
            </w:tcMar>
            <w:vAlign w:val="center"/>
          </w:tcPr>
          <w:p>
            <w:pPr>
              <w:pStyle w:val="TableText"/>
              <w:keepNext/>
              <w:keepLines/>
              <w:jc w:val="left"/>
            </w:pPr>
            <w:r>
              <w:rPr>
                <w:b w:val="false"/>
                <w:bCs w:val="false"/>
                <w:color w:val="20272E"/>
              </w:rPr>
              <w:t xml:space="preserve">Customer</w:t>
            </w:r>
          </w:p>
        </w:tc>
      </w:tr>
      <w:tr>
        <w:trPr>
          <w:cantSplit/>
        </w:trPr>
        <w:tc>
          <w:tcPr>
            <w:tcW w:type="dxa" w:w="216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val="false"/>
              <w:keepLines/>
              <w:jc w:val="center"/>
            </w:pPr>
            <w:r>
              <w:rPr>
                <w:b w:val="false"/>
                <w:bCs w:val="false"/>
                <w:color w:val="20272E"/>
              </w:rPr>
              <w:t xml:space="preserve">SUBSTITUTION_REVIEW</w:t>
            </w:r>
          </w:p>
        </w:tc>
        <w:tc>
          <w:tcPr>
            <w:tcW w:type="dxa" w:w="310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val="false"/>
              <w:keepLines/>
              <w:jc w:val="left"/>
            </w:pPr>
            <w:r>
              <w:rPr>
                <w:b w:val="false"/>
                <w:bCs w:val="false"/>
                <w:color w:val="20272E"/>
              </w:rPr>
              <w:t xml:space="preserve">RESOLVED_STANDARD_SUBSTITUTE</w:t>
            </w:r>
          </w:p>
        </w:tc>
        <w:tc>
          <w:tcPr>
            <w:tcW w:type="dxa" w:w="224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val="false"/>
              <w:keepLines/>
              <w:jc w:val="center"/>
            </w:pPr>
            <w:r>
              <w:rPr>
                <w:b w:val="false"/>
                <w:bCs w:val="false"/>
                <w:color w:val="20272E"/>
              </w:rPr>
              <w:t xml:space="preserve">R_STANDARD_SUBSTITUTE</w:t>
            </w:r>
          </w:p>
        </w:tc>
        <w:tc>
          <w:tcPr>
            <w:tcW w:type="dxa" w:w="2580"/>
            <w:tcBorders>
              <w:top w:val="single" w:color="C7BBAE" w:sz="4"/>
              <w:left w:val="single" w:color="C7BBAE" w:sz="4"/>
              <w:bottom w:val="single" w:color="C7BBAE" w:sz="4"/>
              <w:right w:val="single" w:color="C7BBAE" w:sz="4"/>
            </w:tcBorders>
            <w:shd w:fill="F2EEE6" w:val="clear"/>
            <w:tcMar>
              <w:top w:type="dxa" w:w="65"/>
              <w:left w:type="dxa" w:w="95"/>
              <w:bottom w:type="dxa" w:w="65"/>
              <w:right w:type="dxa" w:w="95"/>
            </w:tcMar>
            <w:vAlign w:val="center"/>
          </w:tcPr>
          <w:p>
            <w:pPr>
              <w:pStyle w:val="TableText"/>
              <w:keepNext w:val="false"/>
              <w:keepLines/>
              <w:jc w:val="left"/>
            </w:pPr>
            <w:r>
              <w:rPr>
                <w:b w:val="false"/>
                <w:bCs w:val="false"/>
                <w:color w:val="20272E"/>
              </w:rPr>
              <w:t xml:space="preserve">Fulfillment import coordinator</w:t>
            </w:r>
          </w:p>
        </w:tc>
      </w:tr>
    </w:tbl>
    <w:p>
      <w:pPr>
        <w:pStyle w:val="Heading1"/>
      </w:pPr>
      <w:r>
        <w:t xml:space="preserve">Closeout Evidence Rules</w:t>
      </w:r>
    </w:p>
    <w:p>
      <w:pPr>
        <w:pStyle w:val="Body"/>
      </w:pPr>
      <w:r>
        <w:t xml:space="preserve">Completed correspondence is evidenced by a dated response packet entry and register row. Standard order requests are evidenced by preparation in the machine import view, not by shipment or upload completion. Routed feasibility requests must carry the owner queue and required referral fields and must not be described as feasibility approvals. Held and ineligible cases remain in the control population with reason and next action.</w:t>
      </w:r>
    </w:p>
    <w:sectPr>
      <w:headerReference w:type="default" r:id="rId6"/>
      <w:footerReference w:type="default" r:id="rId7"/>
      <w:pgSz w:w="12240" w:h="15840" w:orient="portrait"/>
      <w:pgMar w:top="112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adea">
    <w:family w:val="auto"/>
    <w:pitch w:val="variable"/>
    <w:sig w:usb0="E0002AFF" w:usb1="C000247B" w:usb2="00000009" w:usb3="00000000" w:csb0="000001FF" w:csb1="00000000"/>
    <w:embedRegular r:id="rId1" w:fontKey="{8e9d89bd-c964-2e4a-9b63-b3ce8a646cf6}"/>
  </w:font>
  <w:font w:name="Carlito">
    <w:family w:val="auto"/>
    <w:pitch w:val="variable"/>
    <w:sig w:usb0="E0002AFF" w:usb1="C000247B" w:usb2="00000009" w:usb3="00000000" w:csb0="000001FF" w:csb1="00000000"/>
    <w:embedRegular r:id="rId2" w:fontKey="{51fb7929-0722-c161-f60c-548d70179b0a}"/>
  </w:font>
  <w:font w:name="Liberation Mono">
    <w:family w:val="auto"/>
    <w:pitch w:val="variable"/>
    <w:sig w:usb0="E0002AFF" w:usb1="C000247B" w:usb2="00000009" w:usb3="00000000" w:csb0="000001FF" w:csb1="00000000"/>
    <w:embedRegular r:id="rId3" w:fontKey="{2f84d69f-c996-cb79-45c1-325611ea818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BBAE" w:sz="4" w:space="4"/>
      </w:pBdr>
      <w:tabs>
        <w:tab w:val="right" w:pos="9360"/>
      </w:tabs>
    </w:pPr>
    <w:r>
      <w:rPr>
        <w:rFonts w:ascii="Carlito" w:cs="Carlito" w:eastAsia="Carlito" w:hAnsi="Carlito"/>
        <w:color w:val="70675F"/>
        <w:sz w:val="16"/>
        <w:szCs w:val="16"/>
      </w:rPr>
      <w:t xml:space="preserve">Controlled rule document | Rev. 2026-06-28</w:t>
    </w:r>
    <w:r>
      <w:t xml:space="preserve">	</w:t>
    </w:r>
    <w:r>
      <w:rPr>
        <w:rFonts w:ascii="Carlito" w:cs="Carlito" w:eastAsia="Carlito" w:hAnsi="Carlito"/>
        <w:color w:val="70675F"/>
        <w:sz w:val="16"/>
        <w:szCs w:val="16"/>
      </w:rPr>
      <w:t xml:space="preserve">Page </w:t>
    </w:r>
    <w:r>
      <w:rPr>
        <w:rFonts w:ascii="Carlito" w:cs="Carlito" w:eastAsia="Carlito" w:hAnsi="Carlito"/>
        <w:color w:val="7067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7C78" w:sz="6" w:space="4"/>
      </w:pBdr>
    </w:pPr>
    <w:r>
      <w:rPr>
        <w:rFonts w:ascii="Carlito" w:cs="Carlito" w:eastAsia="Carlito" w:hAnsi="Carlito"/>
        <w:b/>
        <w:bCs/>
        <w:color w:val="557C78"/>
        <w:sz w:val="16"/>
        <w:szCs w:val="16"/>
      </w:rPr>
      <w:t xml:space="preserve">Northstar Home Goods | Warranty request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20272E"/>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Document Title"/>
    <w:basedOn w:val="Normal"/>
    <w:next w:val="Subtitle"/>
    <w:qFormat/>
    <w:pPr>
      <w:keepNext/>
      <w:spacing w:before="0" w:after="150"/>
    </w:pPr>
    <w:rPr>
      <w:rFonts w:ascii="Caladea" w:cs="Caladea" w:eastAsia="Caladea" w:hAnsi="Caladea"/>
      <w:b/>
      <w:bCs/>
      <w:color w:val="20272E"/>
      <w:sz w:val="44"/>
      <w:szCs w:val="44"/>
    </w:rPr>
  </w:style>
  <w:style w:type="paragraph" w:styleId="Subtitle">
    <w:name w:val="Document Subtitle"/>
    <w:basedOn w:val="Normal"/>
    <w:next w:val="Normal"/>
    <w:qFormat/>
    <w:pPr>
      <w:keepNext/>
      <w:spacing w:after="300"/>
    </w:pPr>
    <w:rPr>
      <w:rFonts w:ascii="Carlito" w:cs="Carlito" w:eastAsia="Carlito" w:hAnsi="Carlito"/>
      <w:color w:val="70675F"/>
      <w:sz w:val="24"/>
      <w:szCs w:val="24"/>
    </w:rPr>
  </w:style>
  <w:style w:type="paragraph" w:styleId="Heading1">
    <w:name w:val="Heading 1"/>
    <w:basedOn w:val="Normal"/>
    <w:next w:val="Normal"/>
    <w:qFormat/>
    <w:pPr>
      <w:keepNext/>
      <w:pBdr>
        <w:bottom w:val="single" w:color="557C78" w:sz="10" w:space="5"/>
      </w:pBdr>
      <w:spacing w:before="300" w:after="120"/>
      <w:outlineLvl w:val="0"/>
    </w:pPr>
    <w:rPr>
      <w:rFonts w:ascii="Caladea" w:cs="Caladea" w:eastAsia="Caladea" w:hAnsi="Caladea"/>
      <w:b/>
      <w:bCs/>
      <w:color w:val="20272E"/>
      <w:sz w:val="32"/>
      <w:szCs w:val="32"/>
    </w:rPr>
  </w:style>
  <w:style w:type="paragraph" w:styleId="Heading2">
    <w:name w:val="Heading 2"/>
    <w:basedOn w:val="Normal"/>
    <w:next w:val="Normal"/>
    <w:qFormat/>
    <w:pPr>
      <w:keepNext/>
      <w:spacing w:before="240" w:after="100"/>
      <w:outlineLvl w:val="1"/>
    </w:pPr>
    <w:rPr>
      <w:rFonts w:ascii="Caladea" w:cs="Caladea" w:eastAsia="Caladea" w:hAnsi="Caladea"/>
      <w:b/>
      <w:bCs/>
      <w:color w:val="557C78"/>
      <w:sz w:val="27"/>
      <w:szCs w:val="27"/>
    </w:rPr>
  </w:style>
  <w:style w:type="paragraph" w:styleId="Heading3">
    <w:name w:val="Heading 3"/>
    <w:basedOn w:val="Normal"/>
    <w:next w:val="Normal"/>
    <w:qFormat/>
    <w:pPr>
      <w:keepNext/>
      <w:spacing w:before="180" w:after="80"/>
      <w:outlineLvl w:val="2"/>
    </w:pPr>
    <w:rPr>
      <w:rFonts w:ascii="Carlito" w:cs="Carlito" w:eastAsia="Carlito" w:hAnsi="Carlito"/>
      <w:b/>
      <w:bCs/>
      <w:color w:val="20272E"/>
      <w:sz w:val="23"/>
      <w:szCs w:val="23"/>
    </w:rPr>
  </w:style>
  <w:style w:type="paragraph" w:styleId="Kicker">
    <w:name w:val="Kicker"/>
    <w:basedOn w:val="Normal"/>
    <w:next w:val="Title"/>
    <w:qFormat/>
    <w:pPr>
      <w:keepNext/>
      <w:spacing w:after="90"/>
    </w:pPr>
    <w:rPr>
      <w:rFonts w:ascii="Liberation Mono" w:cs="Liberation Mono" w:eastAsia="Liberation Mono" w:hAnsi="Liberation Mono"/>
      <w:b/>
      <w:bCs/>
      <w:caps/>
      <w:color w:val="557C78"/>
      <w:sz w:val="18"/>
      <w:szCs w:val="18"/>
    </w:rPr>
  </w:style>
  <w:style w:type="paragraph" w:styleId="Body">
    <w:name w:val="Body"/>
    <w:basedOn w:val="Normal"/>
    <w:next w:val="Body"/>
    <w:qFormat/>
    <w:pPr>
      <w:widowControl/>
      <w:spacing w:after="120" w:line="276"/>
    </w:pPr>
    <w:rPr>
      <w:rFonts w:ascii="Carlito" w:cs="Carlito" w:eastAsia="Carlito" w:hAnsi="Carlito"/>
      <w:color w:val="20272E"/>
      <w:sz w:val="21"/>
      <w:szCs w:val="21"/>
    </w:rPr>
  </w:style>
  <w:style w:type="paragraph" w:styleId="Small">
    <w:name w:val="Small Text"/>
    <w:basedOn w:val="Normal"/>
    <w:next w:val="Small"/>
    <w:pPr>
      <w:spacing w:after="80" w:line="240"/>
    </w:pPr>
    <w:rPr>
      <w:rFonts w:ascii="Liberation Mono" w:cs="Liberation Mono" w:eastAsia="Liberation Mono" w:hAnsi="Liberation Mono"/>
      <w:color w:val="70675F"/>
      <w:sz w:val="18"/>
      <w:szCs w:val="18"/>
    </w:rPr>
  </w:style>
  <w:style w:type="paragraph" w:styleId="Caption">
    <w:name w:val="Figure Caption"/>
    <w:basedOn w:val="Normal"/>
    <w:next w:val="Normal"/>
    <w:qFormat/>
    <w:pPr>
      <w:keepNext/>
      <w:spacing w:before="70" w:after="150"/>
    </w:pPr>
    <w:rPr>
      <w:rFonts w:ascii="Carlito" w:cs="Carlito" w:eastAsia="Carlito" w:hAnsi="Carlito"/>
      <w:i/>
      <w:iCs/>
      <w:color w:val="70675F"/>
      <w:sz w:val="18"/>
      <w:szCs w:val="18"/>
    </w:rPr>
  </w:style>
  <w:style w:type="paragraph" w:styleId="TableHeader">
    <w:name w:val="Table Header"/>
    <w:basedOn w:val="Normal"/>
    <w:next w:val="TableText"/>
    <w:pPr>
      <w:keepNext/>
      <w:spacing w:before="0" w:after="0"/>
    </w:pPr>
    <w:rPr>
      <w:rFonts w:ascii="Liberation Mono" w:cs="Liberation Mono" w:eastAsia="Liberation Mono" w:hAnsi="Liberation Mono"/>
      <w:b/>
      <w:bCs/>
      <w:color w:val="FFFFFF"/>
      <w:sz w:val="18"/>
      <w:szCs w:val="18"/>
    </w:rPr>
  </w:style>
  <w:style w:type="paragraph" w:styleId="TableText">
    <w:name w:val="Table Text"/>
    <w:basedOn w:val="Normal"/>
    <w:next w:val="TableText"/>
    <w:pPr>
      <w:widowControl/>
      <w:spacing w:before="0" w:after="0" w:line="220"/>
    </w:pPr>
    <w:rPr>
      <w:rFonts w:ascii="Carlito" w:cs="Carlito" w:eastAsia="Carlito" w:hAnsi="Carlito"/>
      <w:color w:val="20272E"/>
      <w:sz w:val="18"/>
      <w:szCs w:val="18"/>
    </w:rPr>
  </w:style>
  <w:style w:type="paragraph" w:styleId="Callout">
    <w:name w:val="Decision Callout"/>
    <w:basedOn w:val="Normal"/>
    <w:next w:val="Normal"/>
    <w:qFormat/>
    <w:pPr>
      <w:keepNext/>
      <w:pBdr>
        <w:left w:val="single" w:color="557C78" w:sz="22" w:space="8"/>
      </w:pBdr>
      <w:shd w:fill="D8D0C4" w:val="clear"/>
      <w:spacing w:before="120" w:after="180" w:line="276"/>
      <w:ind w:left="180" w:right="120"/>
    </w:pPr>
    <w:rPr>
      <w:rFonts w:ascii="Carlito" w:cs="Carlito" w:eastAsia="Carlito" w:hAnsi="Carlito"/>
      <w:b/>
      <w:bCs/>
      <w:color w:val="2027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Caladea.odttf"/><Relationship Id="rId2" Type="http://schemas.openxmlformats.org/officeDocument/2006/relationships/font" Target="fonts/Carlito.odttf"/><Relationship Id="rId3" Type="http://schemas.openxmlformats.org/officeDocument/2006/relationships/font" Target="fonts/Liberation Mono.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 Merchandise Request Rules</dc:title>
  <dc:subject>Controlled rules for warranty merchandise request closeout</dc:subject>
  <dc:creator>Northstar Home Goods Customer Operations</dc:creator>
  <cp:keywords>warranty, merchandise request, correspondence rules, exceptions</cp:keywords>
  <dc:description>Standard-order, exception, response, and routing rules for warranty correspondence clerks.</dc:description>
  <cp:lastModifiedBy>Northstar Home Goods Customer Operations</cp:lastModifiedBy>
  <cp:revision>3</cp:revision>
  <dcterms:created xsi:type="dcterms:W3CDTF">2026-07-16T01:11:05.863Z</dcterms:created>
  <dcterms:modified xsi:type="dcterms:W3CDTF">2026-07-16T01:11:05.863Z</dcterms:modified>
</cp:coreProperties>
</file>

<file path=docProps/custom.xml><?xml version="1.0" encoding="utf-8"?>
<Properties xmlns="http://schemas.openxmlformats.org/officeDocument/2006/custom-properties" xmlns:vt="http://schemas.openxmlformats.org/officeDocument/2006/docPropsVTypes"/>
</file>