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Kicker"/>
      </w:pPr>
      <w:r>
        <w:t xml:space="preserve">Controlled Commercial Authority</w:t>
      </w:r>
    </w:p>
    <w:p>
      <w:pPr>
        <w:pStyle w:val="Title"/>
      </w:pPr>
      <w:r>
        <w:t xml:space="preserve">Q3 2026 Local Recovery Offer Authority</w:t>
      </w:r>
    </w:p>
    <w:p>
      <w:pPr>
        <w:pStyle w:val="Subtitle"/>
      </w:pPr>
      <w:r>
        <w:t xml:space="preserve">Northstar Media Network advertising sales desk</w:t>
      </w:r>
    </w:p>
    <w:p>
      <w:pPr>
        <w:pBdr>
          <w:bottom w:val="single" w:color="6F918E" w:sz="18" w:space="1"/>
        </w:pBdr>
        <w:spacing w:after="260"/>
      </w:pPr>
    </w:p>
    <w:sdt>
      <w:sdtPr>
        <w:alias w:val="Contents"/>
      </w:sdtPr>
      <w:sdtContent>
        <w:p>
          <w:r>
            <w:fldChar w:fldCharType="begin" w:dirty="true"/>
            <w:instrText xml:space="preserve">TOC \h \o "1-2"</w:instrText>
            <w:fldChar w:fldCharType="separate"/>
          </w:r>
        </w:p>
        <w:p>
          <w:r>
            <w:fldChar w:fldCharType="end"/>
          </w:r>
        </w:p>
      </w:sdtContent>
    </w:sdt>
    <w:p>
      <w:pPr>
        <w:pStyle w:val="Heading1"/>
      </w:pPr>
      <w:r>
        <w:t xml:space="preserve">Document Control</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800"/>
        <w:gridCol w:w="7280"/>
      </w:tblGrid>
      <w:tr>
        <w:trPr>
          <w:cantSplit/>
          <w:tblHeader/>
        </w:trPr>
        <w:tc>
          <w:tcPr>
            <w:tcW w:type="dxa" w:w="28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Control</w:t>
            </w:r>
          </w:p>
        </w:tc>
        <w:tc>
          <w:tcPr>
            <w:tcW w:type="dxa" w:w="72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Approved Value</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Document owner</w:t>
            </w:r>
          </w:p>
        </w:tc>
        <w:tc>
          <w:tcPr>
            <w:tcW w:type="dxa" w:w="7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Revenue Operations - Commercial Desk</w:t>
            </w:r>
          </w:p>
        </w:tc>
      </w:tr>
      <w:tr>
        <w:trPr>
          <w:cantSplit/>
        </w:trPr>
        <w:tc>
          <w:tcPr>
            <w:tcW w:type="dxa" w:w="2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Approver</w:t>
            </w:r>
          </w:p>
        </w:tc>
        <w:tc>
          <w:tcPr>
            <w:tcW w:type="dxa" w:w="72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Elena Whitaker, Director of Regional Sales</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Effective window</w:t>
            </w:r>
          </w:p>
        </w:tc>
        <w:tc>
          <w:tcPr>
            <w:tcW w:type="dxa" w:w="7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2026-07-15 through 2026-09-30</w:t>
            </w:r>
          </w:p>
        </w:tc>
      </w:tr>
      <w:tr>
        <w:trPr>
          <w:cantSplit/>
        </w:trPr>
        <w:tc>
          <w:tcPr>
            <w:tcW w:type="dxa" w:w="28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Revision</w:t>
            </w:r>
          </w:p>
        </w:tc>
        <w:tc>
          <w:tcPr>
            <w:tcW w:type="dxa" w:w="72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Q3 recovery authority refresh, Rev. 2</w:t>
            </w:r>
          </w:p>
        </w:tc>
      </w:tr>
      <w:tr>
        <w:trPr>
          <w:cantSplit/>
        </w:trPr>
        <w:tc>
          <w:tcPr>
            <w:tcW w:type="dxa" w:w="28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Use boundary</w:t>
            </w:r>
          </w:p>
        </w:tc>
        <w:tc>
          <w:tcPr>
            <w:tcW w:type="dxa" w:w="72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Frontline supervisors may approve only the rows marked Supervisor and only when source case evidence is attached.</w:t>
            </w:r>
          </w:p>
        </w:tc>
      </w:tr>
    </w:tbl>
    <w:p>
      <w:pPr>
        <w:pStyle w:val="Heading1"/>
      </w:pPr>
      <w:r>
        <w:t xml:space="preserve">Authority Scope</w:t>
      </w:r>
    </w:p>
    <w:p>
      <w:pPr>
        <w:pStyle w:val="Body"/>
      </w:pPr>
      <w:r>
        <w:t xml:space="preserve">This guide defines the local commercial actions a frontline sales supervisor may approve for escalated advertiser recoveries in the July 2026 renewal cycle. It does not delegate enterprise contract terms, unverified credits, guaranteed performance commitments, or customer promises that are not supported by CRM, case, order, contact, and approval evidence.</w:t>
      </w:r>
    </w:p>
    <w:p>
      <w:pPr>
        <w:pStyle w:val="Callout"/>
      </w:pPr>
      <w:r>
        <w:t xml:space="preserve">Any over-limit amount, unsupported issue type, missing decision-maker route, or unresolved operational blocker remains a controlled exception until the named manager approves a route.</w:t>
      </w:r>
    </w:p>
    <w:p>
      <w:pPr>
        <w:pStyle w:val="Heading1"/>
      </w:pPr>
      <w:r>
        <w:t xml:space="preserve">Approved Offer Matrix</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65"/>
          <w:left w:type="dxa" w:w="95"/>
          <w:bottom w:type="dxa" w:w="65"/>
          <w:right w:type="dxa" w:w="95"/>
        </w:tblCellMar>
      </w:tblPr>
      <w:tblGrid>
        <w:gridCol w:w="1180"/>
        <w:gridCol w:w="2300"/>
        <w:gridCol w:w="1800"/>
        <w:gridCol w:w="1200"/>
        <w:gridCol w:w="1300"/>
        <w:gridCol w:w="2300"/>
      </w:tblGrid>
      <w:tr>
        <w:trPr>
          <w:cantSplit/>
          <w:tblHeader/>
        </w:trPr>
        <w:tc>
          <w:tcPr>
            <w:tcW w:type="dxa" w:w="118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Offer Code</w:t>
            </w:r>
          </w:p>
        </w:tc>
        <w:tc>
          <w:tcPr>
            <w:tcW w:type="dxa" w:w="23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Issue Basis</w:t>
            </w:r>
          </w:p>
        </w:tc>
        <w:tc>
          <w:tcPr>
            <w:tcW w:type="dxa" w:w="18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Eligible Tiers</w:t>
            </w:r>
          </w:p>
        </w:tc>
        <w:tc>
          <w:tcPr>
            <w:tcW w:type="dxa" w:w="12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Max Value</w:t>
            </w:r>
          </w:p>
        </w:tc>
        <w:tc>
          <w:tcPr>
            <w:tcW w:type="dxa" w:w="13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Approval</w:t>
            </w:r>
          </w:p>
        </w:tc>
        <w:tc>
          <w:tcPr>
            <w:tcW w:type="dxa" w:w="2300"/>
            <w:tcBorders>
              <w:top w:val="single" w:color="B8C5C3" w:sz="4"/>
              <w:left w:val="single" w:color="B8C5C3" w:sz="4"/>
              <w:bottom w:val="single" w:color="B8C5C3" w:sz="4"/>
              <w:right w:val="single" w:color="B8C5C3" w:sz="4"/>
            </w:tcBorders>
            <w:shd w:fill="172C46" w:val="clear"/>
            <w:tcMar>
              <w:top w:type="dxa" w:w="65"/>
              <w:left w:type="dxa" w:w="95"/>
              <w:bottom w:type="dxa" w:w="65"/>
              <w:right w:type="dxa" w:w="95"/>
            </w:tcMar>
            <w:vAlign w:val="center"/>
          </w:tcPr>
          <w:p>
            <w:pPr>
              <w:pStyle w:val="TableHeader"/>
              <w:keepNext/>
              <w:keepLines/>
              <w:jc w:val="left"/>
            </w:pPr>
            <w:r>
              <w:rPr>
                <w:b/>
                <w:bCs/>
                <w:color w:val="FFFFFF"/>
              </w:rPr>
              <w:t xml:space="preserve">Permitted Use</w:t>
            </w:r>
          </w:p>
        </w:tc>
      </w:tr>
      <w:tr>
        <w:trPr>
          <w:cantSplit/>
        </w:trPr>
        <w:tc>
          <w:tcPr>
            <w:tcW w:type="dxa" w:w="11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MG-15</w:t>
            </w:r>
          </w:p>
        </w:tc>
        <w:tc>
          <w:tcPr>
            <w:tcW w:type="dxa" w:w="2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Delivery Underpacing</w:t>
            </w:r>
          </w:p>
        </w:tc>
        <w:tc>
          <w:tcPr>
            <w:tcW w:type="dxa" w:w="18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Key Growth, Core, Emerging</w:t>
            </w:r>
          </w:p>
        </w:tc>
        <w:tc>
          <w:tcPr>
            <w:tcW w:type="dxa" w:w="12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right"/>
            </w:pPr>
            <w:r>
              <w:rPr>
                <w:b w:val="false"/>
                <w:bCs w:val="false"/>
                <w:color w:val="172C46"/>
              </w:rPr>
              <w:t xml:space="preserve">$25,000</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Supervisor</w:t>
            </w:r>
          </w:p>
        </w:tc>
        <w:tc>
          <w:tcPr>
            <w:tcW w:type="dxa" w:w="2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Makegood inventory up to 15% of affected booked impressions after ad-ops validation.</w:t>
            </w:r>
          </w:p>
        </w:tc>
      </w:tr>
      <w:tr>
        <w:trPr>
          <w:cantSplit/>
        </w:trPr>
        <w:tc>
          <w:tcPr>
            <w:tcW w:type="dxa" w:w="11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CR-10K</w:t>
            </w:r>
          </w:p>
        </w:tc>
        <w:tc>
          <w:tcPr>
            <w:tcW w:type="dxa" w:w="2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Billing Error</w:t>
            </w:r>
          </w:p>
        </w:tc>
        <w:tc>
          <w:tcPr>
            <w:tcW w:type="dxa" w:w="18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Key Growth, Core, Emerging</w:t>
            </w:r>
          </w:p>
        </w:tc>
        <w:tc>
          <w:tcPr>
            <w:tcW w:type="dxa" w:w="12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right"/>
            </w:pPr>
            <w:r>
              <w:rPr>
                <w:b w:val="false"/>
                <w:bCs w:val="false"/>
                <w:color w:val="172C46"/>
              </w:rPr>
              <w:t xml:space="preserve">$10,000</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Supervisor</w:t>
            </w:r>
          </w:p>
        </w:tc>
        <w:tc>
          <w:tcPr>
            <w:tcW w:type="dxa" w:w="2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Verified invoice credit up to $10,000 with billing case attached.</w:t>
            </w:r>
          </w:p>
        </w:tc>
      </w:tr>
      <w:tr>
        <w:trPr>
          <w:cantSplit/>
        </w:trPr>
        <w:tc>
          <w:tcPr>
            <w:tcW w:type="dxa" w:w="11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RH-60</w:t>
            </w:r>
          </w:p>
        </w:tc>
        <w:tc>
          <w:tcPr>
            <w:tcW w:type="dxa" w:w="2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Renewal Rate Objection</w:t>
            </w:r>
          </w:p>
        </w:tc>
        <w:tc>
          <w:tcPr>
            <w:tcW w:type="dxa" w:w="18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Core, Emerging</w:t>
            </w:r>
          </w:p>
        </w:tc>
        <w:tc>
          <w:tcPr>
            <w:tcW w:type="dxa" w:w="12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right"/>
            </w:pPr>
            <w:r>
              <w:rPr>
                <w:b w:val="false"/>
                <w:bCs w:val="false"/>
                <w:color w:val="172C46"/>
              </w:rPr>
              <w:t xml:space="preserve">No credit</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Supervisor</w:t>
            </w:r>
          </w:p>
        </w:tc>
        <w:tc>
          <w:tcPr>
            <w:tcW w:type="dxa" w:w="2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Hold current renewal CPM for 60 days when no extra credit is promised.</w:t>
            </w:r>
          </w:p>
        </w:tc>
      </w:tr>
      <w:tr>
        <w:trPr>
          <w:cantSplit/>
        </w:trPr>
        <w:tc>
          <w:tcPr>
            <w:tcW w:type="dxa" w:w="11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val="false"/>
                <w:bCs w:val="false"/>
                <w:color w:val="172C46"/>
              </w:rPr>
              <w:t xml:space="preserve">SW-PKG</w:t>
            </w:r>
          </w:p>
        </w:tc>
        <w:tc>
          <w:tcPr>
            <w:tcW w:type="dxa" w:w="2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Creative Trafficking; Audience Mismatch; Product Feed Blocker</w:t>
            </w:r>
          </w:p>
        </w:tc>
        <w:tc>
          <w:tcPr>
            <w:tcW w:type="dxa" w:w="18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Key Growth, Core, Emerging</w:t>
            </w:r>
          </w:p>
        </w:tc>
        <w:tc>
          <w:tcPr>
            <w:tcW w:type="dxa" w:w="12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right"/>
            </w:pPr>
            <w:r>
              <w:rPr>
                <w:b w:val="false"/>
                <w:bCs w:val="false"/>
                <w:color w:val="172C46"/>
              </w:rPr>
              <w:t xml:space="preserve">$18,000</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center"/>
            </w:pPr>
            <w:r>
              <w:rPr>
                <w:b/>
                <w:bCs/>
                <w:color w:val="6F918E"/>
              </w:rPr>
              <w:t xml:space="preserve">Supervisor</w:t>
            </w:r>
          </w:p>
        </w:tc>
        <w:tc>
          <w:tcPr>
            <w:tcW w:type="dxa" w:w="2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keepLines/>
              <w:jc w:val="left"/>
            </w:pPr>
            <w:r>
              <w:rPr>
                <w:b w:val="false"/>
                <w:bCs w:val="false"/>
                <w:color w:val="172C46"/>
              </w:rPr>
              <w:t xml:space="preserve">Equivalent-value package swap after operational owner confirms feasibility.</w:t>
            </w:r>
          </w:p>
        </w:tc>
      </w:tr>
      <w:tr>
        <w:trPr>
          <w:cantSplit/>
        </w:trPr>
        <w:tc>
          <w:tcPr>
            <w:tcW w:type="dxa" w:w="118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val="false"/>
                <w:bCs w:val="false"/>
                <w:color w:val="172C46"/>
              </w:rPr>
              <w:t xml:space="preserve">RPT-COMP</w:t>
            </w:r>
          </w:p>
        </w:tc>
        <w:tc>
          <w:tcPr>
            <w:tcW w:type="dxa" w:w="2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Reporting Discrepancy</w:t>
            </w:r>
          </w:p>
        </w:tc>
        <w:tc>
          <w:tcPr>
            <w:tcW w:type="dxa" w:w="18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Key Growth, Core, Emerging</w:t>
            </w:r>
          </w:p>
        </w:tc>
        <w:tc>
          <w:tcPr>
            <w:tcW w:type="dxa" w:w="12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right"/>
            </w:pPr>
            <w:r>
              <w:rPr>
                <w:b w:val="false"/>
                <w:bCs w:val="false"/>
                <w:color w:val="172C46"/>
              </w:rPr>
              <w:t xml:space="preserve">No credit</w:t>
            </w:r>
          </w:p>
        </w:tc>
        <w:tc>
          <w:tcPr>
            <w:tcW w:type="dxa" w:w="1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center"/>
            </w:pPr>
            <w:r>
              <w:rPr>
                <w:b/>
                <w:bCs/>
                <w:color w:val="6F918E"/>
              </w:rPr>
              <w:t xml:space="preserve">Supervisor</w:t>
            </w:r>
          </w:p>
        </w:tc>
        <w:tc>
          <w:tcPr>
            <w:tcW w:type="dxa" w:w="2300"/>
            <w:tcBorders>
              <w:top w:val="single" w:color="B8C5C3" w:sz="4"/>
              <w:left w:val="single" w:color="B8C5C3" w:sz="4"/>
              <w:bottom w:val="single" w:color="B8C5C3" w:sz="4"/>
              <w:right w:val="single" w:color="B8C5C3" w:sz="4"/>
            </w:tcBorders>
            <w:tcMar>
              <w:top w:type="dxa" w:w="65"/>
              <w:left w:type="dxa" w:w="95"/>
              <w:bottom w:type="dxa" w:w="65"/>
              <w:right w:type="dxa" w:w="95"/>
            </w:tcMar>
            <w:vAlign w:val="center"/>
          </w:tcPr>
          <w:p>
            <w:pPr>
              <w:pStyle w:val="TableText"/>
              <w:keepNext/>
              <w:keepLines/>
              <w:jc w:val="left"/>
            </w:pPr>
            <w:r>
              <w:rPr>
                <w:b w:val="false"/>
                <w:bCs w:val="false"/>
                <w:color w:val="172C46"/>
              </w:rPr>
              <w:t xml:space="preserve">Expedited reporting reconciliation package with customer-facing summary.</w:t>
            </w:r>
          </w:p>
        </w:tc>
      </w:tr>
      <w:tr>
        <w:trPr>
          <w:cantSplit/>
        </w:trPr>
        <w:tc>
          <w:tcPr>
            <w:tcW w:type="dxa" w:w="118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center"/>
            </w:pPr>
            <w:r>
              <w:rPr>
                <w:b w:val="false"/>
                <w:bCs w:val="false"/>
                <w:color w:val="172C46"/>
              </w:rPr>
              <w:t xml:space="preserve">MGR-REQ</w:t>
            </w:r>
          </w:p>
        </w:tc>
        <w:tc>
          <w:tcPr>
            <w:tcW w:type="dxa" w:w="2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Over-limit or unsupported</w:t>
            </w:r>
          </w:p>
        </w:tc>
        <w:tc>
          <w:tcPr>
            <w:tcW w:type="dxa" w:w="18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All</w:t>
            </w:r>
          </w:p>
        </w:tc>
        <w:tc>
          <w:tcPr>
            <w:tcW w:type="dxa" w:w="12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right"/>
            </w:pPr>
            <w:r>
              <w:rPr>
                <w:b w:val="false"/>
                <w:bCs w:val="false"/>
                <w:color w:val="172C46"/>
              </w:rPr>
              <w:t xml:space="preserve">No credit</w:t>
            </w:r>
          </w:p>
        </w:tc>
        <w:tc>
          <w:tcPr>
            <w:tcW w:type="dxa" w:w="1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center"/>
            </w:pPr>
            <w:r>
              <w:rPr>
                <w:b/>
                <w:bCs/>
                <w:color w:val="6F918E"/>
              </w:rPr>
              <w:t xml:space="preserve">Manager required</w:t>
            </w:r>
          </w:p>
        </w:tc>
        <w:tc>
          <w:tcPr>
            <w:tcW w:type="dxa" w:w="2300"/>
            <w:tcBorders>
              <w:top w:val="single" w:color="B8C5C3" w:sz="4"/>
              <w:left w:val="single" w:color="B8C5C3" w:sz="4"/>
              <w:bottom w:val="single" w:color="B8C5C3" w:sz="4"/>
              <w:right w:val="single" w:color="B8C5C3" w:sz="4"/>
            </w:tcBorders>
            <w:shd w:fill="F6F0E3" w:val="clear"/>
            <w:tcMar>
              <w:top w:type="dxa" w:w="65"/>
              <w:left w:type="dxa" w:w="95"/>
              <w:bottom w:type="dxa" w:w="65"/>
              <w:right w:type="dxa" w:w="95"/>
            </w:tcMar>
            <w:vAlign w:val="center"/>
          </w:tcPr>
          <w:p>
            <w:pPr>
              <w:pStyle w:val="TableText"/>
              <w:keepNext w:val="false"/>
              <w:keepLines/>
              <w:jc w:val="left"/>
            </w:pPr>
            <w:r>
              <w:rPr>
                <w:b w:val="false"/>
                <w:bCs w:val="false"/>
                <w:color w:val="172C46"/>
              </w:rPr>
              <w:t xml:space="preserve">Controlled exception route for over-limit credits, legal terms, unsupported offers, or missing authority.</w:t>
            </w:r>
          </w:p>
        </w:tc>
      </w:tr>
    </w:tbl>
    <w:p>
      <w:pPr>
        <w:pStyle w:val="Heading1"/>
      </w:pPr>
      <w:r>
        <w:t xml:space="preserve">Documentation Controls</w:t>
      </w:r>
    </w:p>
    <w:p>
      <w:pPr>
        <w:pStyle w:val="Heading2"/>
      </w:pPr>
      <w:r>
        <w:t xml:space="preserve">Evidence Required Before Outreach</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2500"/>
        <w:gridCol w:w="4580"/>
        <w:gridCol w:w="1700"/>
        <w:gridCol w:w="1300"/>
      </w:tblGrid>
      <w:tr>
        <w:trPr>
          <w:cantSplit/>
          <w:tblHeader/>
        </w:trPr>
        <w:tc>
          <w:tcPr>
            <w:tcW w:type="dxa" w:w="25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Control</w:t>
            </w:r>
          </w:p>
        </w:tc>
        <w:tc>
          <w:tcPr>
            <w:tcW w:type="dxa" w:w="458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Required Evidence</w:t>
            </w:r>
          </w:p>
        </w:tc>
        <w:tc>
          <w:tcPr>
            <w:tcW w:type="dxa" w:w="17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Owner</w:t>
            </w:r>
          </w:p>
        </w:tc>
        <w:tc>
          <w:tcPr>
            <w:tcW w:type="dxa" w:w="13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If Missing</w:t>
            </w:r>
          </w:p>
        </w:tc>
      </w:tr>
      <w:tr>
        <w:trPr>
          <w:cantSplit/>
        </w:trPr>
        <w:tc>
          <w:tcPr>
            <w:tcW w:type="dxa" w:w="2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Case evidence</w:t>
            </w:r>
          </w:p>
        </w:tc>
        <w:tc>
          <w:tcPr>
            <w:tcW w:type="dxa" w:w="45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Open case ID, issue type, severity, customer impact, operational owner, and expected resolution date.</w:t>
            </w:r>
          </w:p>
        </w:tc>
        <w:tc>
          <w:tcPr>
            <w:tcW w:type="dxa" w:w="17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Ad ops or billing owner</w:t>
            </w:r>
          </w:p>
        </w:tc>
        <w:tc>
          <w:tcPr>
            <w:tcW w:type="dxa" w:w="1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Hold</w:t>
            </w:r>
          </w:p>
        </w:tc>
      </w:tr>
      <w:tr>
        <w:trPr>
          <w:cantSplit/>
        </w:trPr>
        <w:tc>
          <w:tcPr>
            <w:tcW w:type="dxa" w:w="2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Offer fit</w:t>
            </w:r>
          </w:p>
        </w:tc>
        <w:tc>
          <w:tcPr>
            <w:tcW w:type="dxa" w:w="45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Offer code, issue basis, account tier, value cap, and expiration date match the account condition.</w:t>
            </w:r>
          </w:p>
        </w:tc>
        <w:tc>
          <w:tcPr>
            <w:tcW w:type="dxa" w:w="17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Supervisor</w:t>
            </w:r>
          </w:p>
        </w:tc>
        <w:tc>
          <w:tcPr>
            <w:tcW w:type="dxa" w:w="13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center"/>
            </w:pPr>
            <w:r>
              <w:rPr>
                <w:b/>
                <w:bCs/>
                <w:color w:val="6F918E"/>
              </w:rPr>
              <w:t xml:space="preserve">Exception</w:t>
            </w:r>
          </w:p>
        </w:tc>
      </w:tr>
      <w:tr>
        <w:trPr>
          <w:cantSplit/>
        </w:trPr>
        <w:tc>
          <w:tcPr>
            <w:tcW w:type="dxa" w:w="2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Contact route</w:t>
            </w:r>
          </w:p>
        </w:tc>
        <w:tc>
          <w:tcPr>
            <w:tcW w:type="dxa" w:w="458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Final renewal approver or permitted operational contact is listed in the contact directory.</w:t>
            </w:r>
          </w:p>
        </w:tc>
        <w:tc>
          <w:tcPr>
            <w:tcW w:type="dxa" w:w="17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Account rep</w:t>
            </w:r>
          </w:p>
        </w:tc>
        <w:tc>
          <w:tcPr>
            <w:tcW w:type="dxa" w:w="13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center"/>
            </w:pPr>
            <w:r>
              <w:rPr>
                <w:b/>
                <w:bCs/>
                <w:color w:val="6F918E"/>
              </w:rPr>
              <w:t xml:space="preserve">Hold</w:t>
            </w:r>
          </w:p>
        </w:tc>
      </w:tr>
      <w:tr>
        <w:trPr>
          <w:cantSplit/>
        </w:trPr>
        <w:tc>
          <w:tcPr>
            <w:tcW w:type="dxa" w:w="2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Approval lineage</w:t>
            </w:r>
          </w:p>
        </w:tc>
        <w:tc>
          <w:tcPr>
            <w:tcW w:type="dxa" w:w="458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Account is named in the July 15 sprint approval or explicitly tracked as a controlled exception.</w:t>
            </w:r>
          </w:p>
        </w:tc>
        <w:tc>
          <w:tcPr>
            <w:tcW w:type="dxa" w:w="17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Supervisor</w:t>
            </w:r>
          </w:p>
        </w:tc>
        <w:tc>
          <w:tcPr>
            <w:tcW w:type="dxa" w:w="13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center"/>
            </w:pPr>
            <w:r>
              <w:rPr>
                <w:b/>
                <w:bCs/>
                <w:color w:val="6F918E"/>
              </w:rPr>
              <w:t xml:space="preserve">Manager</w:t>
            </w:r>
          </w:p>
        </w:tc>
      </w:tr>
    </w:tbl>
    <w:p>
      <w:pPr>
        <w:pStyle w:val="Heading2"/>
      </w:pPr>
      <w:r>
        <w:t xml:space="preserve">Customer Language Guardrails</w:t>
      </w:r>
    </w:p>
    <w:p>
      <w:pPr>
        <w:pStyle w:val="Body"/>
      </w:pPr>
      <w:r>
        <w:t xml:space="preserve">Reps may describe only the approved operational action, verified credit amount, rate-hold period, or reporting package documented for the account. They may not promise future performance, unapproved credits, new product terms, or legal terms. Every customer note must identify the source case or approved offer code.</w:t>
      </w:r>
    </w:p>
    <w:p>
      <w:pPr>
        <w:pStyle w:val="Heading1"/>
      </w:pPr>
      <w:r>
        <w:t xml:space="preserve">Escalation Route</w:t>
      </w:r>
    </w:p>
    <w:tbl>
      <w:tblPr>
        <w:tblW w:type="dxa" w:w="10080"/>
        <w:tblBorders>
          <w:top w:val="single" w:color="B8C5C3" w:sz="4"/>
          <w:left w:val="single" w:color="B8C5C3" w:sz="4"/>
          <w:bottom w:val="single" w:color="B8C5C3" w:sz="4"/>
          <w:right w:val="single" w:color="B8C5C3" w:sz="4"/>
          <w:insideH w:val="single" w:color="B8C5C3" w:sz="4"/>
          <w:insideV w:val="single" w:color="B8C5C3" w:sz="4"/>
        </w:tblBorders>
        <w:tblLayout w:type="fixed"/>
        <w:tblCellMar>
          <w:top w:type="dxa" w:w="95"/>
          <w:left w:type="dxa" w:w="130"/>
          <w:bottom w:type="dxa" w:w="95"/>
          <w:right w:type="dxa" w:w="130"/>
        </w:tblCellMar>
      </w:tblPr>
      <w:tblGrid>
        <w:gridCol w:w="3350"/>
        <w:gridCol w:w="2500"/>
        <w:gridCol w:w="4230"/>
      </w:tblGrid>
      <w:tr>
        <w:trPr>
          <w:cantSplit/>
          <w:tblHeader/>
        </w:trPr>
        <w:tc>
          <w:tcPr>
            <w:tcW w:type="dxa" w:w="335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Trigger</w:t>
            </w:r>
          </w:p>
        </w:tc>
        <w:tc>
          <w:tcPr>
            <w:tcW w:type="dxa" w:w="250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Route</w:t>
            </w:r>
          </w:p>
        </w:tc>
        <w:tc>
          <w:tcPr>
            <w:tcW w:type="dxa" w:w="4230"/>
            <w:tcBorders>
              <w:top w:val="single" w:color="B8C5C3" w:sz="4"/>
              <w:left w:val="single" w:color="B8C5C3" w:sz="4"/>
              <w:bottom w:val="single" w:color="B8C5C3" w:sz="4"/>
              <w:right w:val="single" w:color="B8C5C3" w:sz="4"/>
            </w:tcBorders>
            <w:shd w:fill="172C46" w:val="clear"/>
            <w:tcMar>
              <w:top w:type="dxa" w:w="95"/>
              <w:left w:type="dxa" w:w="130"/>
              <w:bottom w:type="dxa" w:w="95"/>
              <w:right w:type="dxa" w:w="130"/>
            </w:tcMar>
            <w:vAlign w:val="center"/>
          </w:tcPr>
          <w:p>
            <w:pPr>
              <w:pStyle w:val="TableHeader"/>
              <w:keepNext/>
              <w:keepLines/>
              <w:jc w:val="left"/>
            </w:pPr>
            <w:r>
              <w:rPr>
                <w:b/>
                <w:bCs/>
                <w:color w:val="FFFFFF"/>
              </w:rPr>
              <w:t xml:space="preserve">Required Response</w:t>
            </w:r>
          </w:p>
        </w:tc>
      </w:tr>
      <w:tr>
        <w:trPr>
          <w:cantSplit/>
        </w:trPr>
        <w:tc>
          <w:tcPr>
            <w:tcW w:type="dxa" w:w="33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Credit request exceeds offer cap</w:t>
            </w:r>
          </w:p>
        </w:tc>
        <w:tc>
          <w:tcPr>
            <w:tcW w:type="dxa" w:w="2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Sales manager</w:t>
            </w:r>
          </w:p>
        </w:tc>
        <w:tc>
          <w:tcPr>
            <w:tcW w:type="dxa" w:w="423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Enter controlled exception; no customer commitment until manager approves.</w:t>
            </w:r>
          </w:p>
        </w:tc>
      </w:tr>
      <w:tr>
        <w:trPr>
          <w:cantSplit/>
        </w:trPr>
        <w:tc>
          <w:tcPr>
            <w:tcW w:type="dxa" w:w="335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Legal or data-use term requested</w:t>
            </w:r>
          </w:p>
        </w:tc>
        <w:tc>
          <w:tcPr>
            <w:tcW w:type="dxa" w:w="2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Manager and legal owner</w:t>
            </w:r>
          </w:p>
        </w:tc>
        <w:tc>
          <w:tcPr>
            <w:tcW w:type="dxa" w:w="423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keepLines/>
              <w:jc w:val="left"/>
            </w:pPr>
            <w:r>
              <w:rPr>
                <w:b w:val="false"/>
                <w:bCs w:val="false"/>
                <w:color w:val="172C46"/>
              </w:rPr>
              <w:t xml:space="preserve">Rep documents request and pauses commercial outreach.</w:t>
            </w:r>
          </w:p>
        </w:tc>
      </w:tr>
      <w:tr>
        <w:trPr>
          <w:cantSplit/>
        </w:trPr>
        <w:tc>
          <w:tcPr>
            <w:tcW w:type="dxa" w:w="335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Operational blocker not cleared</w:t>
            </w:r>
          </w:p>
        </w:tc>
        <w:tc>
          <w:tcPr>
            <w:tcW w:type="dxa" w:w="250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Ad ops owner</w:t>
            </w:r>
          </w:p>
        </w:tc>
        <w:tc>
          <w:tcPr>
            <w:tcW w:type="dxa" w:w="4230"/>
            <w:tcBorders>
              <w:top w:val="single" w:color="B8C5C3" w:sz="4"/>
              <w:left w:val="single" w:color="B8C5C3" w:sz="4"/>
              <w:bottom w:val="single" w:color="B8C5C3" w:sz="4"/>
              <w:right w:val="single" w:color="B8C5C3" w:sz="4"/>
            </w:tcBorders>
            <w:tcMar>
              <w:top w:type="dxa" w:w="95"/>
              <w:left w:type="dxa" w:w="130"/>
              <w:bottom w:type="dxa" w:w="95"/>
              <w:right w:type="dxa" w:w="130"/>
            </w:tcMar>
            <w:vAlign w:val="center"/>
          </w:tcPr>
          <w:p>
            <w:pPr>
              <w:pStyle w:val="TableText"/>
              <w:keepNext/>
              <w:keepLines/>
              <w:jc w:val="left"/>
            </w:pPr>
            <w:r>
              <w:rPr>
                <w:b w:val="false"/>
                <w:bCs w:val="false"/>
                <w:color w:val="172C46"/>
              </w:rPr>
              <w:t xml:space="preserve">Use internal handoff only; do not present package swap or makegood.</w:t>
            </w:r>
          </w:p>
        </w:tc>
      </w:tr>
      <w:tr>
        <w:trPr>
          <w:cantSplit/>
        </w:trPr>
        <w:tc>
          <w:tcPr>
            <w:tcW w:type="dxa" w:w="335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Decision-maker route unavailable</w:t>
            </w:r>
          </w:p>
        </w:tc>
        <w:tc>
          <w:tcPr>
            <w:tcW w:type="dxa" w:w="250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Supervisor</w:t>
            </w:r>
          </w:p>
        </w:tc>
        <w:tc>
          <w:tcPr>
            <w:tcW w:type="dxa" w:w="4230"/>
            <w:tcBorders>
              <w:top w:val="single" w:color="B8C5C3" w:sz="4"/>
              <w:left w:val="single" w:color="B8C5C3" w:sz="4"/>
              <w:bottom w:val="single" w:color="B8C5C3" w:sz="4"/>
              <w:right w:val="single" w:color="B8C5C3" w:sz="4"/>
            </w:tcBorders>
            <w:shd w:fill="F6F0E3" w:val="clear"/>
            <w:tcMar>
              <w:top w:type="dxa" w:w="95"/>
              <w:left w:type="dxa" w:w="130"/>
              <w:bottom w:type="dxa" w:w="95"/>
              <w:right w:type="dxa" w:w="130"/>
            </w:tcMar>
            <w:vAlign w:val="center"/>
          </w:tcPr>
          <w:p>
            <w:pPr>
              <w:pStyle w:val="TableText"/>
              <w:keepNext w:val="false"/>
              <w:keepLines/>
              <w:jc w:val="left"/>
            </w:pPr>
            <w:r>
              <w:rPr>
                <w:b w:val="false"/>
                <w:bCs w:val="false"/>
                <w:color w:val="172C46"/>
              </w:rPr>
              <w:t xml:space="preserve">Use permitted operational contact for evidence only, or hold.</w:t>
            </w:r>
          </w:p>
        </w:tc>
      </w:tr>
    </w:tbl>
    <w:sectPr>
      <w:headerReference w:type="default" r:id="rId6"/>
      <w:footerReference w:type="default" r:id="rId7"/>
      <w:pgSz w:w="12240" w:h="15840" w:orient="portrait"/>
      <w:pgMar w:top="1120" w:right="1080" w:bottom="1080" w:left="108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adea">
    <w:family w:val="auto"/>
    <w:pitch w:val="variable"/>
    <w:sig w:usb0="E0002AFF" w:usb1="C000247B" w:usb2="00000009" w:usb3="00000000" w:csb0="000001FF" w:csb1="00000000"/>
    <w:embedRegular r:id="rId1" w:fontKey="{643d63b5-4a46-8ae4-aacd-9366e43febe0}"/>
  </w:font>
  <w:font w:name="Carlito">
    <w:family w:val="auto"/>
    <w:pitch w:val="variable"/>
    <w:sig w:usb0="E0002AFF" w:usb1="C000247B" w:usb2="00000009" w:usb3="00000000" w:csb0="000001FF" w:csb1="00000000"/>
    <w:embedRegular r:id="rId2" w:fontKey="{32b24358-b940-e8f3-6389-0c656addad62}"/>
  </w:font>
  <w:font w:name="Liberation Mono">
    <w:family w:val="auto"/>
    <w:pitch w:val="variable"/>
    <w:sig w:usb0="E0002AFF" w:usb1="C000247B" w:usb2="00000009" w:usb3="00000000" w:csb0="000001FF" w:csb1="00000000"/>
    <w:embedRegular r:id="rId3" w:fontKey="{492b6f47-5228-3384-25fc-72c8e7f15bdb}"/>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5C3" w:sz="4" w:space="4"/>
      </w:pBdr>
      <w:tabs>
        <w:tab w:val="right" w:pos="9360"/>
      </w:tabs>
    </w:pPr>
    <w:r>
      <w:rPr>
        <w:rFonts w:ascii="Carlito" w:cs="Carlito" w:eastAsia="Carlito" w:hAnsi="Carlito"/>
        <w:color w:val="607080"/>
        <w:sz w:val="16"/>
        <w:szCs w:val="16"/>
      </w:rPr>
      <w:t xml:space="preserve">Q3 2026 local recovery authority</w:t>
    </w:r>
    <w:r>
      <w:t xml:space="preserve">	</w:t>
    </w:r>
    <w:r>
      <w:rPr>
        <w:rFonts w:ascii="Carlito" w:cs="Carlito" w:eastAsia="Carlito" w:hAnsi="Carlito"/>
        <w:color w:val="607080"/>
        <w:sz w:val="16"/>
        <w:szCs w:val="16"/>
      </w:rPr>
      <w:t xml:space="preserve">Page </w:t>
    </w:r>
    <w:r>
      <w:rPr>
        <w:rFonts w:ascii="Carlito" w:cs="Carlito" w:eastAsia="Carlito" w:hAnsi="Carlito"/>
        <w:color w:val="607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F918E" w:sz="6" w:space="4"/>
      </w:pBdr>
    </w:pPr>
    <w:r>
      <w:rPr>
        <w:rFonts w:ascii="Carlito" w:cs="Carlito" w:eastAsia="Carlito" w:hAnsi="Carlito"/>
        <w:b/>
        <w:bCs/>
        <w:color w:val="6F918E"/>
        <w:sz w:val="16"/>
        <w:szCs w:val="16"/>
      </w:rPr>
      <w:t xml:space="preserve">Northstar Media Network - Local recovery authority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rlito" w:cs="Carlito" w:eastAsia="Carlito" w:hAnsi="Carlito"/>
        <w:color w:val="172C46"/>
        <w:sz w:val="21"/>
        <w:szCs w:val="21"/>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Document Title"/>
    <w:basedOn w:val="Normal"/>
    <w:next w:val="Subtitle"/>
    <w:qFormat/>
    <w:pPr>
      <w:keepNext/>
      <w:spacing w:before="0" w:after="150"/>
    </w:pPr>
    <w:rPr>
      <w:rFonts w:ascii="Caladea" w:cs="Caladea" w:eastAsia="Caladea" w:hAnsi="Caladea"/>
      <w:b/>
      <w:bCs/>
      <w:color w:val="172C46"/>
      <w:sz w:val="44"/>
      <w:szCs w:val="44"/>
    </w:rPr>
  </w:style>
  <w:style w:type="paragraph" w:styleId="Subtitle">
    <w:name w:val="Document Subtitle"/>
    <w:basedOn w:val="Normal"/>
    <w:next w:val="Normal"/>
    <w:qFormat/>
    <w:pPr>
      <w:keepNext/>
      <w:spacing w:after="300"/>
    </w:pPr>
    <w:rPr>
      <w:rFonts w:ascii="Carlito" w:cs="Carlito" w:eastAsia="Carlito" w:hAnsi="Carlito"/>
      <w:color w:val="607080"/>
      <w:sz w:val="24"/>
      <w:szCs w:val="24"/>
    </w:rPr>
  </w:style>
  <w:style w:type="paragraph" w:styleId="Heading1">
    <w:name w:val="Heading 1"/>
    <w:basedOn w:val="Normal"/>
    <w:next w:val="Normal"/>
    <w:qFormat/>
    <w:pPr>
      <w:keepNext/>
      <w:pBdr>
        <w:bottom w:val="single" w:color="6F918E" w:sz="10" w:space="5"/>
      </w:pBdr>
      <w:spacing w:before="300" w:after="120"/>
      <w:outlineLvl w:val="0"/>
    </w:pPr>
    <w:rPr>
      <w:rFonts w:ascii="Caladea" w:cs="Caladea" w:eastAsia="Caladea" w:hAnsi="Caladea"/>
      <w:b/>
      <w:bCs/>
      <w:color w:val="172C46"/>
      <w:sz w:val="32"/>
      <w:szCs w:val="32"/>
    </w:rPr>
  </w:style>
  <w:style w:type="paragraph" w:styleId="Heading2">
    <w:name w:val="Heading 2"/>
    <w:basedOn w:val="Normal"/>
    <w:next w:val="Normal"/>
    <w:qFormat/>
    <w:pPr>
      <w:keepNext/>
      <w:spacing w:before="240" w:after="100"/>
      <w:outlineLvl w:val="1"/>
    </w:pPr>
    <w:rPr>
      <w:rFonts w:ascii="Caladea" w:cs="Caladea" w:eastAsia="Caladea" w:hAnsi="Caladea"/>
      <w:b/>
      <w:bCs/>
      <w:color w:val="6F918E"/>
      <w:sz w:val="27"/>
      <w:szCs w:val="27"/>
    </w:rPr>
  </w:style>
  <w:style w:type="paragraph" w:styleId="Heading3">
    <w:name w:val="Heading 3"/>
    <w:basedOn w:val="Normal"/>
    <w:next w:val="Normal"/>
    <w:qFormat/>
    <w:pPr>
      <w:keepNext/>
      <w:spacing w:before="180" w:after="80"/>
      <w:outlineLvl w:val="2"/>
    </w:pPr>
    <w:rPr>
      <w:rFonts w:ascii="Carlito" w:cs="Carlito" w:eastAsia="Carlito" w:hAnsi="Carlito"/>
      <w:b/>
      <w:bCs/>
      <w:color w:val="172C46"/>
      <w:sz w:val="23"/>
      <w:szCs w:val="23"/>
    </w:rPr>
  </w:style>
  <w:style w:type="paragraph" w:styleId="Kicker">
    <w:name w:val="Kicker"/>
    <w:basedOn w:val="Normal"/>
    <w:next w:val="Title"/>
    <w:qFormat/>
    <w:pPr>
      <w:keepNext/>
      <w:spacing w:after="90"/>
    </w:pPr>
    <w:rPr>
      <w:rFonts w:ascii="Liberation Mono" w:cs="Liberation Mono" w:eastAsia="Liberation Mono" w:hAnsi="Liberation Mono"/>
      <w:b/>
      <w:bCs/>
      <w:caps/>
      <w:color w:val="6F918E"/>
      <w:sz w:val="18"/>
      <w:szCs w:val="18"/>
    </w:rPr>
  </w:style>
  <w:style w:type="paragraph" w:styleId="Body">
    <w:name w:val="Body"/>
    <w:basedOn w:val="Normal"/>
    <w:next w:val="Body"/>
    <w:qFormat/>
    <w:pPr>
      <w:widowControl/>
      <w:spacing w:after="120" w:line="276"/>
    </w:pPr>
    <w:rPr>
      <w:rFonts w:ascii="Carlito" w:cs="Carlito" w:eastAsia="Carlito" w:hAnsi="Carlito"/>
      <w:color w:val="172C46"/>
      <w:sz w:val="21"/>
      <w:szCs w:val="21"/>
    </w:rPr>
  </w:style>
  <w:style w:type="paragraph" w:styleId="Small">
    <w:name w:val="Small Text"/>
    <w:basedOn w:val="Normal"/>
    <w:next w:val="Small"/>
    <w:pPr>
      <w:spacing w:after="80" w:line="240"/>
    </w:pPr>
    <w:rPr>
      <w:rFonts w:ascii="Liberation Mono" w:cs="Liberation Mono" w:eastAsia="Liberation Mono" w:hAnsi="Liberation Mono"/>
      <w:color w:val="607080"/>
      <w:sz w:val="18"/>
      <w:szCs w:val="18"/>
    </w:rPr>
  </w:style>
  <w:style w:type="paragraph" w:styleId="Caption">
    <w:name w:val="Figure Caption"/>
    <w:basedOn w:val="Normal"/>
    <w:next w:val="Normal"/>
    <w:qFormat/>
    <w:pPr>
      <w:keepNext/>
      <w:spacing w:before="70" w:after="150"/>
    </w:pPr>
    <w:rPr>
      <w:rFonts w:ascii="Carlito" w:cs="Carlito" w:eastAsia="Carlito" w:hAnsi="Carlito"/>
      <w:i/>
      <w:iCs/>
      <w:color w:val="607080"/>
      <w:sz w:val="18"/>
      <w:szCs w:val="18"/>
    </w:rPr>
  </w:style>
  <w:style w:type="paragraph" w:styleId="TableHeader">
    <w:name w:val="Table Header"/>
    <w:basedOn w:val="Normal"/>
    <w:next w:val="TableText"/>
    <w:pPr>
      <w:keepNext/>
      <w:spacing w:before="0" w:after="0"/>
    </w:pPr>
    <w:rPr>
      <w:rFonts w:ascii="Liberation Mono" w:cs="Liberation Mono" w:eastAsia="Liberation Mono" w:hAnsi="Liberation Mono"/>
      <w:b/>
      <w:bCs/>
      <w:color w:val="FFFFFF"/>
      <w:sz w:val="18"/>
      <w:szCs w:val="18"/>
    </w:rPr>
  </w:style>
  <w:style w:type="paragraph" w:styleId="TableText">
    <w:name w:val="Table Text"/>
    <w:basedOn w:val="Normal"/>
    <w:next w:val="TableText"/>
    <w:pPr>
      <w:widowControl/>
      <w:spacing w:before="0" w:after="0" w:line="220"/>
    </w:pPr>
    <w:rPr>
      <w:rFonts w:ascii="Carlito" w:cs="Carlito" w:eastAsia="Carlito" w:hAnsi="Carlito"/>
      <w:color w:val="172C46"/>
      <w:sz w:val="18"/>
      <w:szCs w:val="18"/>
    </w:rPr>
  </w:style>
  <w:style w:type="paragraph" w:styleId="Callout">
    <w:name w:val="Decision Callout"/>
    <w:basedOn w:val="Normal"/>
    <w:next w:val="Normal"/>
    <w:qFormat/>
    <w:pPr>
      <w:keepNext/>
      <w:pBdr>
        <w:left w:val="single" w:color="6F918E" w:sz="22" w:space="8"/>
      </w:pBdr>
      <w:shd w:fill="EEE5C2" w:val="clear"/>
      <w:spacing w:before="120" w:after="180" w:line="276"/>
      <w:ind w:left="180" w:right="120"/>
    </w:pPr>
    <w:rPr>
      <w:rFonts w:ascii="Carlito" w:cs="Carlito" w:eastAsia="Carlito" w:hAnsi="Carlito"/>
      <w:b/>
      <w:bCs/>
      <w:color w:val="172C4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Relationship Id="rId1" Type="http://schemas.openxmlformats.org/officeDocument/2006/relationships/font" Target="fonts/Caladea.odttf"/><Relationship Id="rId2" Type="http://schemas.openxmlformats.org/officeDocument/2006/relationships/font" Target="fonts/Carlito.odttf"/><Relationship Id="rId3" Type="http://schemas.openxmlformats.org/officeDocument/2006/relationships/font" Target="fonts/Liberation Mono.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Q3 2026 Local Recovery Offer Authority</dc:title>
  <dc:subject>Commercial authority for escalated advertiser account recovery</dc:subject>
  <dc:creator>Northstar Media Network Revenue Operations</dc:creator>
  <cp:keywords>advertising sales, local authority, recovery offer, renewal</cp:keywords>
  <dc:description>Controlled authority guide for local recovery offers during the July 2026 renewal cycle.</dc:description>
  <cp:lastModifiedBy>Northstar Media Network Revenue Operations</cp:lastModifiedBy>
  <cp:revision>1</cp:revision>
  <dcterms:created xsi:type="dcterms:W3CDTF">2026-07-17T03:07:41.253Z</dcterms:created>
  <dcterms:modified xsi:type="dcterms:W3CDTF">2026-07-17T03:07:41.253Z</dcterms:modified>
</cp:coreProperties>
</file>

<file path=docProps/custom.xml><?xml version="1.0" encoding="utf-8"?>
<Properties xmlns="http://schemas.openxmlformats.org/officeDocument/2006/custom-properties" xmlns:vt="http://schemas.openxmlformats.org/officeDocument/2006/docPropsVTypes"/>
</file>