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pPr>
      <w:r>
        <w:t xml:space="preserve">Approved Operating Playbook</w:t>
      </w:r>
    </w:p>
    <w:p>
      <w:pPr>
        <w:pStyle w:val="Title"/>
        <w:spacing w:before="0" w:after="20" w:line="560"/>
      </w:pPr>
      <w:r>
        <w:rPr>
          <w:rFonts w:ascii="Caladea" w:cs="Caladea" w:eastAsia="Caladea" w:hAnsi="Caladea"/>
          <w:b/>
          <w:bCs/>
          <w:color w:val="172C46"/>
          <w:sz w:val="40"/>
          <w:szCs w:val="40"/>
        </w:rPr>
        <w:t xml:space="preserve">Escalated Advertiser Account Recovery</w:t>
      </w:r>
    </w:p>
    <w:p>
      <w:pPr>
        <w:pStyle w:val="Title"/>
        <w:spacing w:before="0" w:after="150" w:line="560"/>
      </w:pPr>
      <w:r>
        <w:rPr>
          <w:rFonts w:ascii="Caladea" w:cs="Caladea" w:eastAsia="Caladea" w:hAnsi="Caladea"/>
          <w:b/>
          <w:bCs/>
          <w:color w:val="172C46"/>
          <w:sz w:val="40"/>
          <w:szCs w:val="40"/>
        </w:rPr>
        <w:t xml:space="preserve">Playbook</w:t>
      </w:r>
    </w:p>
    <w:p>
      <w:pPr>
        <w:pStyle w:val="Subtitle"/>
      </w:pPr>
      <w:r>
        <w:t xml:space="preserve">July 2026 recovery sprint for Northstar Media Network frontline reps</w:t>
      </w:r>
    </w:p>
    <w:p>
      <w:pPr>
        <w:pBdr>
          <w:bottom w:val="single" w:color="6F918E" w:sz="18" w:space="1"/>
        </w:pBdr>
        <w:spacing w:after="260"/>
      </w:pPr>
    </w:p>
    <w:sdt>
      <w:sdtPr>
        <w:alias w:val="Contents"/>
      </w:sdtPr>
      <w:sdtContent>
        <w:p>
          <w:r>
            <w:fldChar w:fldCharType="begin" w:dirty="true"/>
            <w:instrText xml:space="preserve">TOC \h \o "1-3"</w:instrText>
            <w:fldChar w:fldCharType="separate"/>
          </w:r>
        </w:p>
        <w:p>
          <w:r>
            <w:fldChar w:fldCharType="end"/>
          </w:r>
        </w:p>
      </w:sdtContent>
    </w:sdt>
    <w:p>
      <w:pPr>
        <w:pStyle w:val="Heading1"/>
      </w:pPr>
      <w:r>
        <w:t xml:space="preserve">Document Control</w:t>
      </w:r>
    </w:p>
    <w:tbl>
      <w:tblPr>
        <w:tblW w:type="dxa" w:w="10080"/>
        <w:tblBorders>
          <w:top w:val="single" w:color="B8C5C3" w:sz="4"/>
          <w:left w:val="single" w:color="B8C5C3" w:sz="4"/>
          <w:bottom w:val="single" w:color="B8C5C3" w:sz="4"/>
          <w:right w:val="single" w:color="B8C5C3" w:sz="4"/>
          <w:insideH w:val="single" w:color="B8C5C3" w:sz="4"/>
          <w:insideV w:val="single" w:color="B8C5C3" w:sz="4"/>
        </w:tblBorders>
        <w:tblLayout w:type="fixed"/>
        <w:tblCellMar>
          <w:top w:type="dxa" w:w="95"/>
          <w:left w:type="dxa" w:w="130"/>
          <w:bottom w:type="dxa" w:w="95"/>
          <w:right w:type="dxa" w:w="130"/>
        </w:tblCellMar>
      </w:tblPr>
      <w:tblGrid>
        <w:gridCol w:w="2450"/>
        <w:gridCol w:w="7630"/>
      </w:tblGrid>
      <w:tr>
        <w:trPr>
          <w:cantSplit/>
          <w:tblHeader/>
        </w:trPr>
        <w:tc>
          <w:tcPr>
            <w:tcW w:type="dxa" w:w="245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Field</w:t>
            </w:r>
          </w:p>
        </w:tc>
        <w:tc>
          <w:tcPr>
            <w:tcW w:type="dxa" w:w="763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Approved Record</w:t>
            </w:r>
          </w:p>
        </w:tc>
      </w:tr>
      <w:tr>
        <w:trPr>
          <w:cantSplit/>
        </w:trPr>
        <w:tc>
          <w:tcPr>
            <w:tcW w:type="dxa" w:w="245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Owner</w:t>
            </w:r>
          </w:p>
        </w:tc>
        <w:tc>
          <w:tcPr>
            <w:tcW w:type="dxa" w:w="763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Dana Morales, Advertising Sales Desk Supervisor</w:t>
            </w:r>
          </w:p>
        </w:tc>
      </w:tr>
      <w:tr>
        <w:trPr>
          <w:cantSplit/>
        </w:trPr>
        <w:tc>
          <w:tcPr>
            <w:tcW w:type="dxa" w:w="245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Approver</w:t>
            </w:r>
          </w:p>
        </w:tc>
        <w:tc>
          <w:tcPr>
            <w:tcW w:type="dxa" w:w="763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Elena Whitaker, Director of Regional Sales</w:t>
            </w:r>
          </w:p>
        </w:tc>
      </w:tr>
      <w:tr>
        <w:trPr>
          <w:cantSplit/>
        </w:trPr>
        <w:tc>
          <w:tcPr>
            <w:tcW w:type="dxa" w:w="245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Effective window</w:t>
            </w:r>
          </w:p>
        </w:tc>
        <w:tc>
          <w:tcPr>
            <w:tcW w:type="dxa" w:w="763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2026-07-17 through 2026-07-24</w:t>
            </w:r>
          </w:p>
        </w:tc>
      </w:tr>
      <w:tr>
        <w:trPr>
          <w:cantSplit/>
        </w:trPr>
        <w:tc>
          <w:tcPr>
            <w:tcW w:type="dxa" w:w="245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Approved scope</w:t>
            </w:r>
          </w:p>
        </w:tc>
        <w:tc>
          <w:tcPr>
            <w:tcW w:type="dxa" w:w="763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12 executable accounts; 4 controlled exceptions; 2 excluded or hold records retained for lineage.</w:t>
            </w:r>
          </w:p>
        </w:tc>
      </w:tr>
      <w:tr>
        <w:trPr>
          <w:cantSplit/>
        </w:trPr>
        <w:tc>
          <w:tcPr>
            <w:tcW w:type="dxa" w:w="245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Source list</w:t>
            </w:r>
          </w:p>
        </w:tc>
        <w:tc>
          <w:tcPr>
            <w:tcW w:type="dxa" w:w="763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CRM health, ad-ops cases, order history, contacts, rep activity, local offer authority, watchlist review, and approval email.</w:t>
            </w:r>
          </w:p>
        </w:tc>
      </w:tr>
    </w:tbl>
    <w:p>
      <w:pPr>
        <w:pStyle w:val="Heading1"/>
      </w:pPr>
      <w:r>
        <w:t xml:space="preserve">Purpose</w:t>
      </w:r>
    </w:p>
    <w:p>
      <w:pPr>
        <w:pStyle w:val="Body"/>
      </w:pPr>
      <w:r>
        <w:t xml:space="preserve">This playbook converts the approved recovery decision into repeatable rep actions, evidence checks, customer-contact rules, and exception routes. It is for frontline execution; it does not authorize reps to negotiate terms beyond the approved local authority.</w:t>
      </w:r>
    </w:p>
    <w:p>
      <w:pPr>
        <w:pStyle w:val="Heading1"/>
      </w:pPr>
      <w:r>
        <w:t xml:space="preserve">Entry Criteria</w:t>
      </w:r>
    </w:p>
    <w:tbl>
      <w:tblPr>
        <w:tblW w:type="dxa" w:w="10080"/>
        <w:tblBorders>
          <w:top w:val="single" w:color="B8C5C3" w:sz="4"/>
          <w:left w:val="single" w:color="B8C5C3" w:sz="4"/>
          <w:bottom w:val="single" w:color="B8C5C3" w:sz="4"/>
          <w:right w:val="single" w:color="B8C5C3" w:sz="4"/>
          <w:insideH w:val="single" w:color="B8C5C3" w:sz="4"/>
          <w:insideV w:val="single" w:color="B8C5C3" w:sz="4"/>
        </w:tblBorders>
        <w:tblLayout w:type="fixed"/>
        <w:tblCellMar>
          <w:top w:type="dxa" w:w="95"/>
          <w:left w:type="dxa" w:w="130"/>
          <w:bottom w:type="dxa" w:w="95"/>
          <w:right w:type="dxa" w:w="130"/>
        </w:tblCellMar>
      </w:tblPr>
      <w:tblGrid>
        <w:gridCol w:w="3600"/>
        <w:gridCol w:w="4100"/>
        <w:gridCol w:w="2380"/>
      </w:tblGrid>
      <w:tr>
        <w:trPr>
          <w:cantSplit/>
          <w:tblHeader/>
        </w:trPr>
        <w:tc>
          <w:tcPr>
            <w:tcW w:type="dxa" w:w="36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Entry Criteria</w:t>
            </w:r>
          </w:p>
        </w:tc>
        <w:tc>
          <w:tcPr>
            <w:tcW w:type="dxa" w:w="41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Evidence Field</w:t>
            </w:r>
          </w:p>
        </w:tc>
        <w:tc>
          <w:tcPr>
            <w:tcW w:type="dxa" w:w="238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If Not Met</w:t>
            </w:r>
          </w:p>
        </w:tc>
      </w:tr>
      <w:tr>
        <w:trPr>
          <w:cantSplit/>
        </w:trPr>
        <w:tc>
          <w:tcPr>
            <w:tcW w:type="dxa" w:w="36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Account appears in CRM export and approval email</w:t>
            </w:r>
          </w:p>
        </w:tc>
        <w:tc>
          <w:tcPr>
            <w:tcW w:type="dxa" w:w="41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Account ID, opportunity ID, lifecycle state</w:t>
            </w:r>
          </w:p>
        </w:tc>
        <w:tc>
          <w:tcPr>
            <w:tcW w:type="dxa" w:w="23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center"/>
            </w:pPr>
            <w:r>
              <w:rPr>
                <w:b/>
                <w:bCs/>
                <w:color w:val="6F918E"/>
              </w:rPr>
              <w:t xml:space="preserve">Do not schedule</w:t>
            </w:r>
          </w:p>
        </w:tc>
      </w:tr>
      <w:tr>
        <w:trPr>
          <w:cantSplit/>
        </w:trPr>
        <w:tc>
          <w:tcPr>
            <w:tcW w:type="dxa" w:w="36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Issue or customer request is visible</w:t>
            </w:r>
          </w:p>
        </w:tc>
        <w:tc>
          <w:tcPr>
            <w:tcW w:type="dxa" w:w="41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Case ID or activity ID</w:t>
            </w:r>
          </w:p>
        </w:tc>
        <w:tc>
          <w:tcPr>
            <w:tcW w:type="dxa" w:w="23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center"/>
            </w:pPr>
            <w:r>
              <w:rPr>
                <w:b/>
                <w:bCs/>
                <w:color w:val="6F918E"/>
              </w:rPr>
              <w:t xml:space="preserve">Hold for evidence</w:t>
            </w:r>
          </w:p>
        </w:tc>
      </w:tr>
      <w:tr>
        <w:trPr>
          <w:cantSplit/>
        </w:trPr>
        <w:tc>
          <w:tcPr>
            <w:tcW w:type="dxa" w:w="36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Offer is permitted by authority guide</w:t>
            </w:r>
          </w:p>
        </w:tc>
        <w:tc>
          <w:tcPr>
            <w:tcW w:type="dxa" w:w="41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Offer code, issue type, cap, tier</w:t>
            </w:r>
          </w:p>
        </w:tc>
        <w:tc>
          <w:tcPr>
            <w:tcW w:type="dxa" w:w="23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center"/>
            </w:pPr>
            <w:r>
              <w:rPr>
                <w:b/>
                <w:bCs/>
                <w:color w:val="6F918E"/>
              </w:rPr>
              <w:t xml:space="preserve">Manager exception</w:t>
            </w:r>
          </w:p>
        </w:tc>
      </w:tr>
      <w:tr>
        <w:trPr>
          <w:cantSplit/>
        </w:trPr>
        <w:tc>
          <w:tcPr>
            <w:tcW w:type="dxa" w:w="36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Contact route is permitted</w:t>
            </w:r>
          </w:p>
        </w:tc>
        <w:tc>
          <w:tcPr>
            <w:tcW w:type="dxa" w:w="41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Contact ID and outreach permission</w:t>
            </w:r>
          </w:p>
        </w:tc>
        <w:tc>
          <w:tcPr>
            <w:tcW w:type="dxa" w:w="23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val="false"/>
              <w:keepLines/>
              <w:jc w:val="center"/>
            </w:pPr>
            <w:r>
              <w:rPr>
                <w:b/>
                <w:bCs/>
                <w:color w:val="6F918E"/>
              </w:rPr>
              <w:t xml:space="preserve">Hold or ops-only</w:t>
            </w:r>
          </w:p>
        </w:tc>
      </w:tr>
    </w:tbl>
    <w:p>
      <w:pPr>
        <w:pStyle w:val="Heading1"/>
      </w:pPr>
      <w:r>
        <w:t xml:space="preserve">Roles and RACI</w:t>
      </w:r>
    </w:p>
    <w:tbl>
      <w:tblPr>
        <w:tblW w:type="dxa" w:w="10080"/>
        <w:tblBorders>
          <w:top w:val="single" w:color="B8C5C3" w:sz="4"/>
          <w:left w:val="single" w:color="B8C5C3" w:sz="4"/>
          <w:bottom w:val="single" w:color="B8C5C3" w:sz="4"/>
          <w:right w:val="single" w:color="B8C5C3" w:sz="4"/>
          <w:insideH w:val="single" w:color="B8C5C3" w:sz="4"/>
          <w:insideV w:val="single" w:color="B8C5C3" w:sz="4"/>
        </w:tblBorders>
        <w:tblLayout w:type="fixed"/>
        <w:tblCellMar>
          <w:top w:type="dxa" w:w="95"/>
          <w:left w:type="dxa" w:w="130"/>
          <w:bottom w:type="dxa" w:w="95"/>
          <w:right w:type="dxa" w:w="130"/>
        </w:tblCellMar>
      </w:tblPr>
      <w:tblGrid>
        <w:gridCol w:w="2300"/>
        <w:gridCol w:w="2100"/>
        <w:gridCol w:w="2000"/>
        <w:gridCol w:w="1900"/>
        <w:gridCol w:w="1780"/>
      </w:tblGrid>
      <w:tr>
        <w:trPr>
          <w:cantSplit/>
          <w:tblHeader/>
        </w:trPr>
        <w:tc>
          <w:tcPr>
            <w:tcW w:type="dxa" w:w="23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Workstream</w:t>
            </w:r>
          </w:p>
        </w:tc>
        <w:tc>
          <w:tcPr>
            <w:tcW w:type="dxa" w:w="21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Responsible</w:t>
            </w:r>
          </w:p>
        </w:tc>
        <w:tc>
          <w:tcPr>
            <w:tcW w:type="dxa" w:w="20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Accountable</w:t>
            </w:r>
          </w:p>
        </w:tc>
        <w:tc>
          <w:tcPr>
            <w:tcW w:type="dxa" w:w="19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Consulted</w:t>
            </w:r>
          </w:p>
        </w:tc>
        <w:tc>
          <w:tcPr>
            <w:tcW w:type="dxa" w:w="178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Informed</w:t>
            </w:r>
          </w:p>
        </w:tc>
      </w:tr>
      <w:tr>
        <w:trPr>
          <w:cantSplit/>
        </w:trPr>
        <w:tc>
          <w:tcPr>
            <w:tcW w:type="dxa" w:w="23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Priority decision</w:t>
            </w:r>
          </w:p>
        </w:tc>
        <w:tc>
          <w:tcPr>
            <w:tcW w:type="dxa" w:w="21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Supervisor</w:t>
            </w:r>
          </w:p>
        </w:tc>
        <w:tc>
          <w:tcPr>
            <w:tcW w:type="dxa" w:w="20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Sales manager</w:t>
            </w:r>
          </w:p>
        </w:tc>
        <w:tc>
          <w:tcPr>
            <w:tcW w:type="dxa" w:w="19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Revenue ops</w:t>
            </w:r>
          </w:p>
        </w:tc>
        <w:tc>
          <w:tcPr>
            <w:tcW w:type="dxa" w:w="17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Account reps</w:t>
            </w:r>
          </w:p>
        </w:tc>
      </w:tr>
      <w:tr>
        <w:trPr>
          <w:cantSplit/>
        </w:trPr>
        <w:tc>
          <w:tcPr>
            <w:tcW w:type="dxa" w:w="23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Customer outreach</w:t>
            </w:r>
          </w:p>
        </w:tc>
        <w:tc>
          <w:tcPr>
            <w:tcW w:type="dxa" w:w="21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Account rep</w:t>
            </w:r>
          </w:p>
        </w:tc>
        <w:tc>
          <w:tcPr>
            <w:tcW w:type="dxa" w:w="20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Supervisor</w:t>
            </w:r>
          </w:p>
        </w:tc>
        <w:tc>
          <w:tcPr>
            <w:tcW w:type="dxa" w:w="19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Ad ops or billing</w:t>
            </w:r>
          </w:p>
        </w:tc>
        <w:tc>
          <w:tcPr>
            <w:tcW w:type="dxa" w:w="17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Manager as needed</w:t>
            </w:r>
          </w:p>
        </w:tc>
      </w:tr>
      <w:tr>
        <w:trPr>
          <w:cantSplit/>
        </w:trPr>
        <w:tc>
          <w:tcPr>
            <w:tcW w:type="dxa" w:w="23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Case resolution</w:t>
            </w:r>
          </w:p>
        </w:tc>
        <w:tc>
          <w:tcPr>
            <w:tcW w:type="dxa" w:w="21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Functional owner</w:t>
            </w:r>
          </w:p>
        </w:tc>
        <w:tc>
          <w:tcPr>
            <w:tcW w:type="dxa" w:w="20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Ad ops lead</w:t>
            </w:r>
          </w:p>
        </w:tc>
        <w:tc>
          <w:tcPr>
            <w:tcW w:type="dxa" w:w="19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Account rep</w:t>
            </w:r>
          </w:p>
        </w:tc>
        <w:tc>
          <w:tcPr>
            <w:tcW w:type="dxa" w:w="17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Customer contact</w:t>
            </w:r>
          </w:p>
        </w:tc>
      </w:tr>
      <w:tr>
        <w:trPr>
          <w:cantSplit/>
        </w:trPr>
        <w:tc>
          <w:tcPr>
            <w:tcW w:type="dxa" w:w="23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Offer compliance</w:t>
            </w:r>
          </w:p>
        </w:tc>
        <w:tc>
          <w:tcPr>
            <w:tcW w:type="dxa" w:w="21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Supervisor</w:t>
            </w:r>
          </w:p>
        </w:tc>
        <w:tc>
          <w:tcPr>
            <w:tcW w:type="dxa" w:w="20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Sales manager</w:t>
            </w:r>
          </w:p>
        </w:tc>
        <w:tc>
          <w:tcPr>
            <w:tcW w:type="dxa" w:w="19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Revenue ops</w:t>
            </w:r>
          </w:p>
        </w:tc>
        <w:tc>
          <w:tcPr>
            <w:tcW w:type="dxa" w:w="17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Account rep</w:t>
            </w:r>
          </w:p>
        </w:tc>
      </w:tr>
      <w:tr>
        <w:trPr>
          <w:cantSplit/>
        </w:trPr>
        <w:tc>
          <w:tcPr>
            <w:tcW w:type="dxa" w:w="23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Checkpoint reporting</w:t>
            </w:r>
          </w:p>
        </w:tc>
        <w:tc>
          <w:tcPr>
            <w:tcW w:type="dxa" w:w="21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Supervisor</w:t>
            </w:r>
          </w:p>
        </w:tc>
        <w:tc>
          <w:tcPr>
            <w:tcW w:type="dxa" w:w="20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Sales manager</w:t>
            </w:r>
          </w:p>
        </w:tc>
        <w:tc>
          <w:tcPr>
            <w:tcW w:type="dxa" w:w="19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All owners</w:t>
            </w:r>
          </w:p>
        </w:tc>
        <w:tc>
          <w:tcPr>
            <w:tcW w:type="dxa" w:w="17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Revenue ops</w:t>
            </w:r>
          </w:p>
        </w:tc>
      </w:tr>
    </w:tbl>
    <w:p>
      <w:pPr>
        <w:pStyle w:val="Heading1"/>
      </w:pPr>
      <w:r>
        <w:t xml:space="preserve">Workflow</w:t>
      </w:r>
    </w:p>
    <w:tbl>
      <w:tblPr>
        <w:tblW w:type="dxa" w:w="10080"/>
        <w:tblBorders>
          <w:top w:val="single" w:color="B8C5C3" w:sz="4"/>
          <w:left w:val="single" w:color="B8C5C3" w:sz="4"/>
          <w:bottom w:val="single" w:color="B8C5C3" w:sz="4"/>
          <w:right w:val="single" w:color="B8C5C3" w:sz="4"/>
          <w:insideH w:val="single" w:color="B8C5C3" w:sz="4"/>
          <w:insideV w:val="single" w:color="B8C5C3" w:sz="4"/>
        </w:tblBorders>
        <w:tblLayout w:type="fixed"/>
        <w:tblCellMar>
          <w:top w:type="dxa" w:w="95"/>
          <w:left w:type="dxa" w:w="130"/>
          <w:bottom w:type="dxa" w:w="95"/>
          <w:right w:type="dxa" w:w="130"/>
        </w:tblCellMar>
      </w:tblPr>
      <w:tblGrid>
        <w:gridCol w:w="900"/>
        <w:gridCol w:w="3400"/>
        <w:gridCol w:w="2100"/>
        <w:gridCol w:w="3680"/>
      </w:tblGrid>
      <w:tr>
        <w:trPr>
          <w:cantSplit/>
          <w:tblHeader/>
        </w:trPr>
        <w:tc>
          <w:tcPr>
            <w:tcW w:type="dxa" w:w="9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Step</w:t>
            </w:r>
          </w:p>
        </w:tc>
        <w:tc>
          <w:tcPr>
            <w:tcW w:type="dxa" w:w="34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Procedure</w:t>
            </w:r>
          </w:p>
        </w:tc>
        <w:tc>
          <w:tcPr>
            <w:tcW w:type="dxa" w:w="21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Responsibility</w:t>
            </w:r>
          </w:p>
        </w:tc>
        <w:tc>
          <w:tcPr>
            <w:tcW w:type="dxa" w:w="368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Evidence To Record</w:t>
            </w:r>
          </w:p>
        </w:tc>
      </w:tr>
      <w:tr>
        <w:trPr>
          <w:cantSplit/>
        </w:trPr>
        <w:tc>
          <w:tcPr>
            <w:tcW w:type="dxa" w:w="9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center"/>
            </w:pPr>
            <w:r>
              <w:rPr>
                <w:b w:val="false"/>
                <w:bCs w:val="false"/>
                <w:color w:val="172C46"/>
              </w:rPr>
              <w:t xml:space="preserve">1</w:t>
            </w:r>
          </w:p>
        </w:tc>
        <w:tc>
          <w:tcPr>
            <w:tcW w:type="dxa" w:w="34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Confirm account is in approved execution or controlled exception scope.</w:t>
            </w:r>
          </w:p>
        </w:tc>
        <w:tc>
          <w:tcPr>
            <w:tcW w:type="dxa" w:w="21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Supervisor</w:t>
            </w:r>
          </w:p>
        </w:tc>
        <w:tc>
          <w:tcPr>
            <w:tcW w:type="dxa" w:w="36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Approval status and lifecycle state</w:t>
            </w:r>
          </w:p>
        </w:tc>
      </w:tr>
      <w:tr>
        <w:trPr>
          <w:cantSplit/>
        </w:trPr>
        <w:tc>
          <w:tcPr>
            <w:tcW w:type="dxa" w:w="9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center"/>
            </w:pPr>
            <w:r>
              <w:rPr>
                <w:b w:val="false"/>
                <w:bCs w:val="false"/>
                <w:color w:val="172C46"/>
              </w:rPr>
              <w:t xml:space="preserve">2</w:t>
            </w:r>
          </w:p>
        </w:tc>
        <w:tc>
          <w:tcPr>
            <w:tcW w:type="dxa" w:w="34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Verify case or activity evidence and identify actual customer request.</w:t>
            </w:r>
          </w:p>
        </w:tc>
        <w:tc>
          <w:tcPr>
            <w:tcW w:type="dxa" w:w="21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Rep with functional owner</w:t>
            </w:r>
          </w:p>
        </w:tc>
        <w:tc>
          <w:tcPr>
            <w:tcW w:type="dxa" w:w="36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Case ID, activity ID, issue type, owner</w:t>
            </w:r>
          </w:p>
        </w:tc>
      </w:tr>
      <w:tr>
        <w:trPr>
          <w:cantSplit/>
        </w:trPr>
        <w:tc>
          <w:tcPr>
            <w:tcW w:type="dxa" w:w="9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center"/>
            </w:pPr>
            <w:r>
              <w:rPr>
                <w:b w:val="false"/>
                <w:bCs w:val="false"/>
                <w:color w:val="172C46"/>
              </w:rPr>
              <w:t xml:space="preserve">3</w:t>
            </w:r>
          </w:p>
        </w:tc>
        <w:tc>
          <w:tcPr>
            <w:tcW w:type="dxa" w:w="34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Check offer fit against authority guide before drafting customer language.</w:t>
            </w:r>
          </w:p>
        </w:tc>
        <w:tc>
          <w:tcPr>
            <w:tcW w:type="dxa" w:w="21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Supervisor</w:t>
            </w:r>
          </w:p>
        </w:tc>
        <w:tc>
          <w:tcPr>
            <w:tcW w:type="dxa" w:w="36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Offer code, cap, issue basis, tier</w:t>
            </w:r>
          </w:p>
        </w:tc>
      </w:tr>
      <w:tr>
        <w:trPr>
          <w:cantSplit/>
        </w:trPr>
        <w:tc>
          <w:tcPr>
            <w:tcW w:type="dxa" w:w="9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center"/>
            </w:pPr>
            <w:r>
              <w:rPr>
                <w:b w:val="false"/>
                <w:bCs w:val="false"/>
                <w:color w:val="172C46"/>
              </w:rPr>
              <w:t xml:space="preserve">4</w:t>
            </w:r>
          </w:p>
        </w:tc>
        <w:tc>
          <w:tcPr>
            <w:tcW w:type="dxa" w:w="34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Use only permitted contact route and respect unavailable windows.</w:t>
            </w:r>
          </w:p>
        </w:tc>
        <w:tc>
          <w:tcPr>
            <w:tcW w:type="dxa" w:w="21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Rep</w:t>
            </w:r>
          </w:p>
        </w:tc>
        <w:tc>
          <w:tcPr>
            <w:tcW w:type="dxa" w:w="36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Contact ID, role, permission, channel</w:t>
            </w:r>
          </w:p>
        </w:tc>
      </w:tr>
      <w:tr>
        <w:trPr>
          <w:cantSplit/>
        </w:trPr>
        <w:tc>
          <w:tcPr>
            <w:tcW w:type="dxa" w:w="9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center"/>
            </w:pPr>
            <w:r>
              <w:rPr>
                <w:b w:val="false"/>
                <w:bCs w:val="false"/>
                <w:color w:val="172C46"/>
              </w:rPr>
              <w:t xml:space="preserve">5</w:t>
            </w:r>
          </w:p>
        </w:tc>
        <w:tc>
          <w:tcPr>
            <w:tcW w:type="dxa" w:w="34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Complete outreach or internal handoff at scheduled time.</w:t>
            </w:r>
          </w:p>
        </w:tc>
        <w:tc>
          <w:tcPr>
            <w:tcW w:type="dxa" w:w="21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Rep or owner</w:t>
            </w:r>
          </w:p>
        </w:tc>
        <w:tc>
          <w:tcPr>
            <w:tcW w:type="dxa" w:w="36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Schedule action ID and timestamp</w:t>
            </w:r>
          </w:p>
        </w:tc>
      </w:tr>
      <w:tr>
        <w:trPr>
          <w:cantSplit/>
        </w:trPr>
        <w:tc>
          <w:tcPr>
            <w:tcW w:type="dxa" w:w="9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center"/>
            </w:pPr>
            <w:r>
              <w:rPr>
                <w:b w:val="false"/>
                <w:bCs w:val="false"/>
                <w:color w:val="172C46"/>
              </w:rPr>
              <w:t xml:space="preserve">6</w:t>
            </w:r>
          </w:p>
        </w:tc>
        <w:tc>
          <w:tcPr>
            <w:tcW w:type="dxa" w:w="34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Update CRM, case queue, and checkpoint summary with confirmation state.</w:t>
            </w:r>
          </w:p>
        </w:tc>
        <w:tc>
          <w:tcPr>
            <w:tcW w:type="dxa" w:w="21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Rep</w:t>
            </w:r>
          </w:p>
        </w:tc>
        <w:tc>
          <w:tcPr>
            <w:tcW w:type="dxa" w:w="36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CRM note, case status, confirmation source</w:t>
            </w:r>
          </w:p>
        </w:tc>
      </w:tr>
      <w:tr>
        <w:trPr>
          <w:cantSplit/>
        </w:trPr>
        <w:tc>
          <w:tcPr>
            <w:tcW w:type="dxa" w:w="9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center"/>
            </w:pPr>
            <w:r>
              <w:rPr>
                <w:b w:val="false"/>
                <w:bCs w:val="false"/>
                <w:color w:val="172C46"/>
              </w:rPr>
              <w:t xml:space="preserve">7</w:t>
            </w:r>
          </w:p>
        </w:tc>
        <w:tc>
          <w:tcPr>
            <w:tcW w:type="dxa" w:w="34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Escalate blockers before daily 16:00 checkpoint.</w:t>
            </w:r>
          </w:p>
        </w:tc>
        <w:tc>
          <w:tcPr>
            <w:tcW w:type="dxa" w:w="21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Supervisor</w:t>
            </w:r>
          </w:p>
        </w:tc>
        <w:tc>
          <w:tcPr>
            <w:tcW w:type="dxa" w:w="36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Exception route, owner, due date</w:t>
            </w:r>
          </w:p>
        </w:tc>
      </w:tr>
    </w:tbl>
    <w:p>
      <w:pPr>
        <w:pStyle w:val="Heading1"/>
      </w:pPr>
      <w:r>
        <w:t xml:space="preserve">Account-Specific Recovery Plans</w:t>
      </w:r>
    </w:p>
    <w:tbl>
      <w:tblPr>
        <w:tblW w:type="dxa" w:w="10080"/>
        <w:tblBorders>
          <w:top w:val="single" w:color="B8C5C3" w:sz="4"/>
          <w:left w:val="single" w:color="B8C5C3" w:sz="4"/>
          <w:bottom w:val="single" w:color="B8C5C3" w:sz="4"/>
          <w:right w:val="single" w:color="B8C5C3" w:sz="4"/>
          <w:insideH w:val="single" w:color="B8C5C3" w:sz="4"/>
          <w:insideV w:val="single" w:color="B8C5C3" w:sz="4"/>
        </w:tblBorders>
        <w:tblLayout w:type="fixed"/>
        <w:tblCellMar>
          <w:top w:type="dxa" w:w="65"/>
          <w:left w:type="dxa" w:w="95"/>
          <w:bottom w:type="dxa" w:w="65"/>
          <w:right w:type="dxa" w:w="95"/>
        </w:tblCellMar>
      </w:tblPr>
      <w:tblGrid>
        <w:gridCol w:w="2100"/>
        <w:gridCol w:w="1450"/>
        <w:gridCol w:w="1700"/>
        <w:gridCol w:w="900"/>
        <w:gridCol w:w="1300"/>
        <w:gridCol w:w="1050"/>
        <w:gridCol w:w="1580"/>
      </w:tblGrid>
      <w:tr>
        <w:trPr>
          <w:cantSplit/>
          <w:tblHeader/>
        </w:trPr>
        <w:tc>
          <w:tcPr>
            <w:tcW w:type="dxa" w:w="2100"/>
            <w:tcBorders>
              <w:top w:val="single" w:color="B8C5C3" w:sz="4"/>
              <w:left w:val="single" w:color="B8C5C3" w:sz="4"/>
              <w:bottom w:val="single" w:color="B8C5C3" w:sz="4"/>
              <w:right w:val="single" w:color="B8C5C3" w:sz="4"/>
            </w:tcBorders>
            <w:shd w:fill="172C46" w:val="clear"/>
            <w:tcMar>
              <w:top w:type="dxa" w:w="65"/>
              <w:left w:type="dxa" w:w="95"/>
              <w:bottom w:type="dxa" w:w="65"/>
              <w:right w:type="dxa" w:w="95"/>
            </w:tcMar>
            <w:vAlign w:val="center"/>
          </w:tcPr>
          <w:p>
            <w:pPr>
              <w:pStyle w:val="TableHeader"/>
              <w:keepNext/>
              <w:keepLines/>
              <w:jc w:val="left"/>
            </w:pPr>
            <w:r>
              <w:rPr>
                <w:b/>
                <w:bCs/>
                <w:color w:val="FFFFFF"/>
              </w:rPr>
              <w:t xml:space="preserve">Account</w:t>
            </w:r>
          </w:p>
        </w:tc>
        <w:tc>
          <w:tcPr>
            <w:tcW w:type="dxa" w:w="1450"/>
            <w:tcBorders>
              <w:top w:val="single" w:color="B8C5C3" w:sz="4"/>
              <w:left w:val="single" w:color="B8C5C3" w:sz="4"/>
              <w:bottom w:val="single" w:color="B8C5C3" w:sz="4"/>
              <w:right w:val="single" w:color="B8C5C3" w:sz="4"/>
            </w:tcBorders>
            <w:shd w:fill="172C46" w:val="clear"/>
            <w:tcMar>
              <w:top w:type="dxa" w:w="65"/>
              <w:left w:type="dxa" w:w="95"/>
              <w:bottom w:type="dxa" w:w="65"/>
              <w:right w:type="dxa" w:w="95"/>
            </w:tcMar>
            <w:vAlign w:val="center"/>
          </w:tcPr>
          <w:p>
            <w:pPr>
              <w:pStyle w:val="TableHeader"/>
              <w:keepNext/>
              <w:keepLines/>
              <w:jc w:val="left"/>
            </w:pPr>
            <w:r>
              <w:rPr>
                <w:b/>
                <w:bCs/>
                <w:color w:val="FFFFFF"/>
              </w:rPr>
              <w:t xml:space="preserve">Issue</w:t>
            </w:r>
          </w:p>
        </w:tc>
        <w:tc>
          <w:tcPr>
            <w:tcW w:type="dxa" w:w="1700"/>
            <w:tcBorders>
              <w:top w:val="single" w:color="B8C5C3" w:sz="4"/>
              <w:left w:val="single" w:color="B8C5C3" w:sz="4"/>
              <w:bottom w:val="single" w:color="B8C5C3" w:sz="4"/>
              <w:right w:val="single" w:color="B8C5C3" w:sz="4"/>
            </w:tcBorders>
            <w:shd w:fill="172C46" w:val="clear"/>
            <w:tcMar>
              <w:top w:type="dxa" w:w="65"/>
              <w:left w:type="dxa" w:w="95"/>
              <w:bottom w:type="dxa" w:w="65"/>
              <w:right w:type="dxa" w:w="95"/>
            </w:tcMar>
            <w:vAlign w:val="center"/>
          </w:tcPr>
          <w:p>
            <w:pPr>
              <w:pStyle w:val="TableHeader"/>
              <w:keepNext/>
              <w:keepLines/>
              <w:jc w:val="left"/>
            </w:pPr>
            <w:r>
              <w:rPr>
                <w:b/>
                <w:bCs/>
                <w:color w:val="FFFFFF"/>
              </w:rPr>
              <w:t xml:space="preserve">Decision Route</w:t>
            </w:r>
          </w:p>
        </w:tc>
        <w:tc>
          <w:tcPr>
            <w:tcW w:type="dxa" w:w="900"/>
            <w:tcBorders>
              <w:top w:val="single" w:color="B8C5C3" w:sz="4"/>
              <w:left w:val="single" w:color="B8C5C3" w:sz="4"/>
              <w:bottom w:val="single" w:color="B8C5C3" w:sz="4"/>
              <w:right w:val="single" w:color="B8C5C3" w:sz="4"/>
            </w:tcBorders>
            <w:shd w:fill="172C46" w:val="clear"/>
            <w:tcMar>
              <w:top w:type="dxa" w:w="65"/>
              <w:left w:type="dxa" w:w="95"/>
              <w:bottom w:type="dxa" w:w="65"/>
              <w:right w:type="dxa" w:w="95"/>
            </w:tcMar>
            <w:vAlign w:val="center"/>
          </w:tcPr>
          <w:p>
            <w:pPr>
              <w:pStyle w:val="TableHeader"/>
              <w:keepNext/>
              <w:keepLines/>
              <w:jc w:val="left"/>
            </w:pPr>
            <w:r>
              <w:rPr>
                <w:b/>
                <w:bCs/>
                <w:color w:val="FFFFFF"/>
              </w:rPr>
              <w:t xml:space="preserve">Offer</w:t>
            </w:r>
          </w:p>
        </w:tc>
        <w:tc>
          <w:tcPr>
            <w:tcW w:type="dxa" w:w="1300"/>
            <w:tcBorders>
              <w:top w:val="single" w:color="B8C5C3" w:sz="4"/>
              <w:left w:val="single" w:color="B8C5C3" w:sz="4"/>
              <w:bottom w:val="single" w:color="B8C5C3" w:sz="4"/>
              <w:right w:val="single" w:color="B8C5C3" w:sz="4"/>
            </w:tcBorders>
            <w:shd w:fill="172C46" w:val="clear"/>
            <w:tcMar>
              <w:top w:type="dxa" w:w="65"/>
              <w:left w:type="dxa" w:w="95"/>
              <w:bottom w:type="dxa" w:w="65"/>
              <w:right w:type="dxa" w:w="95"/>
            </w:tcMar>
            <w:vAlign w:val="center"/>
          </w:tcPr>
          <w:p>
            <w:pPr>
              <w:pStyle w:val="TableHeader"/>
              <w:keepNext/>
              <w:keepLines/>
              <w:jc w:val="left"/>
            </w:pPr>
            <w:r>
              <w:rPr>
                <w:b/>
                <w:bCs/>
                <w:color w:val="FFFFFF"/>
              </w:rPr>
              <w:t xml:space="preserve">Owner</w:t>
            </w:r>
          </w:p>
        </w:tc>
        <w:tc>
          <w:tcPr>
            <w:tcW w:type="dxa" w:w="1050"/>
            <w:tcBorders>
              <w:top w:val="single" w:color="B8C5C3" w:sz="4"/>
              <w:left w:val="single" w:color="B8C5C3" w:sz="4"/>
              <w:bottom w:val="single" w:color="B8C5C3" w:sz="4"/>
              <w:right w:val="single" w:color="B8C5C3" w:sz="4"/>
            </w:tcBorders>
            <w:shd w:fill="172C46" w:val="clear"/>
            <w:tcMar>
              <w:top w:type="dxa" w:w="65"/>
              <w:left w:type="dxa" w:w="95"/>
              <w:bottom w:type="dxa" w:w="65"/>
              <w:right w:type="dxa" w:w="95"/>
            </w:tcMar>
            <w:vAlign w:val="center"/>
          </w:tcPr>
          <w:p>
            <w:pPr>
              <w:pStyle w:val="TableHeader"/>
              <w:keepNext/>
              <w:keepLines/>
              <w:jc w:val="left"/>
            </w:pPr>
            <w:r>
              <w:rPr>
                <w:b/>
                <w:bCs/>
                <w:color w:val="FFFFFF"/>
              </w:rPr>
              <w:t xml:space="preserve">Due</w:t>
            </w:r>
          </w:p>
        </w:tc>
        <w:tc>
          <w:tcPr>
            <w:tcW w:type="dxa" w:w="1580"/>
            <w:tcBorders>
              <w:top w:val="single" w:color="B8C5C3" w:sz="4"/>
              <w:left w:val="single" w:color="B8C5C3" w:sz="4"/>
              <w:bottom w:val="single" w:color="B8C5C3" w:sz="4"/>
              <w:right w:val="single" w:color="B8C5C3" w:sz="4"/>
            </w:tcBorders>
            <w:shd w:fill="172C46" w:val="clear"/>
            <w:tcMar>
              <w:top w:type="dxa" w:w="65"/>
              <w:left w:type="dxa" w:w="95"/>
              <w:bottom w:type="dxa" w:w="65"/>
              <w:right w:type="dxa" w:w="95"/>
            </w:tcMar>
            <w:vAlign w:val="center"/>
          </w:tcPr>
          <w:p>
            <w:pPr>
              <w:pStyle w:val="TableHeader"/>
              <w:keepNext/>
              <w:keepLines/>
              <w:jc w:val="left"/>
            </w:pPr>
            <w:r>
              <w:rPr>
                <w:b/>
                <w:bCs/>
                <w:color w:val="FFFFFF"/>
              </w:rPr>
              <w:t xml:space="preserve">Approved Action Or Hold</w:t>
            </w:r>
          </w:p>
        </w:tc>
      </w:tr>
      <w:tr>
        <w:trPr>
          <w:cantSplit/>
        </w:trPr>
        <w:tc>
          <w:tcPr>
            <w:tcW w:type="dxa" w:w="21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A-1001 Meridian Health Partners</w:t>
            </w:r>
          </w:p>
        </w:tc>
        <w:tc>
          <w:tcPr>
            <w:tcW w:type="dxa" w:w="145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Delivery Underpacing</w:t>
            </w:r>
          </w:p>
        </w:tc>
        <w:tc>
          <w:tcPr>
            <w:tcW w:type="dxa" w:w="17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Dr. Lena Morris</w:t>
            </w:r>
          </w:p>
        </w:tc>
        <w:tc>
          <w:tcPr>
            <w:tcW w:type="dxa" w:w="9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val="false"/>
                <w:bCs w:val="false"/>
                <w:color w:val="172C46"/>
              </w:rPr>
              <w:t xml:space="preserve">MG-15</w:t>
            </w:r>
          </w:p>
        </w:tc>
        <w:tc>
          <w:tcPr>
            <w:tcW w:type="dxa" w:w="13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Maya Chen</w:t>
            </w:r>
          </w:p>
        </w:tc>
        <w:tc>
          <w:tcPr>
            <w:tcW w:type="dxa" w:w="105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bCs/>
                <w:color w:val="6F918E"/>
              </w:rPr>
              <w:t xml:space="preserve">2026-07-20</w:t>
            </w:r>
          </w:p>
        </w:tc>
        <w:tc>
          <w:tcPr>
            <w:tcW w:type="dxa" w:w="158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Confirm makegood inventory and delivery recovery plan</w:t>
            </w:r>
          </w:p>
        </w:tc>
      </w:tr>
      <w:tr>
        <w:trPr>
          <w:cantSplit/>
        </w:trPr>
        <w:tc>
          <w:tcPr>
            <w:tcW w:type="dxa" w:w="21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A-1002 Larkspur Credit Union</w:t>
            </w:r>
          </w:p>
        </w:tc>
        <w:tc>
          <w:tcPr>
            <w:tcW w:type="dxa" w:w="145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Reporting Discrepancy</w:t>
            </w:r>
          </w:p>
        </w:tc>
        <w:tc>
          <w:tcPr>
            <w:tcW w:type="dxa" w:w="17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Tanya Wells</w:t>
            </w:r>
          </w:p>
        </w:tc>
        <w:tc>
          <w:tcPr>
            <w:tcW w:type="dxa" w:w="9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center"/>
            </w:pPr>
            <w:r>
              <w:rPr>
                <w:b w:val="false"/>
                <w:bCs w:val="false"/>
                <w:color w:val="172C46"/>
              </w:rPr>
              <w:t xml:space="preserve">RPT-COMP</w:t>
            </w:r>
          </w:p>
        </w:tc>
        <w:tc>
          <w:tcPr>
            <w:tcW w:type="dxa" w:w="13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Jordan Patel</w:t>
            </w:r>
          </w:p>
        </w:tc>
        <w:tc>
          <w:tcPr>
            <w:tcW w:type="dxa" w:w="105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center"/>
            </w:pPr>
            <w:r>
              <w:rPr>
                <w:b/>
                <w:bCs/>
                <w:color w:val="6F918E"/>
              </w:rPr>
              <w:t xml:space="preserve">2026-07-24</w:t>
            </w:r>
          </w:p>
        </w:tc>
        <w:tc>
          <w:tcPr>
            <w:tcW w:type="dxa" w:w="158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Deliver reconciled reporting package and executive summary</w:t>
            </w:r>
          </w:p>
        </w:tc>
      </w:tr>
      <w:tr>
        <w:trPr>
          <w:cantSplit/>
        </w:trPr>
        <w:tc>
          <w:tcPr>
            <w:tcW w:type="dxa" w:w="21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A-1003 Cobalt Cloud Systems</w:t>
            </w:r>
          </w:p>
        </w:tc>
        <w:tc>
          <w:tcPr>
            <w:tcW w:type="dxa" w:w="145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Billing Error</w:t>
            </w:r>
          </w:p>
        </w:tc>
        <w:tc>
          <w:tcPr>
            <w:tcW w:type="dxa" w:w="17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Rafael Soto</w:t>
            </w:r>
          </w:p>
        </w:tc>
        <w:tc>
          <w:tcPr>
            <w:tcW w:type="dxa" w:w="9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val="false"/>
                <w:bCs w:val="false"/>
                <w:color w:val="172C46"/>
              </w:rPr>
              <w:t xml:space="preserve">CR-10K</w:t>
            </w:r>
          </w:p>
        </w:tc>
        <w:tc>
          <w:tcPr>
            <w:tcW w:type="dxa" w:w="13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Priya Nair</w:t>
            </w:r>
          </w:p>
        </w:tc>
        <w:tc>
          <w:tcPr>
            <w:tcW w:type="dxa" w:w="105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bCs/>
                <w:color w:val="6F918E"/>
              </w:rPr>
              <w:t xml:space="preserve">2026-07-22</w:t>
            </w:r>
          </w:p>
        </w:tc>
        <w:tc>
          <w:tcPr>
            <w:tcW w:type="dxa" w:w="158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Confirm verified billing credit and renewal rate hold</w:t>
            </w:r>
          </w:p>
        </w:tc>
      </w:tr>
      <w:tr>
        <w:trPr>
          <w:cantSplit/>
        </w:trPr>
        <w:tc>
          <w:tcPr>
            <w:tcW w:type="dxa" w:w="21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A-1004 Harborview Furnishings</w:t>
            </w:r>
          </w:p>
        </w:tc>
        <w:tc>
          <w:tcPr>
            <w:tcW w:type="dxa" w:w="145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Creative Trafficking</w:t>
            </w:r>
          </w:p>
        </w:tc>
        <w:tc>
          <w:tcPr>
            <w:tcW w:type="dxa" w:w="17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Nina Cho</w:t>
            </w:r>
          </w:p>
        </w:tc>
        <w:tc>
          <w:tcPr>
            <w:tcW w:type="dxa" w:w="9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center"/>
            </w:pPr>
            <w:r>
              <w:rPr>
                <w:b w:val="false"/>
                <w:bCs w:val="false"/>
                <w:color w:val="172C46"/>
              </w:rPr>
              <w:t xml:space="preserve">SW-PKG</w:t>
            </w:r>
          </w:p>
        </w:tc>
        <w:tc>
          <w:tcPr>
            <w:tcW w:type="dxa" w:w="13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Luis Romero</w:t>
            </w:r>
          </w:p>
        </w:tc>
        <w:tc>
          <w:tcPr>
            <w:tcW w:type="dxa" w:w="105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center"/>
            </w:pPr>
            <w:r>
              <w:rPr>
                <w:b/>
                <w:bCs/>
                <w:color w:val="6F918E"/>
              </w:rPr>
              <w:t xml:space="preserve">2026-07-24</w:t>
            </w:r>
          </w:p>
        </w:tc>
        <w:tc>
          <w:tcPr>
            <w:tcW w:type="dxa" w:w="158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Offer equivalent package swap after trafficking confirmation</w:t>
            </w:r>
          </w:p>
        </w:tc>
      </w:tr>
      <w:tr>
        <w:trPr>
          <w:cantSplit/>
        </w:trPr>
        <w:tc>
          <w:tcPr>
            <w:tcW w:type="dxa" w:w="21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A-1005 Axion Robotics</w:t>
            </w:r>
          </w:p>
        </w:tc>
        <w:tc>
          <w:tcPr>
            <w:tcW w:type="dxa" w:w="145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Audience Mismatch</w:t>
            </w:r>
          </w:p>
        </w:tc>
        <w:tc>
          <w:tcPr>
            <w:tcW w:type="dxa" w:w="17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Mark Feld</w:t>
            </w:r>
          </w:p>
        </w:tc>
        <w:tc>
          <w:tcPr>
            <w:tcW w:type="dxa" w:w="9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val="false"/>
                <w:bCs w:val="false"/>
                <w:color w:val="172C46"/>
              </w:rPr>
              <w:t xml:space="preserve">SW-PKG</w:t>
            </w:r>
          </w:p>
        </w:tc>
        <w:tc>
          <w:tcPr>
            <w:tcW w:type="dxa" w:w="13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Devon Brooks</w:t>
            </w:r>
          </w:p>
        </w:tc>
        <w:tc>
          <w:tcPr>
            <w:tcW w:type="dxa" w:w="105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bCs/>
                <w:color w:val="6F918E"/>
              </w:rPr>
              <w:t xml:space="preserve">2026-07-20</w:t>
            </w:r>
          </w:p>
        </w:tc>
        <w:tc>
          <w:tcPr>
            <w:tcW w:type="dxa" w:w="158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Swap misaligned audience package and reset delivery proof</w:t>
            </w:r>
          </w:p>
        </w:tc>
      </w:tr>
      <w:tr>
        <w:trPr>
          <w:cantSplit/>
        </w:trPr>
        <w:tc>
          <w:tcPr>
            <w:tcW w:type="dxa" w:w="21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A-1006 Greenway Kitchens</w:t>
            </w:r>
          </w:p>
        </w:tc>
        <w:tc>
          <w:tcPr>
            <w:tcW w:type="dxa" w:w="145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Billing Error</w:t>
            </w:r>
          </w:p>
        </w:tc>
        <w:tc>
          <w:tcPr>
            <w:tcW w:type="dxa" w:w="17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Gloria Kim</w:t>
            </w:r>
          </w:p>
        </w:tc>
        <w:tc>
          <w:tcPr>
            <w:tcW w:type="dxa" w:w="9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center"/>
            </w:pPr>
            <w:r>
              <w:rPr>
                <w:b w:val="false"/>
                <w:bCs w:val="false"/>
                <w:color w:val="172C46"/>
              </w:rPr>
              <w:t xml:space="preserve">CR-10K</w:t>
            </w:r>
          </w:p>
        </w:tc>
        <w:tc>
          <w:tcPr>
            <w:tcW w:type="dxa" w:w="13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Maya Chen</w:t>
            </w:r>
          </w:p>
        </w:tc>
        <w:tc>
          <w:tcPr>
            <w:tcW w:type="dxa" w:w="105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center"/>
            </w:pPr>
            <w:r>
              <w:rPr>
                <w:b/>
                <w:bCs/>
                <w:color w:val="6F918E"/>
              </w:rPr>
              <w:t xml:space="preserve">2026-07-24</w:t>
            </w:r>
          </w:p>
        </w:tc>
        <w:tc>
          <w:tcPr>
            <w:tcW w:type="dxa" w:w="158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Confirm verified invoice credit and corrected bill date</w:t>
            </w:r>
          </w:p>
        </w:tc>
      </w:tr>
      <w:tr>
        <w:trPr>
          <w:cantSplit/>
        </w:trPr>
        <w:tc>
          <w:tcPr>
            <w:tcW w:type="dxa" w:w="21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A-1007 Northline Insurance</w:t>
            </w:r>
          </w:p>
        </w:tc>
        <w:tc>
          <w:tcPr>
            <w:tcW w:type="dxa" w:w="145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Delivery Underpacing</w:t>
            </w:r>
          </w:p>
        </w:tc>
        <w:tc>
          <w:tcPr>
            <w:tcW w:type="dxa" w:w="17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Samira Ahmad</w:t>
            </w:r>
          </w:p>
        </w:tc>
        <w:tc>
          <w:tcPr>
            <w:tcW w:type="dxa" w:w="9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val="false"/>
                <w:bCs w:val="false"/>
                <w:color w:val="172C46"/>
              </w:rPr>
              <w:t xml:space="preserve">MG-15</w:t>
            </w:r>
          </w:p>
        </w:tc>
        <w:tc>
          <w:tcPr>
            <w:tcW w:type="dxa" w:w="13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Jordan Patel</w:t>
            </w:r>
          </w:p>
        </w:tc>
        <w:tc>
          <w:tcPr>
            <w:tcW w:type="dxa" w:w="105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bCs/>
                <w:color w:val="6F918E"/>
              </w:rPr>
              <w:t xml:space="preserve">2026-07-22</w:t>
            </w:r>
          </w:p>
        </w:tc>
        <w:tc>
          <w:tcPr>
            <w:tcW w:type="dxa" w:w="158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Confirm makegood placement and revised delivery dates</w:t>
            </w:r>
          </w:p>
        </w:tc>
      </w:tr>
      <w:tr>
        <w:trPr>
          <w:cantSplit/>
        </w:trPr>
        <w:tc>
          <w:tcPr>
            <w:tcW w:type="dxa" w:w="21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A-1008 Veridian Charter Schools</w:t>
            </w:r>
          </w:p>
        </w:tc>
        <w:tc>
          <w:tcPr>
            <w:tcW w:type="dxa" w:w="145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Reporting Discrepancy</w:t>
            </w:r>
          </w:p>
        </w:tc>
        <w:tc>
          <w:tcPr>
            <w:tcW w:type="dxa" w:w="17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Julian Pierce</w:t>
            </w:r>
          </w:p>
        </w:tc>
        <w:tc>
          <w:tcPr>
            <w:tcW w:type="dxa" w:w="9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center"/>
            </w:pPr>
            <w:r>
              <w:rPr>
                <w:b w:val="false"/>
                <w:bCs w:val="false"/>
                <w:color w:val="172C46"/>
              </w:rPr>
              <w:t xml:space="preserve">RPT-COMP</w:t>
            </w:r>
          </w:p>
        </w:tc>
        <w:tc>
          <w:tcPr>
            <w:tcW w:type="dxa" w:w="13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Priya Nair</w:t>
            </w:r>
          </w:p>
        </w:tc>
        <w:tc>
          <w:tcPr>
            <w:tcW w:type="dxa" w:w="105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center"/>
            </w:pPr>
            <w:r>
              <w:rPr>
                <w:b/>
                <w:bCs/>
                <w:color w:val="6F918E"/>
              </w:rPr>
              <w:t xml:space="preserve">2026-07-24</w:t>
            </w:r>
          </w:p>
        </w:tc>
        <w:tc>
          <w:tcPr>
            <w:tcW w:type="dxa" w:w="158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Send reconciled district reach report and renewal summary</w:t>
            </w:r>
          </w:p>
        </w:tc>
      </w:tr>
      <w:tr>
        <w:trPr>
          <w:cantSplit/>
        </w:trPr>
        <w:tc>
          <w:tcPr>
            <w:tcW w:type="dxa" w:w="21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A-1009 Copper Trail Hospitality</w:t>
            </w:r>
          </w:p>
        </w:tc>
        <w:tc>
          <w:tcPr>
            <w:tcW w:type="dxa" w:w="145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Creative Trafficking</w:t>
            </w:r>
          </w:p>
        </w:tc>
        <w:tc>
          <w:tcPr>
            <w:tcW w:type="dxa" w:w="17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Cora Lind</w:t>
            </w:r>
          </w:p>
        </w:tc>
        <w:tc>
          <w:tcPr>
            <w:tcW w:type="dxa" w:w="9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val="false"/>
                <w:bCs w:val="false"/>
                <w:color w:val="172C46"/>
              </w:rPr>
              <w:t xml:space="preserve">SW-PKG</w:t>
            </w:r>
          </w:p>
        </w:tc>
        <w:tc>
          <w:tcPr>
            <w:tcW w:type="dxa" w:w="13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Luis Romero</w:t>
            </w:r>
          </w:p>
        </w:tc>
        <w:tc>
          <w:tcPr>
            <w:tcW w:type="dxa" w:w="105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bCs/>
                <w:color w:val="6F918E"/>
              </w:rPr>
              <w:t xml:space="preserve">2026-07-22</w:t>
            </w:r>
          </w:p>
        </w:tc>
        <w:tc>
          <w:tcPr>
            <w:tcW w:type="dxa" w:w="158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Confirm package swap and creative approval timeline</w:t>
            </w:r>
          </w:p>
        </w:tc>
      </w:tr>
      <w:tr>
        <w:trPr>
          <w:cantSplit/>
        </w:trPr>
        <w:tc>
          <w:tcPr>
            <w:tcW w:type="dxa" w:w="21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A-1010 Finch Legal Group</w:t>
            </w:r>
          </w:p>
        </w:tc>
        <w:tc>
          <w:tcPr>
            <w:tcW w:type="dxa" w:w="145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Renewal Rate Objection</w:t>
            </w:r>
          </w:p>
        </w:tc>
        <w:tc>
          <w:tcPr>
            <w:tcW w:type="dxa" w:w="17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Evan Finch</w:t>
            </w:r>
          </w:p>
        </w:tc>
        <w:tc>
          <w:tcPr>
            <w:tcW w:type="dxa" w:w="9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center"/>
            </w:pPr>
            <w:r>
              <w:rPr>
                <w:b w:val="false"/>
                <w:bCs w:val="false"/>
                <w:color w:val="172C46"/>
              </w:rPr>
              <w:t xml:space="preserve">RH-60</w:t>
            </w:r>
          </w:p>
        </w:tc>
        <w:tc>
          <w:tcPr>
            <w:tcW w:type="dxa" w:w="13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Devon Brooks</w:t>
            </w:r>
          </w:p>
        </w:tc>
        <w:tc>
          <w:tcPr>
            <w:tcW w:type="dxa" w:w="105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center"/>
            </w:pPr>
            <w:r>
              <w:rPr>
                <w:b/>
                <w:bCs/>
                <w:color w:val="6F918E"/>
              </w:rPr>
              <w:t xml:space="preserve">2026-07-24</w:t>
            </w:r>
          </w:p>
        </w:tc>
        <w:tc>
          <w:tcPr>
            <w:tcW w:type="dxa" w:w="158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Offer 60-day rate hold without additional credit</w:t>
            </w:r>
          </w:p>
        </w:tc>
      </w:tr>
      <w:tr>
        <w:trPr>
          <w:cantSplit/>
        </w:trPr>
        <w:tc>
          <w:tcPr>
            <w:tcW w:type="dxa" w:w="21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A-1011 Solstice Energy Co-op</w:t>
            </w:r>
          </w:p>
        </w:tc>
        <w:tc>
          <w:tcPr>
            <w:tcW w:type="dxa" w:w="145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Reporting Discrepancy</w:t>
            </w:r>
          </w:p>
        </w:tc>
        <w:tc>
          <w:tcPr>
            <w:tcW w:type="dxa" w:w="17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Imani Hart</w:t>
            </w:r>
          </w:p>
        </w:tc>
        <w:tc>
          <w:tcPr>
            <w:tcW w:type="dxa" w:w="9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val="false"/>
                <w:bCs w:val="false"/>
                <w:color w:val="172C46"/>
              </w:rPr>
              <w:t xml:space="preserve">RPT-COMP</w:t>
            </w:r>
          </w:p>
        </w:tc>
        <w:tc>
          <w:tcPr>
            <w:tcW w:type="dxa" w:w="13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Maya Chen</w:t>
            </w:r>
          </w:p>
        </w:tc>
        <w:tc>
          <w:tcPr>
            <w:tcW w:type="dxa" w:w="105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bCs/>
                <w:color w:val="6F918E"/>
              </w:rPr>
              <w:t xml:space="preserve">2026-07-24</w:t>
            </w:r>
          </w:p>
        </w:tc>
        <w:tc>
          <w:tcPr>
            <w:tcW w:type="dxa" w:w="158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Send corrected lift summary and renewal confidence note</w:t>
            </w:r>
          </w:p>
        </w:tc>
      </w:tr>
      <w:tr>
        <w:trPr>
          <w:cantSplit/>
        </w:trPr>
        <w:tc>
          <w:tcPr>
            <w:tcW w:type="dxa" w:w="21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A-1012 Vesta Apparel Collective</w:t>
            </w:r>
          </w:p>
        </w:tc>
        <w:tc>
          <w:tcPr>
            <w:tcW w:type="dxa" w:w="145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Delivery Underpacing</w:t>
            </w:r>
          </w:p>
        </w:tc>
        <w:tc>
          <w:tcPr>
            <w:tcW w:type="dxa" w:w="17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Marta Ruiz</w:t>
            </w:r>
          </w:p>
        </w:tc>
        <w:tc>
          <w:tcPr>
            <w:tcW w:type="dxa" w:w="9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center"/>
            </w:pPr>
            <w:r>
              <w:rPr>
                <w:b w:val="false"/>
                <w:bCs w:val="false"/>
                <w:color w:val="172C46"/>
              </w:rPr>
              <w:t xml:space="preserve">MG-15</w:t>
            </w:r>
          </w:p>
        </w:tc>
        <w:tc>
          <w:tcPr>
            <w:tcW w:type="dxa" w:w="13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Jordan Patel</w:t>
            </w:r>
          </w:p>
        </w:tc>
        <w:tc>
          <w:tcPr>
            <w:tcW w:type="dxa" w:w="105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center"/>
            </w:pPr>
            <w:r>
              <w:rPr>
                <w:b/>
                <w:bCs/>
                <w:color w:val="6F918E"/>
              </w:rPr>
              <w:t xml:space="preserve">2026-07-22</w:t>
            </w:r>
          </w:p>
        </w:tc>
        <w:tc>
          <w:tcPr>
            <w:tcW w:type="dxa" w:w="158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Confirm makegood placement and invoice correction route</w:t>
            </w:r>
          </w:p>
        </w:tc>
      </w:tr>
      <w:tr>
        <w:trPr>
          <w:cantSplit/>
        </w:trPr>
        <w:tc>
          <w:tcPr>
            <w:tcW w:type="dxa" w:w="21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A-1013 BrightPath Dental Alliance</w:t>
            </w:r>
          </w:p>
        </w:tc>
        <w:tc>
          <w:tcPr>
            <w:tcW w:type="dxa" w:w="145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Delivery Underpacing</w:t>
            </w:r>
          </w:p>
        </w:tc>
        <w:tc>
          <w:tcPr>
            <w:tcW w:type="dxa" w:w="17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Alice Go</w:t>
            </w:r>
          </w:p>
        </w:tc>
        <w:tc>
          <w:tcPr>
            <w:tcW w:type="dxa" w:w="9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val="false"/>
                <w:bCs w:val="false"/>
                <w:color w:val="172C46"/>
              </w:rPr>
              <w:t xml:space="preserve">MG-15</w:t>
            </w:r>
          </w:p>
        </w:tc>
        <w:tc>
          <w:tcPr>
            <w:tcW w:type="dxa" w:w="13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Priya Nair</w:t>
            </w:r>
          </w:p>
        </w:tc>
        <w:tc>
          <w:tcPr>
            <w:tcW w:type="dxa" w:w="105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bCs/>
                <w:color w:val="6F918E"/>
              </w:rPr>
              <w:t xml:space="preserve">Hold</w:t>
            </w:r>
          </w:p>
        </w:tc>
        <w:tc>
          <w:tcPr>
            <w:tcW w:type="dxa" w:w="158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Hold customer-facing offer until decision-maker route is approved</w:t>
            </w:r>
          </w:p>
        </w:tc>
      </w:tr>
      <w:tr>
        <w:trPr>
          <w:cantSplit/>
        </w:trPr>
        <w:tc>
          <w:tcPr>
            <w:tcW w:type="dxa" w:w="21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A-1014 SummitBank SMB Services</w:t>
            </w:r>
          </w:p>
        </w:tc>
        <w:tc>
          <w:tcPr>
            <w:tcW w:type="dxa" w:w="145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Billing Error</w:t>
            </w:r>
          </w:p>
        </w:tc>
        <w:tc>
          <w:tcPr>
            <w:tcW w:type="dxa" w:w="17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Brent Ivers</w:t>
            </w:r>
          </w:p>
        </w:tc>
        <w:tc>
          <w:tcPr>
            <w:tcW w:type="dxa" w:w="9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center"/>
            </w:pPr>
            <w:r>
              <w:rPr>
                <w:b w:val="false"/>
                <w:bCs w:val="false"/>
                <w:color w:val="172C46"/>
              </w:rPr>
              <w:t xml:space="preserve">MGR-REQ</w:t>
            </w:r>
          </w:p>
        </w:tc>
        <w:tc>
          <w:tcPr>
            <w:tcW w:type="dxa" w:w="13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Luis Romero</w:t>
            </w:r>
          </w:p>
        </w:tc>
        <w:tc>
          <w:tcPr>
            <w:tcW w:type="dxa" w:w="105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center"/>
            </w:pPr>
            <w:r>
              <w:rPr>
                <w:b/>
                <w:bCs/>
                <w:color w:val="6F918E"/>
              </w:rPr>
              <w:t xml:space="preserve">Hold</w:t>
            </w:r>
          </w:p>
        </w:tc>
        <w:tc>
          <w:tcPr>
            <w:tcW w:type="dxa" w:w="158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Route credit request to manager; do not promise local credit</w:t>
            </w:r>
          </w:p>
        </w:tc>
      </w:tr>
      <w:tr>
        <w:trPr>
          <w:cantSplit/>
        </w:trPr>
        <w:tc>
          <w:tcPr>
            <w:tcW w:type="dxa" w:w="21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A-1015 Mesa Tool Supply</w:t>
            </w:r>
          </w:p>
        </w:tc>
        <w:tc>
          <w:tcPr>
            <w:tcW w:type="dxa" w:w="145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Product Feed Blocker</w:t>
            </w:r>
          </w:p>
        </w:tc>
        <w:tc>
          <w:tcPr>
            <w:tcW w:type="dxa" w:w="17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Mei Carter</w:t>
            </w:r>
          </w:p>
        </w:tc>
        <w:tc>
          <w:tcPr>
            <w:tcW w:type="dxa" w:w="9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val="false"/>
                <w:bCs w:val="false"/>
                <w:color w:val="172C46"/>
              </w:rPr>
              <w:t xml:space="preserve">SW-PKG</w:t>
            </w:r>
          </w:p>
        </w:tc>
        <w:tc>
          <w:tcPr>
            <w:tcW w:type="dxa" w:w="13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Devon Brooks</w:t>
            </w:r>
          </w:p>
        </w:tc>
        <w:tc>
          <w:tcPr>
            <w:tcW w:type="dxa" w:w="105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bCs/>
                <w:color w:val="6F918E"/>
              </w:rPr>
              <w:t xml:space="preserve">Hold</w:t>
            </w:r>
          </w:p>
        </w:tc>
        <w:tc>
          <w:tcPr>
            <w:tcW w:type="dxa" w:w="158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Wait for product feed fix before customer offer</w:t>
            </w:r>
          </w:p>
        </w:tc>
      </w:tr>
      <w:tr>
        <w:trPr>
          <w:cantSplit/>
        </w:trPr>
        <w:tc>
          <w:tcPr>
            <w:tcW w:type="dxa" w:w="21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val="false"/>
              <w:keepLines/>
              <w:jc w:val="left"/>
            </w:pPr>
            <w:r>
              <w:rPr>
                <w:b w:val="false"/>
                <w:bCs w:val="false"/>
                <w:color w:val="172C46"/>
              </w:rPr>
              <w:t xml:space="preserve">A-1017 Atlas BioLabs</w:t>
            </w:r>
          </w:p>
        </w:tc>
        <w:tc>
          <w:tcPr>
            <w:tcW w:type="dxa" w:w="145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val="false"/>
              <w:keepLines/>
              <w:jc w:val="left"/>
            </w:pPr>
            <w:r>
              <w:rPr>
                <w:b w:val="false"/>
                <w:bCs w:val="false"/>
                <w:color w:val="172C46"/>
              </w:rPr>
              <w:t xml:space="preserve">Data-Use Terms</w:t>
            </w:r>
          </w:p>
        </w:tc>
        <w:tc>
          <w:tcPr>
            <w:tcW w:type="dxa" w:w="17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val="false"/>
              <w:keepLines/>
              <w:jc w:val="left"/>
            </w:pPr>
            <w:r>
              <w:rPr>
                <w:b w:val="false"/>
                <w:bCs w:val="false"/>
                <w:color w:val="172C46"/>
              </w:rPr>
              <w:t xml:space="preserve">Dr. Paolo Kent</w:t>
            </w:r>
          </w:p>
        </w:tc>
        <w:tc>
          <w:tcPr>
            <w:tcW w:type="dxa" w:w="9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val="false"/>
              <w:keepLines/>
              <w:jc w:val="center"/>
            </w:pPr>
            <w:r>
              <w:rPr>
                <w:b w:val="false"/>
                <w:bCs w:val="false"/>
                <w:color w:val="172C46"/>
              </w:rPr>
              <w:t xml:space="preserve">MGR-REQ</w:t>
            </w:r>
          </w:p>
        </w:tc>
        <w:tc>
          <w:tcPr>
            <w:tcW w:type="dxa" w:w="13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val="false"/>
              <w:keepLines/>
              <w:jc w:val="left"/>
            </w:pPr>
            <w:r>
              <w:rPr>
                <w:b w:val="false"/>
                <w:bCs w:val="false"/>
                <w:color w:val="172C46"/>
              </w:rPr>
              <w:t xml:space="preserve">Jordan Patel</w:t>
            </w:r>
          </w:p>
        </w:tc>
        <w:tc>
          <w:tcPr>
            <w:tcW w:type="dxa" w:w="105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val="false"/>
              <w:keepLines/>
              <w:jc w:val="center"/>
            </w:pPr>
            <w:r>
              <w:rPr>
                <w:b/>
                <w:bCs/>
                <w:color w:val="6F918E"/>
              </w:rPr>
              <w:t xml:space="preserve">Hold</w:t>
            </w:r>
          </w:p>
        </w:tc>
        <w:tc>
          <w:tcPr>
            <w:tcW w:type="dxa" w:w="158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val="false"/>
              <w:keepLines/>
              <w:jc w:val="left"/>
            </w:pPr>
            <w:r>
              <w:rPr>
                <w:b w:val="false"/>
                <w:bCs w:val="false"/>
                <w:color w:val="172C46"/>
              </w:rPr>
              <w:t xml:space="preserve">Escalate to manager and legal owner; no rep commitment</w:t>
            </w:r>
          </w:p>
        </w:tc>
      </w:tr>
    </w:tbl>
    <w:p>
      <w:pPr>
        <w:pStyle w:val="Heading1"/>
      </w:pPr>
      <w:r>
        <w:t xml:space="preserve">Decision Points and Exceptions</w:t>
      </w:r>
    </w:p>
    <w:tbl>
      <w:tblPr>
        <w:tblW w:type="dxa" w:w="10080"/>
        <w:tblBorders>
          <w:top w:val="single" w:color="B8C5C3" w:sz="4"/>
          <w:left w:val="single" w:color="B8C5C3" w:sz="4"/>
          <w:bottom w:val="single" w:color="B8C5C3" w:sz="4"/>
          <w:right w:val="single" w:color="B8C5C3" w:sz="4"/>
          <w:insideH w:val="single" w:color="B8C5C3" w:sz="4"/>
          <w:insideV w:val="single" w:color="B8C5C3" w:sz="4"/>
        </w:tblBorders>
        <w:tblLayout w:type="fixed"/>
        <w:tblCellMar>
          <w:top w:type="dxa" w:w="95"/>
          <w:left w:type="dxa" w:w="130"/>
          <w:bottom w:type="dxa" w:w="95"/>
          <w:right w:type="dxa" w:w="130"/>
        </w:tblCellMar>
      </w:tblPr>
      <w:tblGrid>
        <w:gridCol w:w="3000"/>
        <w:gridCol w:w="3600"/>
        <w:gridCol w:w="3480"/>
      </w:tblGrid>
      <w:tr>
        <w:trPr>
          <w:cantSplit/>
          <w:tblHeader/>
        </w:trPr>
        <w:tc>
          <w:tcPr>
            <w:tcW w:type="dxa" w:w="30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Decision Point</w:t>
            </w:r>
          </w:p>
        </w:tc>
        <w:tc>
          <w:tcPr>
            <w:tcW w:type="dxa" w:w="36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Approved Route</w:t>
            </w:r>
          </w:p>
        </w:tc>
        <w:tc>
          <w:tcPr>
            <w:tcW w:type="dxa" w:w="348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Exception Route</w:t>
            </w:r>
          </w:p>
        </w:tc>
      </w:tr>
      <w:tr>
        <w:trPr>
          <w:cantSplit/>
        </w:trPr>
        <w:tc>
          <w:tcPr>
            <w:tcW w:type="dxa" w:w="30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Offer request exceeds cap</w:t>
            </w:r>
          </w:p>
        </w:tc>
        <w:tc>
          <w:tcPr>
            <w:tcW w:type="dxa" w:w="36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No customer commitment beyond local cap</w:t>
            </w:r>
          </w:p>
        </w:tc>
        <w:tc>
          <w:tcPr>
            <w:tcW w:type="dxa" w:w="34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Manager review using MGR-REQ</w:t>
            </w:r>
          </w:p>
        </w:tc>
      </w:tr>
      <w:tr>
        <w:trPr>
          <w:cantSplit/>
        </w:trPr>
        <w:tc>
          <w:tcPr>
            <w:tcW w:type="dxa" w:w="30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Operational blocker unresolved</w:t>
            </w:r>
          </w:p>
        </w:tc>
        <w:tc>
          <w:tcPr>
            <w:tcW w:type="dxa" w:w="36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Internal case handoff only</w:t>
            </w:r>
          </w:p>
        </w:tc>
        <w:tc>
          <w:tcPr>
            <w:tcW w:type="dxa" w:w="34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Ad ops owner clears dependency before customer offer</w:t>
            </w:r>
          </w:p>
        </w:tc>
      </w:tr>
      <w:tr>
        <w:trPr>
          <w:cantSplit/>
        </w:trPr>
        <w:tc>
          <w:tcPr>
            <w:tcW w:type="dxa" w:w="30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Decision maker not approved</w:t>
            </w:r>
          </w:p>
        </w:tc>
        <w:tc>
          <w:tcPr>
            <w:tcW w:type="dxa" w:w="36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Use permitted ops contact for evidence only</w:t>
            </w:r>
          </w:p>
        </w:tc>
        <w:tc>
          <w:tcPr>
            <w:tcW w:type="dxa" w:w="34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Supervisor secures permission or holds</w:t>
            </w:r>
          </w:p>
        </w:tc>
      </w:tr>
      <w:tr>
        <w:trPr>
          <w:cantSplit/>
        </w:trPr>
        <w:tc>
          <w:tcPr>
            <w:tcW w:type="dxa" w:w="30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Legal term requested</w:t>
            </w:r>
          </w:p>
        </w:tc>
        <w:tc>
          <w:tcPr>
            <w:tcW w:type="dxa" w:w="36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Rep records request</w:t>
            </w:r>
          </w:p>
        </w:tc>
        <w:tc>
          <w:tcPr>
            <w:tcW w:type="dxa" w:w="34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Manager/legal route; no local commitment</w:t>
            </w:r>
          </w:p>
        </w:tc>
      </w:tr>
    </w:tbl>
    <w:p>
      <w:pPr>
        <w:pStyle w:val="Heading1"/>
      </w:pPr>
      <w:r>
        <w:t xml:space="preserve">Controls and Checklists</w:t>
      </w:r>
    </w:p>
    <w:tbl>
      <w:tblPr>
        <w:tblW w:type="dxa" w:w="10080"/>
        <w:tblBorders>
          <w:top w:val="single" w:color="B8C5C3" w:sz="4"/>
          <w:left w:val="single" w:color="B8C5C3" w:sz="4"/>
          <w:bottom w:val="single" w:color="B8C5C3" w:sz="4"/>
          <w:right w:val="single" w:color="B8C5C3" w:sz="4"/>
          <w:insideH w:val="single" w:color="B8C5C3" w:sz="4"/>
          <w:insideV w:val="single" w:color="B8C5C3" w:sz="4"/>
        </w:tblBorders>
        <w:tblLayout w:type="fixed"/>
        <w:tblCellMar>
          <w:top w:type="dxa" w:w="95"/>
          <w:left w:type="dxa" w:w="130"/>
          <w:bottom w:type="dxa" w:w="95"/>
          <w:right w:type="dxa" w:w="130"/>
        </w:tblCellMar>
      </w:tblPr>
      <w:tblGrid>
        <w:gridCol w:w="3300"/>
        <w:gridCol w:w="3500"/>
        <w:gridCol w:w="1500"/>
        <w:gridCol w:w="1780"/>
      </w:tblGrid>
      <w:tr>
        <w:trPr>
          <w:cantSplit/>
          <w:tblHeader/>
        </w:trPr>
        <w:tc>
          <w:tcPr>
            <w:tcW w:type="dxa" w:w="33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Checklist</w:t>
            </w:r>
          </w:p>
        </w:tc>
        <w:tc>
          <w:tcPr>
            <w:tcW w:type="dxa" w:w="35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Evidence Field</w:t>
            </w:r>
          </w:p>
        </w:tc>
        <w:tc>
          <w:tcPr>
            <w:tcW w:type="dxa" w:w="15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Owner</w:t>
            </w:r>
          </w:p>
        </w:tc>
        <w:tc>
          <w:tcPr>
            <w:tcW w:type="dxa" w:w="178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Complete</w:t>
            </w:r>
          </w:p>
        </w:tc>
      </w:tr>
      <w:tr>
        <w:trPr>
          <w:cantSplit/>
        </w:trPr>
        <w:tc>
          <w:tcPr>
            <w:tcW w:type="dxa" w:w="33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Pre-call readiness</w:t>
            </w:r>
          </w:p>
        </w:tc>
        <w:tc>
          <w:tcPr>
            <w:tcW w:type="dxa" w:w="35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Case, offer, contact, script, fallback route</w:t>
            </w:r>
          </w:p>
        </w:tc>
        <w:tc>
          <w:tcPr>
            <w:tcW w:type="dxa" w:w="15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Rep</w:t>
            </w:r>
          </w:p>
        </w:tc>
        <w:tc>
          <w:tcPr>
            <w:tcW w:type="dxa" w:w="17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center"/>
            </w:pPr>
            <w:r>
              <w:rPr>
                <w:b/>
                <w:bCs/>
                <w:color w:val="6F918E"/>
              </w:rPr>
              <w:t xml:space="preserve">Field</w:t>
            </w:r>
          </w:p>
        </w:tc>
      </w:tr>
      <w:tr>
        <w:trPr>
          <w:cantSplit/>
        </w:trPr>
        <w:tc>
          <w:tcPr>
            <w:tcW w:type="dxa" w:w="33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Post-call confirmation</w:t>
            </w:r>
          </w:p>
        </w:tc>
        <w:tc>
          <w:tcPr>
            <w:tcW w:type="dxa" w:w="35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Customer response, next step, due date</w:t>
            </w:r>
          </w:p>
        </w:tc>
        <w:tc>
          <w:tcPr>
            <w:tcW w:type="dxa" w:w="15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Rep</w:t>
            </w:r>
          </w:p>
        </w:tc>
        <w:tc>
          <w:tcPr>
            <w:tcW w:type="dxa" w:w="17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center"/>
            </w:pPr>
            <w:r>
              <w:rPr>
                <w:b/>
                <w:bCs/>
                <w:color w:val="6F918E"/>
              </w:rPr>
              <w:t xml:space="preserve">Field</w:t>
            </w:r>
          </w:p>
        </w:tc>
      </w:tr>
      <w:tr>
        <w:trPr>
          <w:cantSplit/>
        </w:trPr>
        <w:tc>
          <w:tcPr>
            <w:tcW w:type="dxa" w:w="33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CRM update</w:t>
            </w:r>
          </w:p>
        </w:tc>
        <w:tc>
          <w:tcPr>
            <w:tcW w:type="dxa" w:w="35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Stage, forecast category, task, note</w:t>
            </w:r>
          </w:p>
        </w:tc>
        <w:tc>
          <w:tcPr>
            <w:tcW w:type="dxa" w:w="15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Rep</w:t>
            </w:r>
          </w:p>
        </w:tc>
        <w:tc>
          <w:tcPr>
            <w:tcW w:type="dxa" w:w="17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center"/>
            </w:pPr>
            <w:r>
              <w:rPr>
                <w:b/>
                <w:bCs/>
                <w:color w:val="6F918E"/>
              </w:rPr>
              <w:t xml:space="preserve">Field</w:t>
            </w:r>
          </w:p>
        </w:tc>
      </w:tr>
      <w:tr>
        <w:trPr>
          <w:cantSplit/>
        </w:trPr>
        <w:tc>
          <w:tcPr>
            <w:tcW w:type="dxa" w:w="33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Case update</w:t>
            </w:r>
          </w:p>
        </w:tc>
        <w:tc>
          <w:tcPr>
            <w:tcW w:type="dxa" w:w="35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Status, owner, expected resolution</w:t>
            </w:r>
          </w:p>
        </w:tc>
        <w:tc>
          <w:tcPr>
            <w:tcW w:type="dxa" w:w="15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Functional owner</w:t>
            </w:r>
          </w:p>
        </w:tc>
        <w:tc>
          <w:tcPr>
            <w:tcW w:type="dxa" w:w="17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center"/>
            </w:pPr>
            <w:r>
              <w:rPr>
                <w:b/>
                <w:bCs/>
                <w:color w:val="6F918E"/>
              </w:rPr>
              <w:t xml:space="preserve">Field</w:t>
            </w:r>
          </w:p>
        </w:tc>
      </w:tr>
      <w:tr>
        <w:trPr>
          <w:cantSplit/>
        </w:trPr>
        <w:tc>
          <w:tcPr>
            <w:tcW w:type="dxa" w:w="33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Daily checkpoint</w:t>
            </w:r>
          </w:p>
        </w:tc>
        <w:tc>
          <w:tcPr>
            <w:tcW w:type="dxa" w:w="35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Completed, blocked, exception, forecast risk</w:t>
            </w:r>
          </w:p>
        </w:tc>
        <w:tc>
          <w:tcPr>
            <w:tcW w:type="dxa" w:w="15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Supervisor</w:t>
            </w:r>
          </w:p>
        </w:tc>
        <w:tc>
          <w:tcPr>
            <w:tcW w:type="dxa" w:w="17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center"/>
            </w:pPr>
            <w:r>
              <w:rPr>
                <w:b/>
                <w:bCs/>
                <w:color w:val="6F918E"/>
              </w:rPr>
              <w:t xml:space="preserve">Field</w:t>
            </w:r>
          </w:p>
        </w:tc>
      </w:tr>
    </w:tbl>
    <w:p>
      <w:pPr>
        <w:pStyle w:val="Heading1"/>
      </w:pPr>
      <w:r>
        <w:t xml:space="preserve">Handoff and Closeout</w:t>
      </w:r>
    </w:p>
    <w:p>
      <w:pPr>
        <w:pStyle w:val="Body"/>
      </w:pPr>
      <w:r>
        <w:t xml:space="preserve">The supervisor closes the sprint only after approved outreach, operational handoffs, CRM notes, case updates, and manager exception routes agree with the model and schedule. Open controlled exceptions remain active until the assigned owner confirms a route or removes the account from local recovery scope.</w:t>
      </w:r>
    </w:p>
    <w:sectPr>
      <w:headerReference w:type="default" r:id="rId6"/>
      <w:footerReference w:type="default" r:id="rId7"/>
      <w:pgSz w:w="12240" w:h="15840" w:orient="portrait"/>
      <w:pgMar w:top="1120" w:right="1080" w:bottom="108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adea">
    <w:family w:val="auto"/>
    <w:pitch w:val="variable"/>
    <w:sig w:usb0="E0002AFF" w:usb1="C000247B" w:usb2="00000009" w:usb3="00000000" w:csb0="000001FF" w:csb1="00000000"/>
    <w:embedRegular r:id="rId1" w:fontKey="{637c89d0-6075-50d7-75a7-f6dfafde8ba1}"/>
  </w:font>
  <w:font w:name="Carlito">
    <w:family w:val="auto"/>
    <w:pitch w:val="variable"/>
    <w:sig w:usb0="E0002AFF" w:usb1="C000247B" w:usb2="00000009" w:usb3="00000000" w:csb0="000001FF" w:csb1="00000000"/>
    <w:embedRegular r:id="rId2" w:fontKey="{7b85af66-0bb6-da1c-1747-685d1534921c}"/>
  </w:font>
  <w:font w:name="Liberation Mono">
    <w:family w:val="auto"/>
    <w:pitch w:val="variable"/>
    <w:sig w:usb0="E0002AFF" w:usb1="C000247B" w:usb2="00000009" w:usb3="00000000" w:csb0="000001FF" w:csb1="00000000"/>
    <w:embedRegular r:id="rId3" w:fontKey="{280dc80a-783f-236a-7a92-c94fc6a1b4d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5C3" w:sz="4" w:space="4"/>
      </w:pBdr>
      <w:tabs>
        <w:tab w:val="right" w:pos="9360"/>
      </w:tabs>
    </w:pPr>
    <w:r>
      <w:rPr>
        <w:rFonts w:ascii="Carlito" w:cs="Carlito" w:eastAsia="Carlito" w:hAnsi="Carlito"/>
        <w:color w:val="607080"/>
        <w:sz w:val="16"/>
        <w:szCs w:val="16"/>
      </w:rPr>
      <w:t xml:space="preserve">Approved frontline recovery playbook</w:t>
    </w:r>
    <w:r>
      <w:t xml:space="preserve">	</w:t>
    </w:r>
    <w:r>
      <w:rPr>
        <w:rFonts w:ascii="Carlito" w:cs="Carlito" w:eastAsia="Carlito" w:hAnsi="Carlito"/>
        <w:color w:val="607080"/>
        <w:sz w:val="16"/>
        <w:szCs w:val="16"/>
      </w:rPr>
      <w:t xml:space="preserve">Page </w:t>
    </w:r>
    <w:r>
      <w:rPr>
        <w:rFonts w:ascii="Carlito" w:cs="Carlito" w:eastAsia="Carlito" w:hAnsi="Carlito"/>
        <w:color w:val="607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F918E" w:sz="6" w:space="4"/>
      </w:pBdr>
    </w:pPr>
    <w:r>
      <w:rPr>
        <w:rFonts w:ascii="Carlito" w:cs="Carlito" w:eastAsia="Carlito" w:hAnsi="Carlito"/>
        <w:b/>
        <w:bCs/>
        <w:color w:val="6F918E"/>
        <w:sz w:val="16"/>
        <w:szCs w:val="16"/>
      </w:rPr>
      <w:t xml:space="preserve">Northstar Media Network - Recovery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color w:val="172C46"/>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Document Title"/>
    <w:basedOn w:val="Normal"/>
    <w:next w:val="Subtitle"/>
    <w:qFormat/>
    <w:pPr>
      <w:keepNext/>
      <w:spacing w:before="0" w:after="150"/>
    </w:pPr>
    <w:rPr>
      <w:rFonts w:ascii="Caladea" w:cs="Caladea" w:eastAsia="Caladea" w:hAnsi="Caladea"/>
      <w:b/>
      <w:bCs/>
      <w:color w:val="172C46"/>
      <w:sz w:val="44"/>
      <w:szCs w:val="44"/>
    </w:rPr>
  </w:style>
  <w:style w:type="paragraph" w:styleId="Subtitle">
    <w:name w:val="Document Subtitle"/>
    <w:basedOn w:val="Normal"/>
    <w:next w:val="Normal"/>
    <w:qFormat/>
    <w:pPr>
      <w:keepNext/>
      <w:spacing w:after="300"/>
    </w:pPr>
    <w:rPr>
      <w:rFonts w:ascii="Carlito" w:cs="Carlito" w:eastAsia="Carlito" w:hAnsi="Carlito"/>
      <w:color w:val="607080"/>
      <w:sz w:val="24"/>
      <w:szCs w:val="24"/>
    </w:rPr>
  </w:style>
  <w:style w:type="paragraph" w:styleId="Heading1">
    <w:name w:val="Heading 1"/>
    <w:basedOn w:val="Normal"/>
    <w:next w:val="Normal"/>
    <w:qFormat/>
    <w:pPr>
      <w:keepNext/>
      <w:pBdr>
        <w:bottom w:val="single" w:color="6F918E" w:sz="10" w:space="5"/>
      </w:pBdr>
      <w:spacing w:before="300" w:after="120"/>
      <w:outlineLvl w:val="0"/>
    </w:pPr>
    <w:rPr>
      <w:rFonts w:ascii="Caladea" w:cs="Caladea" w:eastAsia="Caladea" w:hAnsi="Caladea"/>
      <w:b/>
      <w:bCs/>
      <w:color w:val="172C46"/>
      <w:sz w:val="32"/>
      <w:szCs w:val="32"/>
    </w:rPr>
  </w:style>
  <w:style w:type="paragraph" w:styleId="Heading2">
    <w:name w:val="Heading 2"/>
    <w:basedOn w:val="Normal"/>
    <w:next w:val="Normal"/>
    <w:qFormat/>
    <w:pPr>
      <w:keepNext/>
      <w:spacing w:before="240" w:after="100"/>
      <w:outlineLvl w:val="1"/>
    </w:pPr>
    <w:rPr>
      <w:rFonts w:ascii="Caladea" w:cs="Caladea" w:eastAsia="Caladea" w:hAnsi="Caladea"/>
      <w:b/>
      <w:bCs/>
      <w:color w:val="6F918E"/>
      <w:sz w:val="27"/>
      <w:szCs w:val="27"/>
    </w:rPr>
  </w:style>
  <w:style w:type="paragraph" w:styleId="Heading3">
    <w:name w:val="Heading 3"/>
    <w:basedOn w:val="Normal"/>
    <w:next w:val="Normal"/>
    <w:qFormat/>
    <w:pPr>
      <w:keepNext/>
      <w:spacing w:before="180" w:after="80"/>
      <w:outlineLvl w:val="2"/>
    </w:pPr>
    <w:rPr>
      <w:rFonts w:ascii="Carlito" w:cs="Carlito" w:eastAsia="Carlito" w:hAnsi="Carlito"/>
      <w:b/>
      <w:bCs/>
      <w:color w:val="172C46"/>
      <w:sz w:val="23"/>
      <w:szCs w:val="23"/>
    </w:rPr>
  </w:style>
  <w:style w:type="paragraph" w:styleId="Kicker">
    <w:name w:val="Kicker"/>
    <w:basedOn w:val="Normal"/>
    <w:next w:val="Title"/>
    <w:qFormat/>
    <w:pPr>
      <w:keepNext/>
      <w:spacing w:after="90"/>
    </w:pPr>
    <w:rPr>
      <w:rFonts w:ascii="Liberation Mono" w:cs="Liberation Mono" w:eastAsia="Liberation Mono" w:hAnsi="Liberation Mono"/>
      <w:b/>
      <w:bCs/>
      <w:caps/>
      <w:color w:val="6F918E"/>
      <w:sz w:val="18"/>
      <w:szCs w:val="18"/>
    </w:rPr>
  </w:style>
  <w:style w:type="paragraph" w:styleId="Body">
    <w:name w:val="Body"/>
    <w:basedOn w:val="Normal"/>
    <w:next w:val="Body"/>
    <w:qFormat/>
    <w:pPr>
      <w:widowControl/>
      <w:spacing w:after="120" w:line="276"/>
    </w:pPr>
    <w:rPr>
      <w:rFonts w:ascii="Carlito" w:cs="Carlito" w:eastAsia="Carlito" w:hAnsi="Carlito"/>
      <w:color w:val="172C46"/>
      <w:sz w:val="21"/>
      <w:szCs w:val="21"/>
    </w:rPr>
  </w:style>
  <w:style w:type="paragraph" w:styleId="Small">
    <w:name w:val="Small Text"/>
    <w:basedOn w:val="Normal"/>
    <w:next w:val="Small"/>
    <w:pPr>
      <w:spacing w:after="80" w:line="240"/>
    </w:pPr>
    <w:rPr>
      <w:rFonts w:ascii="Liberation Mono" w:cs="Liberation Mono" w:eastAsia="Liberation Mono" w:hAnsi="Liberation Mono"/>
      <w:color w:val="607080"/>
      <w:sz w:val="18"/>
      <w:szCs w:val="18"/>
    </w:rPr>
  </w:style>
  <w:style w:type="paragraph" w:styleId="Caption">
    <w:name w:val="Figure Caption"/>
    <w:basedOn w:val="Normal"/>
    <w:next w:val="Normal"/>
    <w:qFormat/>
    <w:pPr>
      <w:keepNext/>
      <w:spacing w:before="70" w:after="150"/>
    </w:pPr>
    <w:rPr>
      <w:rFonts w:ascii="Carlito" w:cs="Carlito" w:eastAsia="Carlito" w:hAnsi="Carlito"/>
      <w:i/>
      <w:iCs/>
      <w:color w:val="607080"/>
      <w:sz w:val="18"/>
      <w:szCs w:val="18"/>
    </w:rPr>
  </w:style>
  <w:style w:type="paragraph" w:styleId="TableHeader">
    <w:name w:val="Table Header"/>
    <w:basedOn w:val="Normal"/>
    <w:next w:val="TableText"/>
    <w:pPr>
      <w:keepNext/>
      <w:spacing w:before="0" w:after="0"/>
    </w:pPr>
    <w:rPr>
      <w:rFonts w:ascii="Liberation Mono" w:cs="Liberation Mono" w:eastAsia="Liberation Mono" w:hAnsi="Liberation Mono"/>
      <w:b/>
      <w:bCs/>
      <w:color w:val="FFFFFF"/>
      <w:sz w:val="18"/>
      <w:szCs w:val="18"/>
    </w:rPr>
  </w:style>
  <w:style w:type="paragraph" w:styleId="TableText">
    <w:name w:val="Table Text"/>
    <w:basedOn w:val="Normal"/>
    <w:next w:val="TableText"/>
    <w:pPr>
      <w:widowControl/>
      <w:spacing w:before="0" w:after="0" w:line="220"/>
    </w:pPr>
    <w:rPr>
      <w:rFonts w:ascii="Carlito" w:cs="Carlito" w:eastAsia="Carlito" w:hAnsi="Carlito"/>
      <w:color w:val="172C46"/>
      <w:sz w:val="18"/>
      <w:szCs w:val="18"/>
    </w:rPr>
  </w:style>
  <w:style w:type="paragraph" w:styleId="Callout">
    <w:name w:val="Decision Callout"/>
    <w:basedOn w:val="Normal"/>
    <w:next w:val="Normal"/>
    <w:qFormat/>
    <w:pPr>
      <w:keepNext/>
      <w:pBdr>
        <w:left w:val="single" w:color="6F918E" w:sz="22" w:space="8"/>
      </w:pBdr>
      <w:shd w:fill="EEE5C2" w:val="clear"/>
      <w:spacing w:before="120" w:after="180" w:line="276"/>
      <w:ind w:left="180" w:right="120"/>
    </w:pPr>
    <w:rPr>
      <w:rFonts w:ascii="Carlito" w:cs="Carlito" w:eastAsia="Carlito" w:hAnsi="Carlito"/>
      <w:b/>
      <w:bCs/>
      <w:color w:val="172C4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Caladea.odttf"/><Relationship Id="rId2" Type="http://schemas.openxmlformats.org/officeDocument/2006/relationships/font" Target="fonts/Carlito.odttf"/><Relationship Id="rId3" Type="http://schemas.openxmlformats.org/officeDocument/2006/relationships/font" Target="fonts/Liberation Mono.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Escalated Advertiser Account Recovery Playbook</dc:title>
  <dc:subject>Approved operating workflow for frontline recovery execution</dc:subject>
  <dc:creator>Northstar Media Network Sales Desk</dc:creator>
  <cp:keywords>advertising sales, recovery playbook, account escalation, renewal</cp:keywords>
  <dc:description>Procedure, RACI, account recovery plans, controls, and handoff requirements for the July 2026 recovery sprint.</dc:description>
  <cp:lastModifiedBy>Northstar Media Network Sales Desk</cp:lastModifiedBy>
  <cp:revision>1</cp:revision>
  <dcterms:created xsi:type="dcterms:W3CDTF">2026-07-17T03:31:49.665Z</dcterms:created>
  <dcterms:modified xsi:type="dcterms:W3CDTF">2026-07-17T03:31:49.665Z</dcterms:modified>
</cp:coreProperties>
</file>

<file path=docProps/custom.xml><?xml version="1.0" encoding="utf-8"?>
<Properties xmlns="http://schemas.openxmlformats.org/officeDocument/2006/custom-properties" xmlns:vt="http://schemas.openxmlformats.org/officeDocument/2006/docPropsVTypes"/>
</file>