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t xml:space="preserve">Manager Risk Brief</w:t>
      </w:r>
    </w:p>
    <w:p>
      <w:pPr>
        <w:pStyle w:val="Title"/>
      </w:pPr>
      <w:r>
        <w:t xml:space="preserve">Approved Recovery Sprint Risk Brief</w:t>
      </w:r>
    </w:p>
    <w:p>
      <w:pPr>
        <w:pStyle w:val="Subtitle"/>
      </w:pPr>
      <w:r>
        <w:t xml:space="preserve">Escalated advertiser renewal portfolio, July 2026</w:t>
      </w:r>
    </w:p>
    <w:p>
      <w:pPr>
        <w:pBdr>
          <w:bottom w:val="single" w:color="6F918E" w:sz="18" w:space="1"/>
        </w:pBdr>
        <w:spacing w:after="260"/>
      </w:pPr>
    </w:p>
    <w:sdt>
      <w:sdtPr>
        <w:alias w:val="Contents"/>
      </w:sdtPr>
      <w:sdtContent>
        <w:p>
          <w:r>
            <w:fldChar w:fldCharType="begin" w:dirty="true"/>
            <w:instrText xml:space="preserve">TOC \h \o "1-2"</w:instrText>
            <w:fldChar w:fldCharType="separate"/>
          </w:r>
        </w:p>
        <w:p>
          <w:r>
            <w:fldChar w:fldCharType="end"/>
          </w:r>
        </w:p>
      </w:sdtContent>
    </w:sdt>
    <w:p>
      <w:pPr>
        <w:pStyle w:val="Heading1"/>
      </w:pPr>
      <w:r>
        <w:t xml:space="preserve">Decision Header</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95"/>
          <w:left w:type="dxa" w:w="130"/>
          <w:bottom w:type="dxa" w:w="95"/>
          <w:right w:type="dxa" w:w="130"/>
        </w:tblCellMar>
      </w:tblPr>
      <w:tblGrid>
        <w:gridCol w:w="2800"/>
        <w:gridCol w:w="7280"/>
      </w:tblGrid>
      <w:tr>
        <w:trPr>
          <w:cantSplit/>
          <w:tblHeader/>
        </w:trPr>
        <w:tc>
          <w:tcPr>
            <w:tcW w:type="dxa" w:w="28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Field</w:t>
            </w:r>
          </w:p>
        </w:tc>
        <w:tc>
          <w:tcPr>
            <w:tcW w:type="dxa" w:w="728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Approved Decision Record</w:t>
            </w:r>
          </w:p>
        </w:tc>
      </w:tr>
      <w:tr>
        <w:trPr>
          <w:cantSplit/>
        </w:trPr>
        <w:tc>
          <w:tcPr>
            <w:tcW w:type="dxa" w:w="28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Decision</w:t>
            </w:r>
          </w:p>
        </w:tc>
        <w:tc>
          <w:tcPr>
            <w:tcW w:type="dxa" w:w="72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Execute a value-and-risk prioritized recovery sprint for locally approved escalated advertiser accounts.</w:t>
            </w:r>
          </w:p>
        </w:tc>
      </w:tr>
      <w:tr>
        <w:trPr>
          <w:cantSplit/>
        </w:trPr>
        <w:tc>
          <w:tcPr>
            <w:tcW w:type="dxa" w:w="28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Approver</w:t>
            </w:r>
          </w:p>
        </w:tc>
        <w:tc>
          <w:tcPr>
            <w:tcW w:type="dxa" w:w="72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Elena Whitaker, Director of Regional Sales, approved 2026-07-15.</w:t>
            </w:r>
          </w:p>
        </w:tc>
      </w:tr>
      <w:tr>
        <w:trPr>
          <w:cantSplit/>
        </w:trPr>
        <w:tc>
          <w:tcPr>
            <w:tcW w:type="dxa" w:w="28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Scope</w:t>
            </w:r>
          </w:p>
        </w:tc>
        <w:tc>
          <w:tcPr>
            <w:tcW w:type="dxa" w:w="72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18-account portfolio; 12 approved for local execution; 4 controlled exceptions; 2 excluded or hold records.</w:t>
            </w:r>
          </w:p>
        </w:tc>
      </w:tr>
      <w:tr>
        <w:trPr>
          <w:cantSplit/>
        </w:trPr>
        <w:tc>
          <w:tcPr>
            <w:tcW w:type="dxa" w:w="28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Execution window</w:t>
            </w:r>
          </w:p>
        </w:tc>
        <w:tc>
          <w:tcPr>
            <w:tcW w:type="dxa" w:w="72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2026-07-17 through 2026-07-24 with daily 16:00 Eastern checkpoints.</w:t>
            </w:r>
          </w:p>
        </w:tc>
      </w:tr>
      <w:tr>
        <w:trPr>
          <w:cantSplit/>
        </w:trPr>
        <w:tc>
          <w:tcPr>
            <w:tcW w:type="dxa" w:w="28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Lifecycle state</w:t>
            </w:r>
          </w:p>
        </w:tc>
        <w:tc>
          <w:tcPr>
            <w:tcW w:type="dxa" w:w="72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Approved executable record; unsupported items stay controlled exceptions.</w:t>
            </w:r>
          </w:p>
        </w:tc>
      </w:tr>
    </w:tbl>
    <w:p>
      <w:pPr>
        <w:pStyle w:val="Heading1"/>
      </w:pPr>
      <w:r>
        <w:t xml:space="preserve">Executive Summary</w:t>
      </w:r>
    </w:p>
    <w:p>
      <w:pPr>
        <w:pStyle w:val="Body"/>
      </w:pPr>
      <w:r>
        <w:t xml:space="preserve">The recommended sprint prioritizes the locally executable accounts with the strongest combination of renewal exposure, operational recovery risk, urgent renewal timing, and ready customer contact paths. The package protects local authority by routing over-limit, legal, contact-permission, and unresolved blocker issues as controlled exceptions rather than implied commitments.</w:t>
      </w:r>
    </w:p>
    <w:p>
      <w:pPr>
        <w:pStyle w:val="Callout"/>
      </w:pPr>
      <w:r>
        <w:t xml:space="preserve">The approved local sprint covers $2,612,000 of renewal exposure; the full 18-account portfolio carries $4,064,000 in exposure and a current Q3 forecast variance of ($557,000) versus the 2025 baseline.</w:t>
      </w:r>
    </w:p>
    <w:p>
      <w:pPr>
        <w:pStyle w:val="Heading1"/>
      </w:pPr>
      <w:r>
        <w:t xml:space="preserve">Portfolio Evidence</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95"/>
          <w:left w:type="dxa" w:w="130"/>
          <w:bottom w:type="dxa" w:w="95"/>
          <w:right w:type="dxa" w:w="130"/>
        </w:tblCellMar>
      </w:tblPr>
      <w:tblGrid>
        <w:gridCol w:w="3200"/>
        <w:gridCol w:w="1800"/>
        <w:gridCol w:w="5080"/>
      </w:tblGrid>
      <w:tr>
        <w:trPr>
          <w:cantSplit/>
          <w:tblHeader/>
        </w:trPr>
        <w:tc>
          <w:tcPr>
            <w:tcW w:type="dxa" w:w="32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Metric</w:t>
            </w:r>
          </w:p>
        </w:tc>
        <w:tc>
          <w:tcPr>
            <w:tcW w:type="dxa" w:w="18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Value</w:t>
            </w:r>
          </w:p>
        </w:tc>
        <w:tc>
          <w:tcPr>
            <w:tcW w:type="dxa" w:w="508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Evidence Basis</w:t>
            </w:r>
          </w:p>
        </w:tc>
      </w:tr>
      <w:tr>
        <w:trPr>
          <w:cantSplit/>
        </w:trPr>
        <w:tc>
          <w:tcPr>
            <w:tcW w:type="dxa" w:w="32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Total portfolio exposure</w:t>
            </w:r>
          </w:p>
        </w:tc>
        <w:tc>
          <w:tcPr>
            <w:tcW w:type="dxa" w:w="18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right"/>
            </w:pPr>
            <w:r>
              <w:rPr>
                <w:b w:val="false"/>
                <w:bCs w:val="false"/>
                <w:color w:val="172C46"/>
              </w:rPr>
              <w:t xml:space="preserve">$4,064,000</w:t>
            </w:r>
          </w:p>
        </w:tc>
        <w:tc>
          <w:tcPr>
            <w:tcW w:type="dxa" w:w="50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18 CRM accounts</w:t>
            </w:r>
          </w:p>
        </w:tc>
      </w:tr>
      <w:tr>
        <w:trPr>
          <w:cantSplit/>
        </w:trPr>
        <w:tc>
          <w:tcPr>
            <w:tcW w:type="dxa" w:w="32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Approved executable exposure</w:t>
            </w:r>
          </w:p>
        </w:tc>
        <w:tc>
          <w:tcPr>
            <w:tcW w:type="dxa" w:w="18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right"/>
            </w:pPr>
            <w:r>
              <w:rPr>
                <w:b w:val="false"/>
                <w:bCs w:val="false"/>
                <w:color w:val="172C46"/>
              </w:rPr>
              <w:t xml:space="preserve">$2,612,000</w:t>
            </w:r>
          </w:p>
        </w:tc>
        <w:tc>
          <w:tcPr>
            <w:tcW w:type="dxa" w:w="50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12 approved execution accounts</w:t>
            </w:r>
          </w:p>
        </w:tc>
      </w:tr>
      <w:tr>
        <w:trPr>
          <w:cantSplit/>
        </w:trPr>
        <w:tc>
          <w:tcPr>
            <w:tcW w:type="dxa" w:w="32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Controlled exception exposure</w:t>
            </w:r>
          </w:p>
        </w:tc>
        <w:tc>
          <w:tcPr>
            <w:tcW w:type="dxa" w:w="18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right"/>
            </w:pPr>
            <w:r>
              <w:rPr>
                <w:b w:val="false"/>
                <w:bCs w:val="false"/>
                <w:color w:val="172C46"/>
              </w:rPr>
              <w:t xml:space="preserve">$1,255,000</w:t>
            </w:r>
          </w:p>
        </w:tc>
        <w:tc>
          <w:tcPr>
            <w:tcW w:type="dxa" w:w="50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4 accounts</w:t>
            </w:r>
          </w:p>
        </w:tc>
      </w:tr>
      <w:tr>
        <w:trPr>
          <w:cantSplit/>
        </w:trPr>
        <w:tc>
          <w:tcPr>
            <w:tcW w:type="dxa" w:w="32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Q3 forecast variance</w:t>
            </w:r>
          </w:p>
        </w:tc>
        <w:tc>
          <w:tcPr>
            <w:tcW w:type="dxa" w:w="18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right"/>
            </w:pPr>
            <w:r>
              <w:rPr>
                <w:b w:val="false"/>
                <w:bCs w:val="false"/>
                <w:color w:val="172C46"/>
              </w:rPr>
              <w:t xml:space="preserve">($557,000)</w:t>
            </w:r>
          </w:p>
        </w:tc>
        <w:tc>
          <w:tcPr>
            <w:tcW w:type="dxa" w:w="50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Current forecast minus 2025 Q3 baseline</w:t>
            </w:r>
          </w:p>
        </w:tc>
      </w:tr>
    </w:tbl>
    <w:p>
      <w:r>
        <w:br w:type="page"/>
      </w:r>
    </w:p>
    <w:p>
      <w:pPr>
        <w:pStyle w:val="Heading2"/>
      </w:pPr>
      <w:r>
        <w:t xml:space="preserve">Portfolio Matrix</w:t>
      </w:r>
    </w:p>
    <w:p>
      <w:pPr>
        <w:pStyle w:val="Body"/>
      </w:pPr>
      <w:r>
        <w:t xml:space="preserve">The portfolio matrix plots renewal exposure against operational recovery risk so the manager can see why the sprint focuses on high-value, high-risk accounts while preserving manager-route exceptions.</w:t>
      </w:r>
    </w:p>
    <w:p>
      <w:pPr>
        <w:spacing w:before="120" w:after="70" w:line="4200" w:lineRule="atLeast"/>
        <w:jc w:val="center"/>
      </w:pPr>
      <w:r>
        <w:drawing>
          <wp:inline distT="0" distB="0" distL="0" distR="0">
            <wp:extent cx="4572000" cy="2571750"/>
            <wp:effectExtent t="0" r="0" b="0" l="0"/>
            <wp:docPr id="1" name="Portfolio matrix" descr="Scatter plot comparing renewal exposure and recovery risk by priority route." title="Portfolio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71750"/>
                    </a:xfrm>
                    <a:prstGeom prst="rect">
                      <a:avLst/>
                    </a:prstGeom>
                  </pic:spPr>
                </pic:pic>
              </a:graphicData>
            </a:graphic>
          </wp:inline>
        </w:drawing>
      </w:r>
    </w:p>
    <w:p>
      <w:pPr>
        <w:pStyle w:val="Caption"/>
        <w:jc w:val="center"/>
      </w:pPr>
      <w:r>
        <w:t xml:space="preserve">Figure 1. Renewal exposure and operational recovery risk by approved priority route.</w:t>
      </w:r>
    </w:p>
    <w:p>
      <w:pPr>
        <w:pStyle w:val="Small"/>
        <w:jc w:val="center"/>
      </w:pPr>
      <w:r>
        <w:t xml:space="preserve">Source: account_prioritization_model.xlsx Dashboard, using CRM, order, case, contact, activity, offer, and approval evidence.</w:t>
      </w:r>
    </w:p>
    <w:p>
      <w:pPr>
        <w:pStyle w:val="Heading1"/>
      </w:pPr>
      <w:r>
        <w:t xml:space="preserve">Alternatives Considered</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95"/>
          <w:left w:type="dxa" w:w="130"/>
          <w:bottom w:type="dxa" w:w="95"/>
          <w:right w:type="dxa" w:w="130"/>
        </w:tblCellMar>
      </w:tblPr>
      <w:tblGrid>
        <w:gridCol w:w="2450"/>
        <w:gridCol w:w="3350"/>
        <w:gridCol w:w="3000"/>
        <w:gridCol w:w="1280"/>
      </w:tblGrid>
      <w:tr>
        <w:trPr>
          <w:cantSplit/>
          <w:tblHeader/>
        </w:trPr>
        <w:tc>
          <w:tcPr>
            <w:tcW w:type="dxa" w:w="245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Option</w:t>
            </w:r>
          </w:p>
        </w:tc>
        <w:tc>
          <w:tcPr>
            <w:tcW w:type="dxa" w:w="335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Benefit</w:t>
            </w:r>
          </w:p>
        </w:tc>
        <w:tc>
          <w:tcPr>
            <w:tcW w:type="dxa" w:w="30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Risk</w:t>
            </w:r>
          </w:p>
        </w:tc>
        <w:tc>
          <w:tcPr>
            <w:tcW w:type="dxa" w:w="128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Decision</w:t>
            </w:r>
          </w:p>
        </w:tc>
      </w:tr>
      <w:tr>
        <w:trPr>
          <w:cantSplit/>
        </w:trPr>
        <w:tc>
          <w:tcPr>
            <w:tcW w:type="dxa" w:w="245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Value-and-risk priority sprint</w:t>
            </w:r>
          </w:p>
        </w:tc>
        <w:tc>
          <w:tcPr>
            <w:tcW w:type="dxa" w:w="335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Focuses 12 executable accounts with $2,612,000 exposure while preserving controls.</w:t>
            </w:r>
          </w:p>
        </w:tc>
        <w:tc>
          <w:tcPr>
            <w:tcW w:type="dxa" w:w="30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Requires tight owner capacity checks.</w:t>
            </w:r>
          </w:p>
        </w:tc>
        <w:tc>
          <w:tcPr>
            <w:tcW w:type="dxa" w:w="12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center"/>
            </w:pPr>
            <w:r>
              <w:rPr>
                <w:b/>
                <w:bCs/>
                <w:color w:val="6F918E"/>
              </w:rPr>
              <w:t xml:space="preserve">Approved</w:t>
            </w:r>
          </w:p>
        </w:tc>
      </w:tr>
      <w:tr>
        <w:trPr>
          <w:cantSplit/>
        </w:trPr>
        <w:tc>
          <w:tcPr>
            <w:tcW w:type="dxa" w:w="245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Equal coverage by rep</w:t>
            </w:r>
          </w:p>
        </w:tc>
        <w:tc>
          <w:tcPr>
            <w:tcW w:type="dxa" w:w="335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Simple to assign and explain.</w:t>
            </w:r>
          </w:p>
        </w:tc>
        <w:tc>
          <w:tcPr>
            <w:tcW w:type="dxa" w:w="30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Delays high-risk accounts such as Axion Robotics and Meridian Health Partners.</w:t>
            </w:r>
          </w:p>
        </w:tc>
        <w:tc>
          <w:tcPr>
            <w:tcW w:type="dxa" w:w="12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center"/>
            </w:pPr>
            <w:r>
              <w:rPr>
                <w:b/>
                <w:bCs/>
                <w:color w:val="6F918E"/>
              </w:rPr>
              <w:t xml:space="preserve">Rejected</w:t>
            </w:r>
          </w:p>
        </w:tc>
      </w:tr>
      <w:tr>
        <w:trPr>
          <w:cantSplit/>
        </w:trPr>
        <w:tc>
          <w:tcPr>
            <w:tcW w:type="dxa" w:w="245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Manager-only escalation queue</w:t>
            </w:r>
          </w:p>
        </w:tc>
        <w:tc>
          <w:tcPr>
            <w:tcW w:type="dxa" w:w="335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Reduces local commercial risk.</w:t>
            </w:r>
          </w:p>
        </w:tc>
        <w:tc>
          <w:tcPr>
            <w:tcW w:type="dxa" w:w="30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Creates avoidable delay for accounts already within authority.</w:t>
            </w:r>
          </w:p>
        </w:tc>
        <w:tc>
          <w:tcPr>
            <w:tcW w:type="dxa" w:w="12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center"/>
            </w:pPr>
            <w:r>
              <w:rPr>
                <w:b/>
                <w:bCs/>
                <w:color w:val="6F918E"/>
              </w:rPr>
              <w:t xml:space="preserve">Rejected</w:t>
            </w:r>
          </w:p>
        </w:tc>
      </w:tr>
    </w:tbl>
    <w:p>
      <w:pPr>
        <w:pStyle w:val="Heading1"/>
      </w:pPr>
      <w:r>
        <w:t xml:space="preserve">Approved Actions</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65"/>
          <w:left w:type="dxa" w:w="95"/>
          <w:bottom w:type="dxa" w:w="65"/>
          <w:right w:type="dxa" w:w="95"/>
        </w:tblCellMar>
      </w:tblPr>
      <w:tblGrid>
        <w:gridCol w:w="1550"/>
        <w:gridCol w:w="2600"/>
        <w:gridCol w:w="3300"/>
        <w:gridCol w:w="1200"/>
        <w:gridCol w:w="1430"/>
      </w:tblGrid>
      <w:tr>
        <w:trPr>
          <w:cantSplit/>
          <w:tblHeader/>
        </w:trPr>
        <w:tc>
          <w:tcPr>
            <w:tcW w:type="dxa" w:w="155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Owner</w:t>
            </w:r>
          </w:p>
        </w:tc>
        <w:tc>
          <w:tcPr>
            <w:tcW w:type="dxa" w:w="260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Account</w:t>
            </w:r>
          </w:p>
        </w:tc>
        <w:tc>
          <w:tcPr>
            <w:tcW w:type="dxa" w:w="330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Approved Action</w:t>
            </w:r>
          </w:p>
        </w:tc>
        <w:tc>
          <w:tcPr>
            <w:tcW w:type="dxa" w:w="120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Due</w:t>
            </w:r>
          </w:p>
        </w:tc>
        <w:tc>
          <w:tcPr>
            <w:tcW w:type="dxa" w:w="143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Dependency</w:t>
            </w:r>
          </w:p>
        </w:tc>
      </w:tr>
      <w:tr>
        <w:trPr>
          <w:cantSplit/>
        </w:trPr>
        <w:tc>
          <w:tcPr>
            <w:tcW w:type="dxa" w:w="15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Devon Brooks</w:t>
            </w:r>
          </w:p>
        </w:tc>
        <w:tc>
          <w:tcPr>
            <w:tcW w:type="dxa" w:w="26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A-1005 Axion Robotics</w:t>
            </w:r>
          </w:p>
        </w:tc>
        <w:tc>
          <w:tcPr>
            <w:tcW w:type="dxa" w:w="3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Swap misaligned audience package and reset delivery proof</w:t>
            </w:r>
          </w:p>
        </w:tc>
        <w:tc>
          <w:tcPr>
            <w:tcW w:type="dxa" w:w="12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bCs/>
                <w:color w:val="6F918E"/>
              </w:rPr>
              <w:t xml:space="preserve">2026-07-20</w:t>
            </w:r>
          </w:p>
        </w:tc>
        <w:tc>
          <w:tcPr>
            <w:tcW w:type="dxa" w:w="143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Audience Mismatch</w:t>
            </w:r>
          </w:p>
        </w:tc>
      </w:tr>
      <w:tr>
        <w:trPr>
          <w:cantSplit/>
        </w:trPr>
        <w:tc>
          <w:tcPr>
            <w:tcW w:type="dxa" w:w="15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Maya Chen</w:t>
            </w:r>
          </w:p>
        </w:tc>
        <w:tc>
          <w:tcPr>
            <w:tcW w:type="dxa" w:w="26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A-1001 Meridian Health Partners</w:t>
            </w:r>
          </w:p>
        </w:tc>
        <w:tc>
          <w:tcPr>
            <w:tcW w:type="dxa" w:w="3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Confirm makegood inventory and delivery recovery plan</w:t>
            </w:r>
          </w:p>
        </w:tc>
        <w:tc>
          <w:tcPr>
            <w:tcW w:type="dxa" w:w="12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bCs/>
                <w:color w:val="6F918E"/>
              </w:rPr>
              <w:t xml:space="preserve">2026-07-20</w:t>
            </w:r>
          </w:p>
        </w:tc>
        <w:tc>
          <w:tcPr>
            <w:tcW w:type="dxa" w:w="143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Delivery Underpacing</w:t>
            </w:r>
          </w:p>
        </w:tc>
      </w:tr>
      <w:tr>
        <w:trPr>
          <w:cantSplit/>
        </w:trPr>
        <w:tc>
          <w:tcPr>
            <w:tcW w:type="dxa" w:w="15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Jordan Patel</w:t>
            </w:r>
          </w:p>
        </w:tc>
        <w:tc>
          <w:tcPr>
            <w:tcW w:type="dxa" w:w="26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A-1012 Vesta Apparel Collective</w:t>
            </w:r>
          </w:p>
        </w:tc>
        <w:tc>
          <w:tcPr>
            <w:tcW w:type="dxa" w:w="3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Confirm makegood placement and invoice correction route</w:t>
            </w:r>
          </w:p>
        </w:tc>
        <w:tc>
          <w:tcPr>
            <w:tcW w:type="dxa" w:w="12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bCs/>
                <w:color w:val="6F918E"/>
              </w:rPr>
              <w:t xml:space="preserve">2026-07-22</w:t>
            </w:r>
          </w:p>
        </w:tc>
        <w:tc>
          <w:tcPr>
            <w:tcW w:type="dxa" w:w="143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Delivery Underpacing</w:t>
            </w:r>
          </w:p>
        </w:tc>
      </w:tr>
      <w:tr>
        <w:trPr>
          <w:cantSplit/>
        </w:trPr>
        <w:tc>
          <w:tcPr>
            <w:tcW w:type="dxa" w:w="15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Jordan Patel</w:t>
            </w:r>
          </w:p>
        </w:tc>
        <w:tc>
          <w:tcPr>
            <w:tcW w:type="dxa" w:w="26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A-1007 Northline Insurance</w:t>
            </w:r>
          </w:p>
        </w:tc>
        <w:tc>
          <w:tcPr>
            <w:tcW w:type="dxa" w:w="3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Confirm makegood placement and revised delivery dates</w:t>
            </w:r>
          </w:p>
        </w:tc>
        <w:tc>
          <w:tcPr>
            <w:tcW w:type="dxa" w:w="12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bCs/>
                <w:color w:val="6F918E"/>
              </w:rPr>
              <w:t xml:space="preserve">2026-07-22</w:t>
            </w:r>
          </w:p>
        </w:tc>
        <w:tc>
          <w:tcPr>
            <w:tcW w:type="dxa" w:w="143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Delivery Underpacing</w:t>
            </w:r>
          </w:p>
        </w:tc>
      </w:tr>
      <w:tr>
        <w:trPr>
          <w:cantSplit/>
        </w:trPr>
        <w:tc>
          <w:tcPr>
            <w:tcW w:type="dxa" w:w="15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Priya Nair</w:t>
            </w:r>
          </w:p>
        </w:tc>
        <w:tc>
          <w:tcPr>
            <w:tcW w:type="dxa" w:w="26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A-1003 Cobalt Cloud Systems</w:t>
            </w:r>
          </w:p>
        </w:tc>
        <w:tc>
          <w:tcPr>
            <w:tcW w:type="dxa" w:w="3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Confirm verified billing credit and renewal rate hold</w:t>
            </w:r>
          </w:p>
        </w:tc>
        <w:tc>
          <w:tcPr>
            <w:tcW w:type="dxa" w:w="12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bCs/>
                <w:color w:val="6F918E"/>
              </w:rPr>
              <w:t xml:space="preserve">2026-07-22</w:t>
            </w:r>
          </w:p>
        </w:tc>
        <w:tc>
          <w:tcPr>
            <w:tcW w:type="dxa" w:w="143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Billing Error</w:t>
            </w:r>
          </w:p>
        </w:tc>
      </w:tr>
      <w:tr>
        <w:trPr>
          <w:cantSplit/>
        </w:trPr>
        <w:tc>
          <w:tcPr>
            <w:tcW w:type="dxa" w:w="15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left"/>
            </w:pPr>
            <w:r>
              <w:rPr>
                <w:b w:val="false"/>
                <w:bCs w:val="false"/>
                <w:color w:val="172C46"/>
              </w:rPr>
              <w:t xml:space="preserve">Luis Romero</w:t>
            </w:r>
          </w:p>
        </w:tc>
        <w:tc>
          <w:tcPr>
            <w:tcW w:type="dxa" w:w="26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left"/>
            </w:pPr>
            <w:r>
              <w:rPr>
                <w:b w:val="false"/>
                <w:bCs w:val="false"/>
                <w:color w:val="172C46"/>
              </w:rPr>
              <w:t xml:space="preserve">A-1009 Copper Trail Hospitality</w:t>
            </w:r>
          </w:p>
        </w:tc>
        <w:tc>
          <w:tcPr>
            <w:tcW w:type="dxa" w:w="3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left"/>
            </w:pPr>
            <w:r>
              <w:rPr>
                <w:b w:val="false"/>
                <w:bCs w:val="false"/>
                <w:color w:val="172C46"/>
              </w:rPr>
              <w:t xml:space="preserve">Confirm package swap and creative approval timeline</w:t>
            </w:r>
          </w:p>
        </w:tc>
        <w:tc>
          <w:tcPr>
            <w:tcW w:type="dxa" w:w="12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center"/>
            </w:pPr>
            <w:r>
              <w:rPr>
                <w:b/>
                <w:bCs/>
                <w:color w:val="6F918E"/>
              </w:rPr>
              <w:t xml:space="preserve">2026-07-22</w:t>
            </w:r>
          </w:p>
        </w:tc>
        <w:tc>
          <w:tcPr>
            <w:tcW w:type="dxa" w:w="143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left"/>
            </w:pPr>
            <w:r>
              <w:rPr>
                <w:b w:val="false"/>
                <w:bCs w:val="false"/>
                <w:color w:val="172C46"/>
              </w:rPr>
              <w:t xml:space="preserve">Creative Trafficking</w:t>
            </w:r>
          </w:p>
        </w:tc>
      </w:tr>
    </w:tbl>
    <w:p>
      <w:pPr>
        <w:pStyle w:val="Heading1"/>
      </w:pPr>
      <w:r>
        <w:t xml:space="preserve">Open Controlled Exceptions</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95"/>
          <w:left w:type="dxa" w:w="130"/>
          <w:bottom w:type="dxa" w:w="95"/>
          <w:right w:type="dxa" w:w="130"/>
        </w:tblCellMar>
      </w:tblPr>
      <w:tblGrid>
        <w:gridCol w:w="2600"/>
        <w:gridCol w:w="1400"/>
        <w:gridCol w:w="3000"/>
        <w:gridCol w:w="3080"/>
      </w:tblGrid>
      <w:tr>
        <w:trPr>
          <w:cantSplit/>
          <w:tblHeader/>
        </w:trPr>
        <w:tc>
          <w:tcPr>
            <w:tcW w:type="dxa" w:w="26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Account</w:t>
            </w:r>
          </w:p>
        </w:tc>
        <w:tc>
          <w:tcPr>
            <w:tcW w:type="dxa" w:w="14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Exposure</w:t>
            </w:r>
          </w:p>
        </w:tc>
        <w:tc>
          <w:tcPr>
            <w:tcW w:type="dxa" w:w="30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Reason</w:t>
            </w:r>
          </w:p>
        </w:tc>
        <w:tc>
          <w:tcPr>
            <w:tcW w:type="dxa" w:w="308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Route</w:t>
            </w:r>
          </w:p>
        </w:tc>
      </w:tr>
      <w:tr>
        <w:trPr>
          <w:cantSplit/>
        </w:trPr>
        <w:tc>
          <w:tcPr>
            <w:tcW w:type="dxa" w:w="26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A-1013 BrightPath Dental Alliance</w:t>
            </w:r>
          </w:p>
        </w:tc>
        <w:tc>
          <w:tcPr>
            <w:tcW w:type="dxa" w:w="14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right"/>
            </w:pPr>
            <w:r>
              <w:rPr>
                <w:b w:val="false"/>
                <w:bCs w:val="false"/>
                <w:color w:val="172C46"/>
              </w:rPr>
              <w:t xml:space="preserve">$165,000</w:t>
            </w:r>
          </w:p>
        </w:tc>
        <w:tc>
          <w:tcPr>
            <w:tcW w:type="dxa" w:w="30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Decision-maker outreach permission pending</w:t>
            </w:r>
          </w:p>
        </w:tc>
        <w:tc>
          <w:tcPr>
            <w:tcW w:type="dxa" w:w="30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Hold customer-facing offer until decision-maker route is approved</w:t>
            </w:r>
          </w:p>
        </w:tc>
      </w:tr>
      <w:tr>
        <w:trPr>
          <w:cantSplit/>
        </w:trPr>
        <w:tc>
          <w:tcPr>
            <w:tcW w:type="dxa" w:w="26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A-1014 SummitBank SMB Services</w:t>
            </w:r>
          </w:p>
        </w:tc>
        <w:tc>
          <w:tcPr>
            <w:tcW w:type="dxa" w:w="14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right"/>
            </w:pPr>
            <w:r>
              <w:rPr>
                <w:b w:val="false"/>
                <w:bCs w:val="false"/>
                <w:color w:val="172C46"/>
              </w:rPr>
              <w:t xml:space="preserve">$360,000</w:t>
            </w:r>
          </w:p>
        </w:tc>
        <w:tc>
          <w:tcPr>
            <w:tcW w:type="dxa" w:w="30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Requested credit is above supervisor authority</w:t>
            </w:r>
          </w:p>
        </w:tc>
        <w:tc>
          <w:tcPr>
            <w:tcW w:type="dxa" w:w="30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Route credit request to manager; do not promise local credit</w:t>
            </w:r>
          </w:p>
        </w:tc>
      </w:tr>
      <w:tr>
        <w:trPr>
          <w:cantSplit/>
        </w:trPr>
        <w:tc>
          <w:tcPr>
            <w:tcW w:type="dxa" w:w="26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A-1015 Mesa Tool Supply</w:t>
            </w:r>
          </w:p>
        </w:tc>
        <w:tc>
          <w:tcPr>
            <w:tcW w:type="dxa" w:w="14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right"/>
            </w:pPr>
            <w:r>
              <w:rPr>
                <w:b w:val="false"/>
                <w:bCs w:val="false"/>
                <w:color w:val="172C46"/>
              </w:rPr>
              <w:t xml:space="preserve">$210,000</w:t>
            </w:r>
          </w:p>
        </w:tc>
        <w:tc>
          <w:tcPr>
            <w:tcW w:type="dxa" w:w="30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Ad-ops blocker not cleared</w:t>
            </w:r>
          </w:p>
        </w:tc>
        <w:tc>
          <w:tcPr>
            <w:tcW w:type="dxa" w:w="30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Wait for product feed fix before customer offer</w:t>
            </w:r>
          </w:p>
        </w:tc>
      </w:tr>
      <w:tr>
        <w:trPr>
          <w:cantSplit/>
        </w:trPr>
        <w:tc>
          <w:tcPr>
            <w:tcW w:type="dxa" w:w="26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A-1017 Atlas BioLabs</w:t>
            </w:r>
          </w:p>
        </w:tc>
        <w:tc>
          <w:tcPr>
            <w:tcW w:type="dxa" w:w="14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right"/>
            </w:pPr>
            <w:r>
              <w:rPr>
                <w:b w:val="false"/>
                <w:bCs w:val="false"/>
                <w:color w:val="172C46"/>
              </w:rPr>
              <w:t xml:space="preserve">$520,000</w:t>
            </w:r>
          </w:p>
        </w:tc>
        <w:tc>
          <w:tcPr>
            <w:tcW w:type="dxa" w:w="30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Contract terms outside local authority</w:t>
            </w:r>
          </w:p>
        </w:tc>
        <w:tc>
          <w:tcPr>
            <w:tcW w:type="dxa" w:w="30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Escalate to manager and legal owner; no rep commitment</w:t>
            </w:r>
          </w:p>
        </w:tc>
      </w:tr>
    </w:tbl>
    <w:p>
      <w:pPr>
        <w:pStyle w:val="Heading1"/>
      </w:pPr>
      <w:r>
        <w:t xml:space="preserve">Risk Register</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95"/>
          <w:left w:type="dxa" w:w="130"/>
          <w:bottom w:type="dxa" w:w="95"/>
          <w:right w:type="dxa" w:w="130"/>
        </w:tblCellMar>
      </w:tblPr>
      <w:tblGrid>
        <w:gridCol w:w="2800"/>
        <w:gridCol w:w="3980"/>
        <w:gridCol w:w="1700"/>
        <w:gridCol w:w="1600"/>
      </w:tblGrid>
      <w:tr>
        <w:trPr>
          <w:cantSplit/>
          <w:tblHeader/>
        </w:trPr>
        <w:tc>
          <w:tcPr>
            <w:tcW w:type="dxa" w:w="28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Risk</w:t>
            </w:r>
          </w:p>
        </w:tc>
        <w:tc>
          <w:tcPr>
            <w:tcW w:type="dxa" w:w="398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Control</w:t>
            </w:r>
          </w:p>
        </w:tc>
        <w:tc>
          <w:tcPr>
            <w:tcW w:type="dxa" w:w="17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Owner</w:t>
            </w:r>
          </w:p>
        </w:tc>
        <w:tc>
          <w:tcPr>
            <w:tcW w:type="dxa" w:w="16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Checkpoint</w:t>
            </w:r>
          </w:p>
        </w:tc>
      </w:tr>
      <w:tr>
        <w:trPr>
          <w:cantSplit/>
        </w:trPr>
        <w:tc>
          <w:tcPr>
            <w:tcW w:type="dxa" w:w="28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Commercial overreach</w:t>
            </w:r>
          </w:p>
        </w:tc>
        <w:tc>
          <w:tcPr>
            <w:tcW w:type="dxa" w:w="39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Offer compliance check and MGR-REQ route for over-limit items.</w:t>
            </w:r>
          </w:p>
        </w:tc>
        <w:tc>
          <w:tcPr>
            <w:tcW w:type="dxa" w:w="17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Supervisor</w:t>
            </w:r>
          </w:p>
        </w:tc>
        <w:tc>
          <w:tcPr>
            <w:tcW w:type="dxa" w:w="16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center"/>
            </w:pPr>
            <w:r>
              <w:rPr>
                <w:b/>
                <w:bCs/>
                <w:color w:val="6F918E"/>
              </w:rPr>
              <w:t xml:space="preserve">Daily 16:00</w:t>
            </w:r>
          </w:p>
        </w:tc>
      </w:tr>
      <w:tr>
        <w:trPr>
          <w:cantSplit/>
        </w:trPr>
        <w:tc>
          <w:tcPr>
            <w:tcW w:type="dxa" w:w="28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Customer contact without permission</w:t>
            </w:r>
          </w:p>
        </w:tc>
        <w:tc>
          <w:tcPr>
            <w:tcW w:type="dxa" w:w="39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Use contact directory; hold or ops-only route when permission is absent.</w:t>
            </w:r>
          </w:p>
        </w:tc>
        <w:tc>
          <w:tcPr>
            <w:tcW w:type="dxa" w:w="17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Rep</w:t>
            </w:r>
          </w:p>
        </w:tc>
        <w:tc>
          <w:tcPr>
            <w:tcW w:type="dxa" w:w="16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center"/>
            </w:pPr>
            <w:r>
              <w:rPr>
                <w:b/>
                <w:bCs/>
                <w:color w:val="6F918E"/>
              </w:rPr>
              <w:t xml:space="preserve">Before outreach</w:t>
            </w:r>
          </w:p>
        </w:tc>
      </w:tr>
      <w:tr>
        <w:trPr>
          <w:cantSplit/>
        </w:trPr>
        <w:tc>
          <w:tcPr>
            <w:tcW w:type="dxa" w:w="28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Ad-ops blocker delays</w:t>
            </w:r>
          </w:p>
        </w:tc>
        <w:tc>
          <w:tcPr>
            <w:tcW w:type="dxa" w:w="39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Schedule dependency clearance before customer offer confirmation.</w:t>
            </w:r>
          </w:p>
        </w:tc>
        <w:tc>
          <w:tcPr>
            <w:tcW w:type="dxa" w:w="17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Functional owner</w:t>
            </w:r>
          </w:p>
        </w:tc>
        <w:tc>
          <w:tcPr>
            <w:tcW w:type="dxa" w:w="16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center"/>
            </w:pPr>
            <w:r>
              <w:rPr>
                <w:b/>
                <w:bCs/>
                <w:color w:val="6F918E"/>
              </w:rPr>
              <w:t xml:space="preserve">Within sprint</w:t>
            </w:r>
          </w:p>
        </w:tc>
      </w:tr>
      <w:tr>
        <w:trPr>
          <w:cantSplit/>
        </w:trPr>
        <w:tc>
          <w:tcPr>
            <w:tcW w:type="dxa" w:w="28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Rep capacity pressure</w:t>
            </w:r>
          </w:p>
        </w:tc>
        <w:tc>
          <w:tcPr>
            <w:tcW w:type="dxa" w:w="39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Capacity sheet checks owner workload and backup owner need.</w:t>
            </w:r>
          </w:p>
        </w:tc>
        <w:tc>
          <w:tcPr>
            <w:tcW w:type="dxa" w:w="17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Supervisor</w:t>
            </w:r>
          </w:p>
        </w:tc>
        <w:tc>
          <w:tcPr>
            <w:tcW w:type="dxa" w:w="16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center"/>
            </w:pPr>
            <w:r>
              <w:rPr>
                <w:b/>
                <w:bCs/>
                <w:color w:val="6F918E"/>
              </w:rPr>
              <w:t xml:space="preserve">Daily 16:00</w:t>
            </w:r>
          </w:p>
        </w:tc>
      </w:tr>
      <w:tr>
        <w:trPr>
          <w:cantSplit/>
        </w:trPr>
        <w:tc>
          <w:tcPr>
            <w:tcW w:type="dxa" w:w="28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Forecast variance persists</w:t>
            </w:r>
          </w:p>
        </w:tc>
        <w:tc>
          <w:tcPr>
            <w:tcW w:type="dxa" w:w="39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Brief and model reconcile variance by segment and exception status.</w:t>
            </w:r>
          </w:p>
        </w:tc>
        <w:tc>
          <w:tcPr>
            <w:tcW w:type="dxa" w:w="17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Revenue ops</w:t>
            </w:r>
          </w:p>
        </w:tc>
        <w:tc>
          <w:tcPr>
            <w:tcW w:type="dxa" w:w="16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center"/>
            </w:pPr>
            <w:r>
              <w:rPr>
                <w:b/>
                <w:bCs/>
                <w:color w:val="6F918E"/>
              </w:rPr>
              <w:t xml:space="preserve">Closeout</w:t>
            </w:r>
          </w:p>
        </w:tc>
      </w:tr>
    </w:tbl>
    <w:p>
      <w:pPr>
        <w:pStyle w:val="Heading1"/>
      </w:pPr>
      <w:r>
        <w:t xml:space="preserve">Approval and Closeout Controls</w:t>
      </w:r>
    </w:p>
    <w:p>
      <w:pPr>
        <w:pStyle w:val="Body"/>
      </w:pPr>
      <w:r>
        <w:t xml:space="preserve">Execution may proceed only for the approved local scope. The supervisor will report completed outreach, unresolved dependencies, manager exceptions, and forecast movement at each checkpoint and at final closeout. A controlled exception can move to execution only after the approval evidence, offer authority, contact route, and operational blocker state agree.</w:t>
      </w:r>
    </w:p>
    <w:sectPr>
      <w:headerReference w:type="default" r:id="rId6"/>
      <w:footerReference w:type="default" r:id="rId7"/>
      <w:pgSz w:w="12240" w:h="15840" w:orient="portrait"/>
      <w:pgMar w:top="1120" w:right="1080" w:bottom="108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adea">
    <w:family w:val="auto"/>
    <w:pitch w:val="variable"/>
    <w:sig w:usb0="E0002AFF" w:usb1="C000247B" w:usb2="00000009" w:usb3="00000000" w:csb0="000001FF" w:csb1="00000000"/>
    <w:embedRegular r:id="rId1" w:fontKey="{e0a6cb96-630f-8bfc-897f-be5986904770}"/>
  </w:font>
  <w:font w:name="Carlito">
    <w:family w:val="auto"/>
    <w:pitch w:val="variable"/>
    <w:sig w:usb0="E0002AFF" w:usb1="C000247B" w:usb2="00000009" w:usb3="00000000" w:csb0="000001FF" w:csb1="00000000"/>
    <w:embedRegular r:id="rId2" w:fontKey="{862ec09f-423b-98d5-fdd1-92a90e4ab1e1}"/>
  </w:font>
  <w:font w:name="Liberation Mono">
    <w:family w:val="auto"/>
    <w:pitch w:val="variable"/>
    <w:sig w:usb0="E0002AFF" w:usb1="C000247B" w:usb2="00000009" w:usb3="00000000" w:csb0="000001FF" w:csb1="00000000"/>
    <w:embedRegular r:id="rId3" w:fontKey="{0d5afe87-bfa1-5e7c-d372-2c9a5f1dac3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5C3" w:sz="4" w:space="4"/>
      </w:pBdr>
      <w:tabs>
        <w:tab w:val="right" w:pos="9360"/>
      </w:tabs>
    </w:pPr>
    <w:r>
      <w:rPr>
        <w:rFonts w:ascii="Carlito" w:cs="Carlito" w:eastAsia="Carlito" w:hAnsi="Carlito"/>
        <w:color w:val="607080"/>
        <w:sz w:val="16"/>
        <w:szCs w:val="16"/>
      </w:rPr>
      <w:t xml:space="preserve">Approved recovery sprint risk brief</w:t>
    </w:r>
    <w:r>
      <w:t xml:space="preserve">	</w:t>
    </w:r>
    <w:r>
      <w:rPr>
        <w:rFonts w:ascii="Carlito" w:cs="Carlito" w:eastAsia="Carlito" w:hAnsi="Carlito"/>
        <w:color w:val="607080"/>
        <w:sz w:val="16"/>
        <w:szCs w:val="16"/>
      </w:rPr>
      <w:t xml:space="preserve">Page </w:t>
    </w:r>
    <w:r>
      <w:rPr>
        <w:rFonts w:ascii="Carlito" w:cs="Carlito" w:eastAsia="Carlito" w:hAnsi="Carlito"/>
        <w:color w:val="607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F918E" w:sz="6" w:space="4"/>
      </w:pBdr>
    </w:pPr>
    <w:r>
      <w:rPr>
        <w:rFonts w:ascii="Carlito" w:cs="Carlito" w:eastAsia="Carlito" w:hAnsi="Carlito"/>
        <w:b/>
        <w:bCs/>
        <w:color w:val="6F918E"/>
        <w:sz w:val="16"/>
        <w:szCs w:val="16"/>
      </w:rPr>
      <w:t xml:space="preserve">Northstar Media Network - Supervisor risk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color w:val="172C46"/>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Document Title"/>
    <w:basedOn w:val="Normal"/>
    <w:next w:val="Subtitle"/>
    <w:qFormat/>
    <w:pPr>
      <w:keepNext/>
      <w:spacing w:before="0" w:after="150"/>
    </w:pPr>
    <w:rPr>
      <w:rFonts w:ascii="Caladea" w:cs="Caladea" w:eastAsia="Caladea" w:hAnsi="Caladea"/>
      <w:b/>
      <w:bCs/>
      <w:color w:val="172C46"/>
      <w:sz w:val="44"/>
      <w:szCs w:val="44"/>
    </w:rPr>
  </w:style>
  <w:style w:type="paragraph" w:styleId="Subtitle">
    <w:name w:val="Document Subtitle"/>
    <w:basedOn w:val="Normal"/>
    <w:next w:val="Normal"/>
    <w:qFormat/>
    <w:pPr>
      <w:keepNext/>
      <w:spacing w:after="300"/>
    </w:pPr>
    <w:rPr>
      <w:rFonts w:ascii="Carlito" w:cs="Carlito" w:eastAsia="Carlito" w:hAnsi="Carlito"/>
      <w:color w:val="607080"/>
      <w:sz w:val="24"/>
      <w:szCs w:val="24"/>
    </w:rPr>
  </w:style>
  <w:style w:type="paragraph" w:styleId="Heading1">
    <w:name w:val="Heading 1"/>
    <w:basedOn w:val="Normal"/>
    <w:next w:val="Normal"/>
    <w:qFormat/>
    <w:pPr>
      <w:keepNext/>
      <w:pBdr>
        <w:bottom w:val="single" w:color="6F918E" w:sz="10" w:space="5"/>
      </w:pBdr>
      <w:spacing w:before="300" w:after="120"/>
      <w:outlineLvl w:val="0"/>
    </w:pPr>
    <w:rPr>
      <w:rFonts w:ascii="Caladea" w:cs="Caladea" w:eastAsia="Caladea" w:hAnsi="Caladea"/>
      <w:b/>
      <w:bCs/>
      <w:color w:val="172C46"/>
      <w:sz w:val="32"/>
      <w:szCs w:val="32"/>
    </w:rPr>
  </w:style>
  <w:style w:type="paragraph" w:styleId="Heading2">
    <w:name w:val="Heading 2"/>
    <w:basedOn w:val="Normal"/>
    <w:next w:val="Normal"/>
    <w:qFormat/>
    <w:pPr>
      <w:keepNext/>
      <w:spacing w:before="240" w:after="100"/>
      <w:outlineLvl w:val="1"/>
    </w:pPr>
    <w:rPr>
      <w:rFonts w:ascii="Caladea" w:cs="Caladea" w:eastAsia="Caladea" w:hAnsi="Caladea"/>
      <w:b/>
      <w:bCs/>
      <w:color w:val="6F918E"/>
      <w:sz w:val="27"/>
      <w:szCs w:val="27"/>
    </w:rPr>
  </w:style>
  <w:style w:type="paragraph" w:styleId="Heading3">
    <w:name w:val="Heading 3"/>
    <w:basedOn w:val="Normal"/>
    <w:next w:val="Normal"/>
    <w:qFormat/>
    <w:pPr>
      <w:keepNext/>
      <w:spacing w:before="180" w:after="80"/>
      <w:outlineLvl w:val="2"/>
    </w:pPr>
    <w:rPr>
      <w:rFonts w:ascii="Carlito" w:cs="Carlito" w:eastAsia="Carlito" w:hAnsi="Carlito"/>
      <w:b/>
      <w:bCs/>
      <w:color w:val="172C46"/>
      <w:sz w:val="23"/>
      <w:szCs w:val="23"/>
    </w:rPr>
  </w:style>
  <w:style w:type="paragraph" w:styleId="Kicker">
    <w:name w:val="Kicker"/>
    <w:basedOn w:val="Normal"/>
    <w:next w:val="Title"/>
    <w:qFormat/>
    <w:pPr>
      <w:keepNext/>
      <w:spacing w:after="90"/>
    </w:pPr>
    <w:rPr>
      <w:rFonts w:ascii="Liberation Mono" w:cs="Liberation Mono" w:eastAsia="Liberation Mono" w:hAnsi="Liberation Mono"/>
      <w:b/>
      <w:bCs/>
      <w:caps/>
      <w:color w:val="6F918E"/>
      <w:sz w:val="18"/>
      <w:szCs w:val="18"/>
    </w:rPr>
  </w:style>
  <w:style w:type="paragraph" w:styleId="Body">
    <w:name w:val="Body"/>
    <w:basedOn w:val="Normal"/>
    <w:next w:val="Body"/>
    <w:qFormat/>
    <w:pPr>
      <w:widowControl/>
      <w:spacing w:after="120" w:line="276"/>
    </w:pPr>
    <w:rPr>
      <w:rFonts w:ascii="Carlito" w:cs="Carlito" w:eastAsia="Carlito" w:hAnsi="Carlito"/>
      <w:color w:val="172C46"/>
      <w:sz w:val="21"/>
      <w:szCs w:val="21"/>
    </w:rPr>
  </w:style>
  <w:style w:type="paragraph" w:styleId="Small">
    <w:name w:val="Small Text"/>
    <w:basedOn w:val="Normal"/>
    <w:next w:val="Small"/>
    <w:pPr>
      <w:spacing w:after="80" w:line="240"/>
    </w:pPr>
    <w:rPr>
      <w:rFonts w:ascii="Liberation Mono" w:cs="Liberation Mono" w:eastAsia="Liberation Mono" w:hAnsi="Liberation Mono"/>
      <w:color w:val="607080"/>
      <w:sz w:val="18"/>
      <w:szCs w:val="18"/>
    </w:rPr>
  </w:style>
  <w:style w:type="paragraph" w:styleId="Caption">
    <w:name w:val="Figure Caption"/>
    <w:basedOn w:val="Normal"/>
    <w:next w:val="Normal"/>
    <w:qFormat/>
    <w:pPr>
      <w:keepNext/>
      <w:spacing w:before="70" w:after="150"/>
    </w:pPr>
    <w:rPr>
      <w:rFonts w:ascii="Carlito" w:cs="Carlito" w:eastAsia="Carlito" w:hAnsi="Carlito"/>
      <w:i/>
      <w:iCs/>
      <w:color w:val="607080"/>
      <w:sz w:val="18"/>
      <w:szCs w:val="18"/>
    </w:rPr>
  </w:style>
  <w:style w:type="paragraph" w:styleId="TableHeader">
    <w:name w:val="Table Header"/>
    <w:basedOn w:val="Normal"/>
    <w:next w:val="TableText"/>
    <w:pPr>
      <w:keepNext/>
      <w:spacing w:before="0" w:after="0"/>
    </w:pPr>
    <w:rPr>
      <w:rFonts w:ascii="Liberation Mono" w:cs="Liberation Mono" w:eastAsia="Liberation Mono" w:hAnsi="Liberation Mono"/>
      <w:b/>
      <w:bCs/>
      <w:color w:val="FFFFFF"/>
      <w:sz w:val="18"/>
      <w:szCs w:val="18"/>
    </w:rPr>
  </w:style>
  <w:style w:type="paragraph" w:styleId="TableText">
    <w:name w:val="Table Text"/>
    <w:basedOn w:val="Normal"/>
    <w:next w:val="TableText"/>
    <w:pPr>
      <w:widowControl/>
      <w:spacing w:before="0" w:after="0" w:line="220"/>
    </w:pPr>
    <w:rPr>
      <w:rFonts w:ascii="Carlito" w:cs="Carlito" w:eastAsia="Carlito" w:hAnsi="Carlito"/>
      <w:color w:val="172C46"/>
      <w:sz w:val="18"/>
      <w:szCs w:val="18"/>
    </w:rPr>
  </w:style>
  <w:style w:type="paragraph" w:styleId="Callout">
    <w:name w:val="Decision Callout"/>
    <w:basedOn w:val="Normal"/>
    <w:next w:val="Normal"/>
    <w:qFormat/>
    <w:pPr>
      <w:keepNext/>
      <w:pBdr>
        <w:left w:val="single" w:color="6F918E" w:sz="22" w:space="8"/>
      </w:pBdr>
      <w:shd w:fill="EEE5C2" w:val="clear"/>
      <w:spacing w:before="120" w:after="180" w:line="276"/>
      <w:ind w:left="180" w:right="120"/>
    </w:pPr>
    <w:rPr>
      <w:rFonts w:ascii="Carlito" w:cs="Carlito" w:eastAsia="Carlito" w:hAnsi="Carlito"/>
      <w:b/>
      <w:bCs/>
      <w:color w:val="172C4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016f49b36ef56d4ff8d7f815e43a2cd68ed1c6b.png"/><Relationship Id="rId9"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Caladea.odttf"/><Relationship Id="rId2" Type="http://schemas.openxmlformats.org/officeDocument/2006/relationships/font" Target="fonts/Carlito.odttf"/><Relationship Id="rId3" Type="http://schemas.openxmlformats.org/officeDocument/2006/relationships/font" Target="fonts/Liberation Mono.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Approved Recovery Sprint Risk Brief</dc:title>
  <dc:subject>Manager risk brief for escalated advertiser account recovery</dc:subject>
  <dc:creator>Northstar Media Network Sales Desk</dc:creator>
  <cp:keywords>advertising sales, risk brief, account recovery, renewal forecast</cp:keywords>
  <dc:description>Decision, evidence, alternatives, action register, exceptions, and approval controls for the July 2026 recovery sprint.</dc:description>
  <cp:lastModifiedBy>Northstar Media Network Sales Desk</cp:lastModifiedBy>
  <cp:revision>1</cp:revision>
  <dcterms:created xsi:type="dcterms:W3CDTF">2026-07-17T04:07:23.060Z</dcterms:created>
  <dcterms:modified xsi:type="dcterms:W3CDTF">2026-07-17T04:07:23.061Z</dcterms:modified>
</cp:coreProperties>
</file>

<file path=docProps/custom.xml><?xml version="1.0" encoding="utf-8"?>
<Properties xmlns="http://schemas.openxmlformats.org/officeDocument/2006/custom-properties" xmlns:vt="http://schemas.openxmlformats.org/officeDocument/2006/docPropsVTypes"/>
</file>