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参考模板</w:t>
      </w:r>
    </w:p>
    <w:p>
      <w:pPr>
        <w:pStyle w:val="Subtitle"/>
      </w:pPr>
      <w:r>
        <w:t>该内容在 Pandoc 使用参考模板时不会进入正式文档。</w:t>
      </w:r>
    </w:p>
    <w:p>
      <w:pPr>
        <w:pStyle w:val="Heading1"/>
      </w:pPr>
      <w:r>
        <w:t>一级标题</w:t>
      </w:r>
    </w:p>
    <w:p>
      <w:pPr>
        <w:pStyle w:val="Heading2"/>
      </w:pPr>
      <w:r>
        <w:t>二级标题</w:t>
      </w:r>
    </w:p>
    <w:p>
      <w:pPr>
        <w:pStyle w:val="Heading3"/>
      </w:pPr>
      <w:r>
        <w:t>三级标题</w:t>
      </w:r>
    </w:p>
    <w:p>
      <w:pPr>
        <w:pStyle w:val="Heading4"/>
      </w:pPr>
      <w:r>
        <w:t>四级标题</w:t>
      </w:r>
    </w:p>
    <w:p>
      <w:r>
        <w:t>正文样式示例。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</w:tcPr>
          <w:p>
            <w:r>
              <w:t>表头一</w:t>
            </w:r>
          </w:p>
        </w:tc>
        <w:tc>
          <w:tcPr>
            <w:tcW w:type="dxa" w:w="3118"/>
          </w:tcPr>
          <w:p>
            <w:r>
              <w:t>表头二</w:t>
            </w:r>
          </w:p>
        </w:tc>
        <w:tc>
          <w:tcPr>
            <w:tcW w:type="dxa" w:w="3118"/>
          </w:tcPr>
          <w:p>
            <w:r>
              <w:t>表头三</w:t>
            </w:r>
          </w:p>
        </w:tc>
      </w:tr>
      <w:tr>
        <w:tc>
          <w:tcPr>
            <w:tcW w:type="dxa" w:w="3118"/>
          </w:tcPr>
          <w:p>
            <w:r>
              <w:t>数据一</w:t>
            </w:r>
          </w:p>
        </w:tc>
        <w:tc>
          <w:tcPr>
            <w:tcW w:type="dxa" w:w="3118"/>
          </w:tcPr>
          <w:p>
            <w:r>
              <w:t>数据二</w:t>
            </w:r>
          </w:p>
        </w:tc>
        <w:tc>
          <w:tcPr>
            <w:tcW w:type="dxa" w:w="3118"/>
          </w:tcPr>
          <w:p>
            <w:r>
              <w:t>数据三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</w:rPr>
      <w:t xml:space="preserve"> 页，共 </w:t>
    </w:r>
    <w:r>
      <w:rPr>
        <w:sz w:val="18"/>
      </w:rPr>
      <w:fldChar w:fldCharType="begin"/>
      <w:instrText xml:space="preserve">NUMPAGES</w:instrText>
      <w:fldChar w:fldCharType="separate"/>
      <w:fldChar w:fldCharType="end"/>
    </w:r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8"/>
      </w:rPr>
      <w:t>谋战·水面舰艇编队战术手工兵棋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  <w:ind w:firstLine="420"/>
    </w:pPr>
    <w:rPr>
      <w:rFonts w:ascii="Songti SC" w:hAnsi="Songti SC" w:eastAsia="Songti SC" w:cs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80" w:after="160"/>
      <w:jc w:val="center"/>
      <w:outlineLvl w:val="0"/>
    </w:pPr>
    <w:rPr>
      <w:rFonts w:ascii="Heiti SC" w:hAnsi="Heiti SC" w:eastAsia="Heiti SC" w:cs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60"/>
      <w:jc w:val="left"/>
      <w:outlineLvl w:val="1"/>
    </w:pPr>
    <w:rPr>
      <w:rFonts w:ascii="Heiti SC" w:hAnsi="Heiti SC" w:eastAsia="Heiti SC" w:cs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80" w:after="160"/>
      <w:jc w:val="left"/>
      <w:outlineLvl w:val="2"/>
    </w:pPr>
    <w:rPr>
      <w:rFonts w:ascii="Heiti SC" w:hAnsi="Heiti SC" w:eastAsia="Heiti SC" w:cs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80" w:after="160"/>
      <w:jc w:val="left"/>
      <w:outlineLvl w:val="3"/>
    </w:pPr>
    <w:rPr>
      <w:rFonts w:ascii="Heiti SC" w:hAnsi="Heiti SC" w:eastAsia="Heiti SC" w:cs="Heiti SC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 w:before="1600"/>
      <w:contextualSpacing/>
      <w:jc w:val="center"/>
    </w:pPr>
    <w:rPr>
      <w:rFonts w:ascii="Heiti SC" w:hAnsi="Heiti SC" w:eastAsia="Heiti SC" w:cs="Heiti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Heiti SC" w:hAnsi="Heiti SC" w:eastAsia="Heiti SC" w:cs="Heiti SC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Songti SC" w:hAnsi="Songti SC" w:eastAsia="Songti SC" w:cs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ongti SC" w:hAnsi="Songti SC" w:eastAsia="Songti SC" w:cs="Songti SC"/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spacing w:after="60"/>
    </w:pPr>
    <w:rPr>
      <w:rFonts w:ascii="Songti SC" w:hAnsi="Songti SC" w:eastAsia="Songti SC" w:cs="Songti SC"/>
      <w:sz w:val="21"/>
    </w:rPr>
  </w:style>
  <w:style w:type="paragraph" w:customStyle="1" w:styleId="TOC2">
    <w:name w:val="TOC 2"/>
    <w:pPr>
      <w:spacing w:after="60"/>
    </w:pPr>
    <w:rPr>
      <w:rFonts w:ascii="Songti SC" w:hAnsi="Songti SC" w:eastAsia="Songti SC" w:cs="Songti SC"/>
      <w:sz w:val="21"/>
    </w:rPr>
  </w:style>
  <w:style w:type="paragraph" w:customStyle="1" w:styleId="TOC3">
    <w:name w:val="TOC 3"/>
    <w:pPr>
      <w:spacing w:after="60"/>
    </w:pPr>
    <w:rPr>
      <w:rFonts w:ascii="Songti SC" w:hAnsi="Songti SC" w:eastAsia="Songti SC" w:cs="Songti S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Songti SC"/>
        <a:cs typeface=""/>
        <a:font script="Jpan" typeface="ＭＳ ゴシック"/>
        <a:font script="Hang" typeface="맑은 고딕"/>
        <a:font script="Hans" typeface="Songti SC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Songti SC"/>
        <a:cs typeface=""/>
        <a:font script="Jpan" typeface="ＭＳ 明朝"/>
        <a:font script="Hang" typeface="맑은 고딕"/>
        <a:font script="Hans" typeface="Songti SC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谋战·水面舰艇编队战术手工兵棋A4排版模板</dc:title>
  <dc:subject>规则手册、裁决规则、算子表Word正式输出</dc:subject>
  <dc:creator>OpenClaw文档撰写模块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