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30"/>
          <w:sz w:val="18"/>
          <w:szCs w:val="18"/>
        </w:rPr>
        <w:t xml:space="preserve">INTERSECTIONS</w:t>
      </w:r>
    </w:p>
    <w:p>
      <w:pPr>
        <w:spacing w:after="220"/>
      </w:pPr>
      <w:r>
        <w:rPr>
          <w:rFonts w:ascii="Calibri" w:cs="Calibri" w:eastAsia="Calibri" w:hAnsi="Calibri"/>
          <w:b/>
          <w:bCs/>
          <w:color w:val="11161C"/>
          <w:sz w:val="50"/>
          <w:szCs w:val="50"/>
        </w:rPr>
        <w:t xml:space="preserve">CooL × Contrast</w:t>
      </w:r>
    </w:p>
    <w:p>
      <w:pPr>
        <w:spacing w:after="300" w:line="300"/>
      </w:pPr>
      <w:r>
        <w:rPr>
          <w:rFonts w:ascii="Calibri" w:cs="Calibri" w:eastAsia="Calibri" w:hAnsi="Calibri"/>
          <w:color w:val="23303C"/>
          <w:sz w:val="26"/>
          <w:szCs w:val="26"/>
        </w:rPr>
        <w:t xml:space="preserve">Where confidential execution and verifiable AI-change evidence meet — and why the combination is worth more to each side than either is alone.</w:t>
      </w:r>
    </w:p>
    <w:p>
      <w:pPr>
        <w:spacing w:after="60"/>
      </w:pPr>
      <w:r>
        <w:rPr>
          <w:rFonts w:ascii="Calibri" w:cs="Calibri" w:eastAsia="Calibri" w:hAnsi="Calibri"/>
          <w:b/>
          <w:bCs/>
          <w:color w:val="6B7785"/>
          <w:sz w:val="17"/>
          <w:szCs w:val="17"/>
        </w:rPr>
        <w:t xml:space="preserve">DOCUMENT   </w:t>
      </w:r>
      <w:r>
        <w:rPr>
          <w:rFonts w:ascii="Calibri" w:cs="Calibri" w:eastAsia="Calibri" w:hAnsi="Calibri"/>
          <w:color w:val="23303C"/>
          <w:sz w:val="20"/>
          <w:szCs w:val="20"/>
        </w:rPr>
        <w:t xml:space="preserve">Joint-value analysis and partnership case</w:t>
      </w:r>
    </w:p>
    <w:p>
      <w:pPr>
        <w:spacing w:after="60"/>
      </w:pPr>
      <w:r>
        <w:rPr>
          <w:rFonts w:ascii="Calibri" w:cs="Calibri" w:eastAsia="Calibri" w:hAnsi="Calibri"/>
          <w:b/>
          <w:bCs/>
          <w:color w:val="6B7785"/>
          <w:sz w:val="17"/>
          <w:szCs w:val="17"/>
        </w:rPr>
        <w:t xml:space="preserve">PREPARED BY   </w:t>
      </w:r>
      <w:r>
        <w:rPr>
          <w:rFonts w:ascii="Calibri" w:cs="Calibri" w:eastAsia="Calibri" w:hAnsi="Calibri"/>
          <w:color w:val="23303C"/>
          <w:sz w:val="20"/>
          <w:szCs w:val="20"/>
        </w:rPr>
        <w:t xml:space="preserve">Northwind Cipher Pvt. Ltd.</w:t>
      </w:r>
    </w:p>
    <w:p>
      <w:pPr>
        <w:spacing w:after="60"/>
      </w:pPr>
      <w:r>
        <w:rPr>
          <w:rFonts w:ascii="Calibri" w:cs="Calibri" w:eastAsia="Calibri" w:hAnsi="Calibri"/>
          <w:b/>
          <w:bCs/>
          <w:color w:val="6B7785"/>
          <w:sz w:val="17"/>
          <w:szCs w:val="17"/>
        </w:rPr>
        <w:t xml:space="preserve">FOR DISCUSSION WITH   </w:t>
      </w:r>
      <w:r>
        <w:rPr>
          <w:rFonts w:ascii="Calibri" w:cs="Calibri" w:eastAsia="Calibri" w:hAnsi="Calibri"/>
          <w:color w:val="23303C"/>
          <w:sz w:val="20"/>
          <w:szCs w:val="20"/>
        </w:rPr>
        <w:t xml:space="preserve">Edgeless Systems GmbH</w:t>
      </w:r>
    </w:p>
    <w:p>
      <w:pPr>
        <w:spacing w:after="60"/>
      </w:pPr>
      <w:r>
        <w:rPr>
          <w:rFonts w:ascii="Calibri" w:cs="Calibri" w:eastAsia="Calibri" w:hAnsi="Calibri"/>
          <w:b/>
          <w:bCs/>
          <w:color w:val="6B7785"/>
          <w:sz w:val="17"/>
          <w:szCs w:val="17"/>
        </w:rPr>
        <w:t xml:space="preserve">COMPANION DOCUMENT   </w:t>
      </w:r>
      <w:r>
        <w:rPr>
          <w:rFonts w:ascii="Calibri" w:cs="Calibri" w:eastAsia="Calibri" w:hAnsi="Calibri"/>
          <w:color w:val="23303C"/>
          <w:sz w:val="20"/>
          <w:szCs w:val="20"/>
        </w:rPr>
        <w:t xml:space="preserve">CooL × Contrast — Technical Documentation</w:t>
      </w:r>
    </w:p>
    <w:p>
      <w:pPr>
        <w:spacing w:after="60"/>
      </w:pPr>
      <w:r>
        <w:rPr>
          <w:rFonts w:ascii="Calibri" w:cs="Calibri" w:eastAsia="Calibri" w:hAnsi="Calibri"/>
          <w:b/>
          <w:bCs/>
          <w:color w:val="6B7785"/>
          <w:sz w:val="17"/>
          <w:szCs w:val="17"/>
        </w:rPr>
        <w:t xml:space="preserve">WORKING INTEGRATION   </w:t>
      </w:r>
      <w:r>
        <w:rPr>
          <w:rFonts w:ascii="Calibri" w:cs="Calibri" w:eastAsia="Calibri" w:hAnsi="Calibri"/>
          <w:color w:val="23303C"/>
          <w:sz w:val="20"/>
          <w:szCs w:val="20"/>
        </w:rPr>
        <w:t xml:space="preserve">Built, tested, reproducible (npm run demo:contrast)</w:t>
      </w:r>
    </w:p>
    <w:p>
      <w:pPr>
        <w:spacing w:after="60"/>
      </w:pPr>
      <w:r>
        <w:rPr>
          <w:rFonts w:ascii="Calibri" w:cs="Calibri" w:eastAsia="Calibri" w:hAnsi="Calibri"/>
          <w:b/>
          <w:bCs/>
          <w:color w:val="6B7785"/>
          <w:sz w:val="17"/>
          <w:szCs w:val="17"/>
        </w:rPr>
        <w:t xml:space="preserve">DATE   </w:t>
      </w:r>
      <w:r>
        <w:rPr>
          <w:rFonts w:ascii="Calibri" w:cs="Calibri" w:eastAsia="Calibri" w:hAnsi="Calibri"/>
          <w:color w:val="23303C"/>
          <w:sz w:val="20"/>
          <w:szCs w:val="20"/>
        </w:rPr>
        <w:t xml:space="preserve">6 October 2026</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45309" w:sz="18"/>
              <w:bottom w:val="none" w:color="FFFFFF" w:sz="0"/>
              <w:right w:val="none" w:color="FFFFFF" w:sz="0"/>
            </w:tcBorders>
            <w:shd w:fill="FFF8EC" w:color="auto" w:val="clear"/>
            <w:tcMar>
              <w:top w:type="dxa" w:w="150"/>
              <w:left w:type="dxa" w:w="200"/>
              <w:bottom w:type="dxa" w:w="150"/>
              <w:right w:type="dxa" w:w="200"/>
            </w:tcMar>
          </w:tcPr>
          <w:p>
            <w:pPr>
              <w:spacing w:after="70"/>
            </w:pPr>
            <w:r>
              <w:rPr>
                <w:rFonts w:ascii="Calibri" w:cs="Calibri" w:eastAsia="Calibri" w:hAnsi="Calibri"/>
                <w:b/>
                <w:bCs/>
                <w:color w:val="B45309"/>
                <w:sz w:val="16"/>
                <w:szCs w:val="16"/>
              </w:rPr>
              <w:t xml:space="preserve">STATUS OF THESE CLAIMS</w:t>
            </w:r>
          </w:p>
          <w:p>
            <w:pPr>
              <w:spacing w:after="0" w:line="260"/>
            </w:pPr>
            <w:r>
              <w:rPr>
                <w:rFonts w:ascii="Calibri" w:cs="Calibri" w:eastAsia="Calibri" w:hAnsi="Calibri"/>
                <w:b w:val="false"/>
                <w:bCs w:val="false"/>
                <w:i w:val="false"/>
                <w:iCs w:val="false"/>
                <w:color w:val="6B4A16"/>
                <w:sz w:val="19"/>
                <w:szCs w:val="19"/>
              </w:rPr>
              <w:t xml:space="preserve">This document makes a commercial and architectural case; it does not overstate the engineering. The integration described is implemented and tested — 152 automated tests, 33 specific to it, against certificates produced by Contrast's own code — but it has not run on confidential hardware, and CooL does not yet independently verify the hardware quote. Section 8 lists every boundary. Nothing here implies that Edgeless Systems has reviewed, endorsed or agreed to anything.</w:t>
            </w:r>
          </w:p>
        </w:tc>
      </w:tr>
    </w:tbl>
    <w:p>
      <w:pPr>
        <w:spacing w:after="0" w:before="300" w:line="260"/>
      </w:pPr>
      <w:r>
        <w:rPr>
          <w:rFonts w:ascii="Calibri" w:cs="Calibri" w:eastAsia="Calibri" w:hAnsi="Calibri"/>
          <w:color w:val="6B7785"/>
          <w:sz w:val="16"/>
          <w:szCs w:val="16"/>
        </w:rPr>
        <w:t xml:space="preserve">Contrast is a product of Edgeless Systems GmbH. CooL is a product of Northwind Cipher Pvt. Ltd. The two are independently licensed and no code of either is redistributed by the other.</w:t>
      </w:r>
    </w:p>
    <w:p>
      <w:r>
        <w:br w:type="page"/>
      </w:r>
    </w:p>
    <w:p>
      <w:pPr>
        <w:pStyle w:val="Heading1"/>
        <w:pBdr>
          <w:top w:val="single" w:color="0F766E" w:sz="12" w:space="8"/>
        </w:pBdr>
        <w:spacing w:after="160" w:before="120"/>
      </w:pPr>
      <w:r>
        <w:rPr>
          <w:rFonts w:ascii="Calibri" w:cs="Calibri" w:eastAsia="Calibri" w:hAnsi="Calibri"/>
          <w:b/>
          <w:bCs/>
          <w:color w:val="11161C"/>
          <w:sz w:val="34"/>
          <w:szCs w:val="34"/>
        </w:rPr>
        <w:t xml:space="preserve">1 · The one-paragraph version</w:t>
      </w:r>
    </w:p>
    <w:p>
      <w:pPr>
        <w:spacing w:after="180" w:line="320"/>
      </w:pPr>
      <w:r>
        <w:rPr>
          <w:rFonts w:ascii="Calibri" w:cs="Calibri" w:eastAsia="Calibri" w:hAnsi="Calibri"/>
          <w:b w:val="false"/>
          <w:bCs w:val="false"/>
          <w:i w:val="false"/>
          <w:iCs w:val="false"/>
          <w:color w:val="11161C"/>
          <w:sz w:val="24"/>
          <w:szCs w:val="24"/>
        </w:rPr>
        <w:t xml:space="preserve">Contrast proves a workload ran confidentially. CooL proves what changed inside it. Each is a complete answer to a question the other cannot answer, and enterprises buying confidential AI are being asked both questions at once — usually by the same auditor, in the same room.</w:t>
      </w:r>
    </w:p>
    <w:p>
      <w:pPr>
        <w:spacing w:after="150" w:line="290"/>
      </w:pPr>
      <w:r>
        <w:rPr>
          <w:rFonts w:ascii="Calibri" w:cs="Calibri" w:eastAsia="Calibri" w:hAnsi="Calibri"/>
          <w:b w:val="false"/>
          <w:bCs w:val="false"/>
          <w:i w:val="false"/>
          <w:iCs w:val="false"/>
          <w:color w:val="23303C"/>
          <w:sz w:val="21"/>
          <w:szCs w:val="21"/>
        </w:rPr>
        <w:t xml:space="preserve">The integration described here binds a CooL evidence record to a specific Contrast workload cryptographically, so that one artefact answers both. It took no new dependency on either side, no change to Contrast, and no new trusted third party. It is built and tested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THE JOINT CLAIM, IN THE FORM AN AUDITOR WOULD ACCEPT</w:t>
            </w:r>
          </w:p>
          <w:p>
            <w:pPr>
              <w:spacing w:after="0" w:line="260"/>
            </w:pPr>
            <w:r>
              <w:rPr>
                <w:rFonts w:ascii="Calibri" w:cs="Calibri" w:eastAsia="Calibri" w:hAnsi="Calibri"/>
                <w:b w:val="false"/>
                <w:bCs w:val="false"/>
                <w:i w:val="false"/>
                <w:iCs w:val="false"/>
                <w:color w:val="13433F"/>
                <w:sz w:val="19"/>
                <w:szCs w:val="19"/>
              </w:rPr>
              <w:t xml:space="preserve">This AI change record was produced by a specific confidential workload whose execution environment can be independently attested — and you can check both halves yourself, offline, years later, without trusting Northwind Cipher, Edgeless Systems, or the operator who ran it.</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2 · The gap neither closes alone</w:t>
      </w:r>
    </w:p>
    <w:p>
      <w:pPr>
        <w:spacing w:after="150" w:line="290"/>
      </w:pPr>
      <w:r>
        <w:rPr>
          <w:rFonts w:ascii="Calibri" w:cs="Calibri" w:eastAsia="Calibri" w:hAnsi="Calibri"/>
          <w:b w:val="false"/>
          <w:bCs w:val="false"/>
          <w:i w:val="false"/>
          <w:iCs w:val="false"/>
          <w:color w:val="23303C"/>
          <w:sz w:val="21"/>
          <w:szCs w:val="21"/>
        </w:rPr>
        <w:t xml:space="preserve">This is not a case of two products that overlap and could be rationalised. They are adjacent, and the seam between them is exactly where enterprise AI governance questions land.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60"/>
        <w:gridCol w:w="2660"/>
        <w:gridCol w:w="1960"/>
      </w:tblGrid>
      <w:tr>
        <w:trPr>
          <w:tblHeader/>
        </w:trPr>
        <w:tc>
          <w:tcPr>
            <w:tcW w:type="dxa" w:w="280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
            </w:r>
          </w:p>
        </w:tc>
        <w:tc>
          <w:tcPr>
            <w:tcW w:type="dxa" w:w="266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Contrast alone</w:t>
            </w:r>
          </w:p>
        </w:tc>
        <w:tc>
          <w:tcPr>
            <w:tcW w:type="dxa" w:w="266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CooL alone</w:t>
            </w:r>
          </w:p>
        </w:tc>
        <w:tc>
          <w:tcPr>
            <w:tcW w:type="dxa" w:w="196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Together</w:t>
            </w:r>
          </w:p>
        </w:tc>
      </w:tr>
      <w:tr>
        <w:trPr>
          <w:tblHeader w:val="off"/>
        </w:trPr>
        <w:tc>
          <w:tcPr>
            <w:tcW w:type="dxa" w:w="28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Was the workload protected while it ran?</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attested against a signed manifest</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Cannot say</w:t>
            </w:r>
          </w:p>
        </w:tc>
        <w:tc>
          <w:tcPr>
            <w:tcW w:type="dxa" w:w="19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w:t>
            </w:r>
          </w:p>
        </w:tc>
      </w:tr>
      <w:tr>
        <w:trPr>
          <w:tblHeader w:val="off"/>
        </w:trPr>
        <w:tc>
          <w:tcPr>
            <w:tcW w:type="dxa" w:w="28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Which prompt, model and permissions was it running?</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Cannot say</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committed and signed</w:t>
            </w:r>
          </w:p>
        </w:tc>
        <w:tc>
          <w:tcPr>
            <w:tcW w:type="dxa" w:w="19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w:t>
            </w:r>
          </w:p>
        </w:tc>
      </w:tr>
      <w:tr>
        <w:trPr>
          <w:tblHeader w:val="off"/>
        </w:trPr>
        <w:tc>
          <w:tcPr>
            <w:tcW w:type="dxa" w:w="28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Who changed it, and when?</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Cannot say</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actor, time, ordered log</w:t>
            </w:r>
          </w:p>
        </w:tc>
        <w:tc>
          <w:tcPr>
            <w:tcW w:type="dxa" w:w="19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w:t>
            </w:r>
          </w:p>
        </w:tc>
      </w:tr>
      <w:tr>
        <w:trPr>
          <w:tblHeader w:val="off"/>
        </w:trPr>
        <w:tc>
          <w:tcPr>
            <w:tcW w:type="dxa" w:w="28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Was the record altered afterwards?</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Not applicable</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 — hybrid signature over a canonical commitment</w:t>
            </w:r>
          </w:p>
        </w:tc>
        <w:tc>
          <w:tcPr>
            <w:tcW w:type="dxa" w:w="19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w:t>
            </w:r>
          </w:p>
        </w:tc>
      </w:tr>
      <w:tr>
        <w:trPr>
          <w:tblHeader w:val="off"/>
        </w:trPr>
        <w:tc>
          <w:tcPr>
            <w:tcW w:type="dxa" w:w="280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Can a third party check it in two years, offline?</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pod is gone; attestation is live-only</w:t>
            </w:r>
          </w:p>
        </w:tc>
        <w:tc>
          <w:tcPr>
            <w:tcW w:type="dxa" w:w="26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but says nothing about where it ran</w:t>
            </w:r>
          </w:p>
        </w:tc>
        <w:tc>
          <w:tcPr>
            <w:tcW w:type="dxa" w:w="196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including where it ran</w:t>
            </w:r>
          </w:p>
        </w:tc>
      </w:tr>
      <w:tr>
        <w:trPr>
          <w:tblHeader w:val="off"/>
        </w:trPr>
        <w:tc>
          <w:tcPr>
            <w:tcW w:type="dxa" w:w="280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Could the evidence have come from somewhere else?</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Not applicable</w:t>
            </w:r>
          </w:p>
        </w:tc>
        <w:tc>
          <w:tcPr>
            <w:tcW w:type="dxa" w:w="26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Yes — nothing ties a receipt to an attested workload</w:t>
            </w:r>
          </w:p>
        </w:tc>
        <w:tc>
          <w:tcPr>
            <w:tcW w:type="dxa" w:w="196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 — that is the binding</w:t>
            </w:r>
          </w:p>
        </w:tc>
      </w:tr>
    </w:tbl>
    <w:p>
      <w:pPr>
        <w:spacing w:after="200"/>
      </w:pPr>
    </w:p>
    <w:p>
      <w:pPr>
        <w:pStyle w:val="Heading2"/>
        <w:spacing w:after="110" w:before="280"/>
      </w:pPr>
      <w:r>
        <w:rPr>
          <w:rFonts w:ascii="Calibri" w:cs="Calibri" w:eastAsia="Calibri" w:hAnsi="Calibri"/>
          <w:b/>
          <w:bCs/>
          <w:color w:val="11161C"/>
          <w:sz w:val="25"/>
          <w:szCs w:val="25"/>
        </w:rPr>
        <w:t xml:space="preserve">2.1 Why the last row is the whole point</w:t>
      </w:r>
    </w:p>
    <w:p>
      <w:pPr>
        <w:spacing w:after="150" w:line="290"/>
      </w:pPr>
      <w:r>
        <w:rPr>
          <w:rFonts w:ascii="Calibri" w:cs="Calibri" w:eastAsia="Calibri" w:hAnsi="Calibri"/>
          <w:b w:val="false"/>
          <w:bCs w:val="false"/>
          <w:i w:val="false"/>
          <w:iCs w:val="false"/>
          <w:color w:val="23303C"/>
          <w:sz w:val="21"/>
          <w:szCs w:val="21"/>
        </w:rPr>
        <w:t xml:space="preserve">Running CooL inside a Contrast pod without an integration produces receipts that are cryptographically sound and say nothing about Contrast. The measurement is absent from the signed record; nothing stops a receipt produced on a developer's laptop from being presented as the output of the confidential workload.</w:t>
      </w:r>
    </w:p>
    <w:p>
      <w:pPr>
        <w:spacing w:after="150" w:line="290"/>
      </w:pPr>
      <w:r>
        <w:rPr>
          <w:rFonts w:ascii="Calibri" w:cs="Calibri" w:eastAsia="Calibri" w:hAnsi="Calibri"/>
          <w:b w:val="false"/>
          <w:bCs w:val="false"/>
          <w:i w:val="false"/>
          <w:iCs w:val="false"/>
          <w:color w:val="23303C"/>
          <w:sz w:val="21"/>
          <w:szCs w:val="21"/>
        </w:rPr>
        <w:t xml:space="preserve">Closing that required finding the right seam rather than bolting metadata together. </w:t>
      </w:r>
      <w:r>
        <w:rPr>
          <w:rFonts w:ascii="Calibri" w:cs="Calibri" w:eastAsia="Calibri" w:hAnsi="Calibri"/>
          <w:b/>
          <w:bCs/>
          <w:i w:val="false"/>
          <w:iCs w:val="false"/>
          <w:color w:val="23303C"/>
          <w:sz w:val="21"/>
          <w:szCs w:val="21"/>
        </w:rPr>
        <w:t xml:space="preserve">Contrast's attestation is a credential, not a quote</w:t>
      </w:r>
      <w:r>
        <w:rPr>
          <w:rFonts w:ascii="Calibri" w:cs="Calibri" w:eastAsia="Calibri" w:hAnsi="Calibri"/>
          <w:b w:val="false"/>
          <w:bCs w:val="false"/>
          <w:i w:val="false"/>
          <w:iCs w:val="false"/>
          <w:color w:val="23303C"/>
          <w:sz w:val="21"/>
          <w:szCs w:val="21"/>
        </w:rPr>
        <w:t xml:space="preserve">: the Coordinator verifies each pod's hardware report and then issues the pod a mesh certificate </w:t>
      </w:r>
      <w:r>
        <w:rPr>
          <w:rFonts w:ascii="Calibri" w:cs="Calibri" w:eastAsia="Calibri" w:hAnsi="Calibri"/>
          <w:b w:val="false"/>
          <w:bCs w:val="false"/>
          <w:i/>
          <w:iCs/>
          <w:color w:val="23303C"/>
          <w:sz w:val="21"/>
          <w:szCs w:val="21"/>
        </w:rPr>
        <w:t xml:space="preserve">carrying the measurements it verified</w:t>
      </w:r>
      <w:r>
        <w:rPr>
          <w:rFonts w:ascii="Calibri" w:cs="Calibri" w:eastAsia="Calibri" w:hAnsi="Calibri"/>
          <w:b w:val="false"/>
          <w:bCs w:val="false"/>
          <w:i w:val="false"/>
          <w:iCs w:val="false"/>
          <w:color w:val="23303C"/>
          <w:sz w:val="21"/>
          <w:szCs w:val="21"/>
        </w:rPr>
        <w:t xml:space="preserve">, bound to a key only that pod holds. That makes it something CooL can bind to cryptographically, offline, with no Coordinator contact at verification time. The technical document develops this; the commercial point is that the seam exists and is clean.</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3 · The intersection map</w:t>
      </w:r>
    </w:p>
    <w:p>
      <w:pPr>
        <w:spacing w:after="150" w:line="290"/>
      </w:pPr>
      <w:r>
        <w:rPr>
          <w:rFonts w:ascii="Calibri" w:cs="Calibri" w:eastAsia="Calibri" w:hAnsi="Calibri"/>
          <w:b w:val="false"/>
          <w:bCs w:val="false"/>
          <w:i w:val="false"/>
          <w:iCs w:val="false"/>
          <w:color w:val="23303C"/>
          <w:sz w:val="21"/>
          <w:szCs w:val="21"/>
        </w:rPr>
        <w:t xml:space="preserve">Seven places where the two systems actually touch. Every row is implemented, not proposed.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rPr>
          <w:tblHeader/>
        </w:trPr>
        <w:tc>
          <w:tcPr>
            <w:tcW w:type="dxa" w:w="288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Contrast provides</w:t>
            </w:r>
          </w:p>
        </w:tc>
        <w:tc>
          <w:tcPr>
            <w:tcW w:type="dxa" w:w="288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CooL uses it to</w:t>
            </w:r>
          </w:p>
        </w:tc>
        <w:tc>
          <w:tcPr>
            <w:tcW w:type="dxa" w:w="432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Joint outcome</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workload secret released only to a pod that passed attestation</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Derive its signing key (HKDF-SHA256)</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No key to steal.</w:t>
            </w:r>
            <w:r>
              <w:rPr>
                <w:rFonts w:ascii="Calibri" w:cs="Calibri" w:eastAsia="Calibri" w:hAnsi="Calibri"/>
                <w:b w:val="false"/>
                <w:bCs w:val="false"/>
                <w:i w:val="false"/>
                <w:iCs w:val="false"/>
                <w:color w:val="23303C"/>
                <w:sz w:val="18"/>
                <w:szCs w:val="18"/>
              </w:rPr>
              <w:t xml:space="preserve"> Outside the attested workload the signing key is not derivable at all — no key in the image, in a vault, or in CI</w:t>
            </w:r>
          </w:p>
        </w:tc>
      </w:tr>
      <w:tr>
        <w:trPr>
          <w:tblHeader w:val="off"/>
        </w:trPr>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mesh certificate carrying MRTD, RTMRs and the policy hash</w:t>
            </w:r>
          </w:p>
        </w:tc>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Seal that identity inside the signed record and bind its own key to the certificate</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receipt that names the workload that produced it, in the Coordinator's hand</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pod-held P-256 key certified by the Coordinator</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Sign a commitment to the CooL public key</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Receipt A cannot be presented as workload B's</w:t>
            </w:r>
          </w:p>
        </w:tc>
      </w:tr>
      <w:tr>
        <w:trPr>
          <w:tblHeader w:val="off"/>
        </w:trPr>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manifest.json</w:t>
            </w:r>
            <w:r>
              <w:rPr>
                <w:rFonts w:ascii="Calibri" w:cs="Calibri" w:eastAsia="Calibri" w:hAnsi="Calibri"/>
                <w:b w:val="false"/>
                <w:bCs w:val="false"/>
                <w:i w:val="false"/>
                <w:iCs w:val="false"/>
                <w:color w:val="23303C"/>
                <w:sz w:val="18"/>
                <w:szCs w:val="18"/>
              </w:rPr>
              <w:t xml:space="preserve"> with </w:t>
            </w:r>
            <w:r>
              <w:rPr>
                <w:rFonts w:ascii="Consolas" w:cs="Consolas" w:eastAsia="Consolas" w:hAnsi="Consolas"/>
                <w:color w:val="0F766E"/>
                <w:sz w:val="16"/>
                <w:szCs w:val="16"/>
              </w:rPr>
              <w:t xml:space="preserve">Policies</w:t>
            </w:r>
            <w:r>
              <w:rPr>
                <w:rFonts w:ascii="Calibri" w:cs="Calibri" w:eastAsia="Calibri" w:hAnsi="Calibri"/>
                <w:b w:val="false"/>
                <w:bCs w:val="false"/>
                <w:i w:val="false"/>
                <w:iCs w:val="false"/>
                <w:color w:val="23303C"/>
                <w:sz w:val="18"/>
                <w:szCs w:val="18"/>
              </w:rPr>
              <w:t xml:space="preserve"> and </w:t>
            </w:r>
            <w:r>
              <w:rPr>
                <w:rFonts w:ascii="Consolas" w:cs="Consolas" w:eastAsia="Consolas" w:hAnsi="Consolas"/>
                <w:color w:val="0F766E"/>
                <w:sz w:val="16"/>
                <w:szCs w:val="16"/>
              </w:rPr>
              <w:t xml:space="preserve">ReferenceValues</w:t>
            </w:r>
          </w:p>
        </w:tc>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Pin by digest, and check the policy hash against it</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“This ran under the manifest I reviewed” becomes a checkable statement</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Coordinator root CA obtained via </w:t>
            </w:r>
            <w:r>
              <w:rPr>
                <w:rFonts w:ascii="Consolas" w:cs="Consolas" w:eastAsia="Consolas" w:hAnsi="Consolas"/>
                <w:color w:val="0F766E"/>
                <w:sz w:val="16"/>
                <w:szCs w:val="16"/>
              </w:rPr>
              <w:t xml:space="preserve">contrast verify</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Require it as the trust anchor for the workload domain</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reader's own attestation of the Coordinator is what makes every receipt meaningful</w:t>
            </w:r>
          </w:p>
        </w:tc>
      </w:tr>
      <w:tr>
        <w:trPr>
          <w:tblHeader w:val="off"/>
        </w:trPr>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Workload-secret stability across restarts and manifest updates</w:t>
            </w:r>
          </w:p>
        </w:tc>
        <w:tc>
          <w:tcPr>
            <w:tcW w:type="dxa" w:w="288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Keep one signing identity across pod churn</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continuous audit trail in a cluster that reschedules</w:t>
            </w:r>
          </w:p>
        </w:tc>
      </w:tr>
      <w:tr>
        <w:trPr>
          <w:tblHeader w:val="off"/>
        </w:trPr>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Encrypted volumes (</w:t>
            </w:r>
            <w:r>
              <w:rPr>
                <w:rFonts w:ascii="Consolas" w:cs="Consolas" w:eastAsia="Consolas" w:hAnsi="Consolas"/>
                <w:color w:val="0F766E"/>
                <w:sz w:val="16"/>
                <w:szCs w:val="16"/>
              </w:rPr>
              <w:t xml:space="preserve">secure-pv</w:t>
            </w:r>
            <w:r>
              <w:rPr>
                <w:rFonts w:ascii="Calibri" w:cs="Calibri" w:eastAsia="Calibri" w:hAnsi="Calibri"/>
                <w:b w:val="false"/>
                <w:bCs w:val="false"/>
                <w:i w:val="false"/>
                <w:iCs w:val="false"/>
                <w:color w:val="23303C"/>
                <w:sz w:val="18"/>
                <w:szCs w:val="18"/>
              </w:rPr>
              <w:t xml:space="preserve">)</w:t>
            </w:r>
          </w:p>
        </w:tc>
        <w:tc>
          <w:tcPr>
            <w:tcW w:type="dxa" w:w="288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Persist the transparency log across restarts</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Ordering and completeness provable over time, not one tree per pod lifetime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NOTE WHAT IS NOT ON THIS LIST</w:t>
            </w:r>
          </w:p>
          <w:p>
            <w:pPr>
              <w:spacing w:after="0" w:line="260"/>
            </w:pPr>
            <w:r>
              <w:rPr>
                <w:rFonts w:ascii="Calibri" w:cs="Calibri" w:eastAsia="Calibri" w:hAnsi="Calibri"/>
                <w:b w:val="false"/>
                <w:bCs w:val="false"/>
                <w:i w:val="false"/>
                <w:iCs w:val="false"/>
                <w:color w:val="13433F"/>
                <w:sz w:val="19"/>
                <w:szCs w:val="19"/>
              </w:rPr>
              <w:t xml:space="preserve">No change to Contrast. No fork, no patch, no vendored code, no feature request. CooL reads five files Contrast already writes into every pod and parses a certificate Contrast already issues. That is the entire integration surface, which is why it was possible to build it in one pass and why it will not break on Contrast's next release.</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4 · What Contrast gains</w:t>
      </w:r>
    </w:p>
    <w:p>
      <w:pPr>
        <w:spacing w:after="150" w:line="290"/>
      </w:pPr>
      <w:r>
        <w:rPr>
          <w:rFonts w:ascii="Calibri" w:cs="Calibri" w:eastAsia="Calibri" w:hAnsi="Calibri"/>
          <w:b w:val="false"/>
          <w:bCs w:val="false"/>
          <w:i w:val="false"/>
          <w:iCs w:val="false"/>
          <w:color w:val="23303C"/>
          <w:sz w:val="21"/>
          <w:szCs w:val="21"/>
        </w:rPr>
        <w:t xml:space="preserve">Stated as specifically as possible, and only where the integration actually delivers it.</w:t>
      </w:r>
    </w:p>
    <w:p>
      <w:pPr>
        <w:pStyle w:val="Heading2"/>
        <w:spacing w:after="110" w:before="280"/>
      </w:pPr>
      <w:r>
        <w:rPr>
          <w:rFonts w:ascii="Calibri" w:cs="Calibri" w:eastAsia="Calibri" w:hAnsi="Calibri"/>
          <w:b/>
          <w:bCs/>
          <w:color w:val="11161C"/>
          <w:sz w:val="25"/>
          <w:szCs w:val="25"/>
        </w:rPr>
        <w:t xml:space="preserve">4.1 An answer to the question confidential computing cannot answer</w:t>
      </w:r>
    </w:p>
    <w:p>
      <w:pPr>
        <w:spacing w:after="150" w:line="290"/>
      </w:pPr>
      <w:r>
        <w:rPr>
          <w:rFonts w:ascii="Calibri" w:cs="Calibri" w:eastAsia="Calibri" w:hAnsi="Calibri"/>
          <w:b w:val="false"/>
          <w:bCs w:val="false"/>
          <w:i w:val="false"/>
          <w:iCs w:val="false"/>
          <w:color w:val="23303C"/>
          <w:sz w:val="21"/>
          <w:szCs w:val="21"/>
        </w:rPr>
        <w:t xml:space="preserve">The hardest objection to confidential AI in a regulated buyer's procurement process is not “is the memory encrypted”. It is some version of: </w:t>
      </w:r>
      <w:r>
        <w:rPr>
          <w:rFonts w:ascii="Calibri" w:cs="Calibri" w:eastAsia="Calibri" w:hAnsi="Calibri"/>
          <w:b w:val="false"/>
          <w:bCs w:val="false"/>
          <w:i/>
          <w:iCs/>
          <w:color w:val="23303C"/>
          <w:sz w:val="21"/>
          <w:szCs w:val="21"/>
        </w:rPr>
        <w:t xml:space="preserve">you have told me the workload was protected; now tell me what it was doing, prove it has not been edited since, and let my auditor check that without calling you.</w:t>
      </w:r>
    </w:p>
    <w:p>
      <w:pPr>
        <w:spacing w:after="150" w:line="290"/>
      </w:pPr>
      <w:r>
        <w:rPr>
          <w:rFonts w:ascii="Calibri" w:cs="Calibri" w:eastAsia="Calibri" w:hAnsi="Calibri"/>
          <w:b w:val="false"/>
          <w:bCs w:val="false"/>
          <w:i w:val="false"/>
          <w:iCs w:val="false"/>
          <w:color w:val="23303C"/>
          <w:sz w:val="21"/>
          <w:szCs w:val="21"/>
        </w:rPr>
        <w:t xml:space="preserve">Attestation is live-only by nature: it establishes a property of a running machine. Once the pod is gone, the attestation is a memory. CooL converts a moment of attestation into a </w:t>
      </w:r>
      <w:r>
        <w:rPr>
          <w:rFonts w:ascii="Calibri" w:cs="Calibri" w:eastAsia="Calibri" w:hAnsi="Calibri"/>
          <w:b/>
          <w:bCs/>
          <w:i w:val="false"/>
          <w:iCs w:val="false"/>
          <w:color w:val="23303C"/>
          <w:sz w:val="21"/>
          <w:szCs w:val="21"/>
        </w:rPr>
        <w:t xml:space="preserve">durable artefact</w:t>
      </w:r>
      <w:r>
        <w:rPr>
          <w:rFonts w:ascii="Calibri" w:cs="Calibri" w:eastAsia="Calibri" w:hAnsi="Calibri"/>
          <w:b w:val="false"/>
          <w:bCs w:val="false"/>
          <w:i w:val="false"/>
          <w:iCs w:val="false"/>
          <w:color w:val="23303C"/>
          <w:sz w:val="21"/>
          <w:szCs w:val="21"/>
        </w:rPr>
        <w:t xml:space="preserve"> that still carries the measurement, the policy hash and the manifest digest years later. That extends the value of every attestation Contrast performs beyond the lifetime of the pod that performed it.</w:t>
      </w:r>
    </w:p>
    <w:p>
      <w:pPr>
        <w:pStyle w:val="Heading2"/>
        <w:spacing w:after="110" w:before="280"/>
      </w:pPr>
      <w:r>
        <w:rPr>
          <w:rFonts w:ascii="Calibri" w:cs="Calibri" w:eastAsia="Calibri" w:hAnsi="Calibri"/>
          <w:b/>
          <w:bCs/>
          <w:color w:val="11161C"/>
          <w:sz w:val="25"/>
          <w:szCs w:val="25"/>
        </w:rPr>
        <w:t xml:space="preserve">4.2 A reason the Coordinator's work matters downstream</w:t>
      </w:r>
    </w:p>
    <w:p>
      <w:pPr>
        <w:spacing w:after="150" w:line="290"/>
      </w:pPr>
      <w:r>
        <w:rPr>
          <w:rFonts w:ascii="Calibri" w:cs="Calibri" w:eastAsia="Calibri" w:hAnsi="Calibri"/>
          <w:b w:val="false"/>
          <w:bCs w:val="false"/>
          <w:i w:val="false"/>
          <w:iCs w:val="false"/>
          <w:color w:val="23303C"/>
          <w:sz w:val="21"/>
          <w:szCs w:val="21"/>
        </w:rPr>
        <w:t xml:space="preserve">Today the Coordinator's verdict is consumed by the service mesh and by whoever runs </w:t>
      </w:r>
      <w:r>
        <w:rPr>
          <w:rFonts w:ascii="Consolas" w:cs="Consolas" w:eastAsia="Consolas" w:hAnsi="Consolas"/>
          <w:color w:val="0F766E"/>
          <w:sz w:val="19"/>
          <w:szCs w:val="19"/>
        </w:rPr>
        <w:t xml:space="preserve">contrast verify</w:t>
      </w:r>
      <w:r>
        <w:rPr>
          <w:rFonts w:ascii="Calibri" w:cs="Calibri" w:eastAsia="Calibri" w:hAnsi="Calibri"/>
          <w:b w:val="false"/>
          <w:bCs w:val="false"/>
          <w:i w:val="false"/>
          <w:iCs w:val="false"/>
          <w:color w:val="23303C"/>
          <w:sz w:val="21"/>
          <w:szCs w:val="21"/>
        </w:rPr>
        <w:t xml:space="preserve">. Under this integration, that verdict is also what makes an auditor's verification succeed or fail — the </w:t>
      </w:r>
      <w:r>
        <w:rPr>
          <w:rFonts w:ascii="Consolas" w:cs="Consolas" w:eastAsia="Consolas" w:hAnsi="Consolas"/>
          <w:color w:val="0F766E"/>
          <w:sz w:val="19"/>
          <w:szCs w:val="19"/>
        </w:rPr>
        <w:t xml:space="preserve">workload</w:t>
      </w:r>
      <w:r>
        <w:rPr>
          <w:rFonts w:ascii="Calibri" w:cs="Calibri" w:eastAsia="Calibri" w:hAnsi="Calibri"/>
          <w:b w:val="false"/>
          <w:bCs w:val="false"/>
          <w:i w:val="false"/>
          <w:iCs w:val="false"/>
          <w:color w:val="23303C"/>
          <w:sz w:val="21"/>
          <w:szCs w:val="21"/>
        </w:rPr>
        <w:t xml:space="preserve"> domain cannot reach </w:t>
      </w:r>
      <w:r>
        <w:rPr>
          <w:rFonts w:ascii="Consolas" w:cs="Consolas" w:eastAsia="Consolas" w:hAnsi="Consolas"/>
          <w:color w:val="0F766E"/>
          <w:sz w:val="19"/>
          <w:szCs w:val="19"/>
        </w:rPr>
        <w:t xml:space="preserve">pass</w:t>
      </w:r>
      <w:r>
        <w:rPr>
          <w:rFonts w:ascii="Calibri" w:cs="Calibri" w:eastAsia="Calibri" w:hAnsi="Calibri"/>
          <w:b w:val="false"/>
          <w:bCs w:val="false"/>
          <w:i w:val="false"/>
          <w:iCs w:val="false"/>
          <w:color w:val="23303C"/>
          <w:sz w:val="21"/>
          <w:szCs w:val="21"/>
        </w:rPr>
        <w:t xml:space="preserve"> without a Coordinator root the reader pinned themselves.</w:t>
      </w:r>
    </w:p>
    <w:p>
      <w:pPr>
        <w:spacing w:after="150" w:line="290"/>
      </w:pPr>
      <w:r>
        <w:rPr>
          <w:rFonts w:ascii="Calibri" w:cs="Calibri" w:eastAsia="Calibri" w:hAnsi="Calibri"/>
          <w:b w:val="false"/>
          <w:bCs w:val="false"/>
          <w:i w:val="false"/>
          <w:iCs w:val="false"/>
          <w:color w:val="23303C"/>
          <w:sz w:val="21"/>
          <w:szCs w:val="21"/>
        </w:rPr>
        <w:t xml:space="preserve">That puts the Coordinator at the centre of an audit workflow rather than only a deployment workflow, and it does so without expanding what Contrast has to trust or maintain.</w:t>
      </w:r>
    </w:p>
    <w:p>
      <w:pPr>
        <w:pStyle w:val="Heading2"/>
        <w:spacing w:after="110" w:before="280"/>
      </w:pPr>
      <w:r>
        <w:rPr>
          <w:rFonts w:ascii="Calibri" w:cs="Calibri" w:eastAsia="Calibri" w:hAnsi="Calibri"/>
          <w:b/>
          <w:bCs/>
          <w:color w:val="11161C"/>
          <w:sz w:val="25"/>
          <w:szCs w:val="25"/>
        </w:rPr>
        <w:t xml:space="preserve">4.3 Differentiation against plain Confidential Containers</w:t>
      </w:r>
    </w:p>
    <w:p>
      <w:pPr>
        <w:spacing w:after="150" w:line="290"/>
      </w:pPr>
      <w:r>
        <w:rPr>
          <w:rFonts w:ascii="Calibri" w:cs="Calibri" w:eastAsia="Calibri" w:hAnsi="Calibri"/>
          <w:b w:val="false"/>
          <w:bCs w:val="false"/>
          <w:i w:val="false"/>
          <w:iCs w:val="false"/>
          <w:color w:val="23303C"/>
          <w:sz w:val="21"/>
          <w:szCs w:val="21"/>
        </w:rPr>
        <w:t xml:space="preserve">Contrast's architectural advantage over a bare CoCo deployment is the Coordinator: a manifest, reference values, admission control, an attested PKI. That advantage is real and somewhat hard to demonstrate in a short meeting, because its output is a certificate rather than something a buyer can hold.</w:t>
      </w:r>
    </w:p>
    <w:p>
      <w:pPr>
        <w:spacing w:after="150" w:line="290"/>
      </w:pPr>
      <w:r>
        <w:rPr>
          <w:rFonts w:ascii="Calibri" w:cs="Calibri" w:eastAsia="Calibri" w:hAnsi="Calibri"/>
          <w:b w:val="false"/>
          <w:bCs w:val="false"/>
          <w:i w:val="false"/>
          <w:iCs w:val="false"/>
          <w:color w:val="23303C"/>
          <w:sz w:val="21"/>
          <w:szCs w:val="21"/>
        </w:rPr>
        <w:t xml:space="preserve">This integration gives it a demonstrable output. The seven-act demo ends with four forgery attempts that </w:t>
      </w:r>
      <w:r>
        <w:rPr>
          <w:rFonts w:ascii="Calibri" w:cs="Calibri" w:eastAsia="Calibri" w:hAnsi="Calibri"/>
          <w:b/>
          <w:bCs/>
          <w:i w:val="false"/>
          <w:iCs w:val="false"/>
          <w:color w:val="23303C"/>
          <w:sz w:val="21"/>
          <w:szCs w:val="21"/>
        </w:rPr>
        <w:t xml:space="preserve">must</w:t>
      </w:r>
      <w:r>
        <w:rPr>
          <w:rFonts w:ascii="Calibri" w:cs="Calibri" w:eastAsia="Calibri" w:hAnsi="Calibri"/>
          <w:b w:val="false"/>
          <w:bCs w:val="false"/>
          <w:i w:val="false"/>
          <w:iCs w:val="false"/>
          <w:color w:val="23303C"/>
          <w:sz w:val="21"/>
          <w:szCs w:val="21"/>
        </w:rPr>
        <w:t xml:space="preserve"> fail — a stolen credential, a full double swap, a Coordinator nobody attested, a rebuilt image — and each failure is attributable to a specific Contrast guarantee. It is a concrete way to show why the Coordinator exists.</w:t>
      </w:r>
    </w:p>
    <w:p>
      <w:pPr>
        <w:pStyle w:val="Heading2"/>
        <w:spacing w:after="110" w:before="280"/>
      </w:pPr>
      <w:r>
        <w:rPr>
          <w:rFonts w:ascii="Calibri" w:cs="Calibri" w:eastAsia="Calibri" w:hAnsi="Calibri"/>
          <w:b/>
          <w:bCs/>
          <w:color w:val="11161C"/>
          <w:sz w:val="25"/>
          <w:szCs w:val="25"/>
        </w:rPr>
        <w:t xml:space="preserve">4.4 Reach into AI governance budgets</w:t>
      </w:r>
    </w:p>
    <w:p>
      <w:pPr>
        <w:spacing w:after="150" w:line="290"/>
      </w:pPr>
      <w:r>
        <w:rPr>
          <w:rFonts w:ascii="Calibri" w:cs="Calibri" w:eastAsia="Calibri" w:hAnsi="Calibri"/>
          <w:b w:val="false"/>
          <w:bCs w:val="false"/>
          <w:i w:val="false"/>
          <w:iCs w:val="false"/>
          <w:color w:val="23303C"/>
          <w:sz w:val="21"/>
          <w:szCs w:val="21"/>
        </w:rPr>
        <w:t xml:space="preserve">Confidential computing is typically sold to a platform or security team against an infrastructure budget. AI governance, model risk management and audit readiness are usually a different buyer with a different budget, and often a more urgent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48"/>
        <w:gridCol w:w="3744"/>
        <w:gridCol w:w="3888"/>
      </w:tblGrid>
      <w:tr>
        <w:trPr>
          <w:tblHeader/>
        </w:trPr>
        <w:tc>
          <w:tcPr>
            <w:tcW w:type="dxa" w:w="244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Driver</w:t>
            </w:r>
          </w:p>
        </w:tc>
        <w:tc>
          <w:tcPr>
            <w:tcW w:type="dxa" w:w="3744"/>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the buyer has to evidence</w:t>
            </w:r>
          </w:p>
        </w:tc>
        <w:tc>
          <w:tcPr>
            <w:tcW w:type="dxa" w:w="388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Where this integration lands</w:t>
            </w:r>
          </w:p>
        </w:tc>
      </w:tr>
      <w:tr>
        <w:trPr>
          <w:tblHeader w:val="off"/>
        </w:trPr>
        <w:tc>
          <w:tcPr>
            <w:tcW w:type="dxa" w:w="24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EU AI Act, high-risk systems</w:t>
            </w:r>
          </w:p>
        </w:tc>
        <w:tc>
          <w:tcPr>
            <w:tcW w:type="dxa" w:w="3744"/>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Record-keeping and traceability over the system's lifecycle; post-market monitoring</w:t>
            </w:r>
          </w:p>
        </w:tc>
        <w:tc>
          <w:tcPr>
            <w:tcW w:type="dxa" w:w="3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Change records with actor, time and ordering, bound to the attested workload</w:t>
            </w:r>
          </w:p>
        </w:tc>
      </w:tr>
      <w:tr>
        <w:trPr>
          <w:tblHeader w:val="off"/>
        </w:trPr>
        <w:tc>
          <w:tcPr>
            <w:tcW w:type="dxa" w:w="24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Model risk management (e.g. SR 11-7 lineage practice)</w:t>
            </w:r>
          </w:p>
        </w:tc>
        <w:tc>
          <w:tcPr>
            <w:tcW w:type="dxa" w:w="3744"/>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Model and configuration change control, with independent review</w:t>
            </w:r>
          </w:p>
        </w:tc>
        <w:tc>
          <w:tcPr>
            <w:tcW w:type="dxa" w:w="3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An auditor verifies offline, without operator cooperation</w:t>
            </w:r>
          </w:p>
        </w:tc>
      </w:tr>
      <w:tr>
        <w:trPr>
          <w:tblHeader w:val="off"/>
        </w:trPr>
        <w:tc>
          <w:tcPr>
            <w:tcW w:type="dxa" w:w="244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ISO/IEC 42001 AI management systems</w:t>
            </w:r>
          </w:p>
        </w:tc>
        <w:tc>
          <w:tcPr>
            <w:tcW w:type="dxa" w:w="3744"/>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Documented control over changes to the AI system</w:t>
            </w:r>
          </w:p>
        </w:tc>
        <w:tc>
          <w:tcPr>
            <w:tcW w:type="dxa" w:w="388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The same artefact serves the control and its evidence</w:t>
            </w:r>
          </w:p>
        </w:tc>
      </w:tr>
      <w:tr>
        <w:trPr>
          <w:tblHeader w:val="off"/>
        </w:trPr>
        <w:tc>
          <w:tcPr>
            <w:tcW w:type="dxa" w:w="244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Internal audit of agentic systems</w:t>
            </w:r>
          </w:p>
        </w:tc>
        <w:tc>
          <w:tcPr>
            <w:tcW w:type="dxa" w:w="3744"/>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What permissions did the agent have, and when did they widen?</w:t>
            </w:r>
          </w:p>
        </w:tc>
        <w:tc>
          <w:tcPr>
            <w:tcW w:type="dxa" w:w="388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onsolas" w:cs="Consolas" w:eastAsia="Consolas" w:hAnsi="Consolas"/>
                <w:color w:val="0F766E"/>
                <w:sz w:val="16"/>
                <w:szCs w:val="16"/>
              </w:rPr>
              <w:t xml:space="preserve">agent-permission</w:t>
            </w:r>
            <w:r>
              <w:rPr>
                <w:rFonts w:ascii="Calibri" w:cs="Calibri" w:eastAsia="Calibri" w:hAnsi="Calibri"/>
                <w:b w:val="false"/>
                <w:bCs w:val="false"/>
                <w:i w:val="false"/>
                <w:iCs w:val="false"/>
                <w:color w:val="23303C"/>
                <w:sz w:val="18"/>
                <w:szCs w:val="18"/>
              </w:rPr>
              <w:t xml:space="preserve"> change records in the same signed log</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B45309" w:sz="18"/>
              <w:bottom w:val="none" w:color="FFFFFF" w:sz="0"/>
              <w:right w:val="none" w:color="FFFFFF" w:sz="0"/>
            </w:tcBorders>
            <w:shd w:fill="FFF8EC" w:color="auto" w:val="clear"/>
            <w:tcMar>
              <w:top w:type="dxa" w:w="150"/>
              <w:left w:type="dxa" w:w="200"/>
              <w:bottom w:type="dxa" w:w="150"/>
              <w:right w:type="dxa" w:w="200"/>
            </w:tcMar>
          </w:tcPr>
          <w:p>
            <w:pPr>
              <w:spacing w:after="70"/>
            </w:pPr>
            <w:r>
              <w:rPr>
                <w:rFonts w:ascii="Calibri" w:cs="Calibri" w:eastAsia="Calibri" w:hAnsi="Calibri"/>
                <w:b/>
                <w:bCs/>
                <w:color w:val="B45309"/>
                <w:sz w:val="16"/>
                <w:szCs w:val="16"/>
              </w:rPr>
              <w:t xml:space="preserve">AN EXPLICIT NON-CLAIM</w:t>
            </w:r>
          </w:p>
          <w:p>
            <w:pPr>
              <w:spacing w:after="0" w:line="260"/>
            </w:pPr>
            <w:r>
              <w:rPr>
                <w:rFonts w:ascii="Calibri" w:cs="Calibri" w:eastAsia="Calibri" w:hAnsi="Calibri"/>
                <w:b w:val="false"/>
                <w:bCs w:val="false"/>
                <w:i w:val="false"/>
                <w:iCs w:val="false"/>
                <w:color w:val="6B4A16"/>
                <w:sz w:val="19"/>
                <w:szCs w:val="19"/>
              </w:rPr>
              <w:t xml:space="preserve">Nothing here makes anyone compliant with anything. Regulations require processes, judgement and documentation; this produces evidence that a process was followed. That is a necessary input to an audit, not a substitute for one — and it is worth saying plainly, because the opposite claim is common in this market and does not survive contact with an auditor.</w:t>
            </w:r>
          </w:p>
        </w:tc>
      </w:tr>
    </w:tbl>
    <w:p>
      <w:pPr>
        <w:spacing w:after="200"/>
      </w:pPr>
    </w:p>
    <w:p>
      <w:pPr>
        <w:pStyle w:val="Heading2"/>
        <w:spacing w:after="110" w:before="280"/>
      </w:pPr>
      <w:r>
        <w:rPr>
          <w:rFonts w:ascii="Calibri" w:cs="Calibri" w:eastAsia="Calibri" w:hAnsi="Calibri"/>
          <w:b/>
          <w:bCs/>
          <w:color w:val="11161C"/>
          <w:sz w:val="25"/>
          <w:szCs w:val="25"/>
        </w:rPr>
        <w:t xml:space="preserve">4.5 A reference architecture, not a one-off</w:t>
      </w:r>
    </w:p>
    <w:p>
      <w:pPr>
        <w:spacing w:after="150" w:line="290"/>
      </w:pPr>
      <w:r>
        <w:rPr>
          <w:rFonts w:ascii="Calibri" w:cs="Calibri" w:eastAsia="Calibri" w:hAnsi="Calibri"/>
          <w:b w:val="false"/>
          <w:bCs w:val="false"/>
          <w:i w:val="false"/>
          <w:iCs w:val="false"/>
          <w:color w:val="23303C"/>
          <w:sz w:val="21"/>
          <w:szCs w:val="21"/>
        </w:rPr>
        <w:t xml:space="preserve">The integration binds to </w:t>
      </w:r>
      <w:r>
        <w:rPr>
          <w:rFonts w:ascii="Consolas" w:cs="Consolas" w:eastAsia="Consolas" w:hAnsi="Consolas"/>
          <w:color w:val="0F766E"/>
          <w:sz w:val="19"/>
          <w:szCs w:val="19"/>
        </w:rPr>
        <w:t xml:space="preserve">WorkloadIdentityV1</w:t>
      </w:r>
      <w:r>
        <w:rPr>
          <w:rFonts w:ascii="Calibri" w:cs="Calibri" w:eastAsia="Calibri" w:hAnsi="Calibri"/>
          <w:b w:val="false"/>
          <w:bCs w:val="false"/>
          <w:i w:val="false"/>
          <w:iCs w:val="false"/>
          <w:color w:val="23303C"/>
          <w:sz w:val="21"/>
          <w:szCs w:val="21"/>
        </w:rPr>
        <w:t xml:space="preserve">, a platform-neutral shape in CooL's receipt format, with </w:t>
      </w:r>
      <w:r>
        <w:rPr>
          <w:rFonts w:ascii="Consolas" w:cs="Consolas" w:eastAsia="Consolas" w:hAnsi="Consolas"/>
          <w:color w:val="0F766E"/>
          <w:sz w:val="19"/>
          <w:szCs w:val="19"/>
        </w:rPr>
        <w:t xml:space="preserve">platform: "contrast"</w:t>
      </w:r>
      <w:r>
        <w:rPr>
          <w:rFonts w:ascii="Calibri" w:cs="Calibri" w:eastAsia="Calibri" w:hAnsi="Calibri"/>
          <w:b w:val="false"/>
          <w:bCs w:val="false"/>
          <w:i w:val="false"/>
          <w:iCs w:val="false"/>
          <w:color w:val="23303C"/>
          <w:sz w:val="21"/>
          <w:szCs w:val="21"/>
        </w:rPr>
        <w:t xml:space="preserve"> as its first implementation. The surface Contrast exposes — measurement-released secret, plus a credential naming the workload — is the general pattern. Any orchestrator that provides those two things can be bound the same way, which means Contrast is the reference implementation of a pattern rather than a special case in someone's SDK.</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5 · What CooL gains</w:t>
      </w:r>
    </w:p>
    <w:p>
      <w:pPr>
        <w:pStyle w:val="Heading2"/>
        <w:spacing w:after="110" w:before="280"/>
      </w:pPr>
      <w:r>
        <w:rPr>
          <w:rFonts w:ascii="Calibri" w:cs="Calibri" w:eastAsia="Calibri" w:hAnsi="Calibri"/>
          <w:b/>
          <w:bCs/>
          <w:color w:val="11161C"/>
          <w:sz w:val="25"/>
          <w:szCs w:val="25"/>
        </w:rPr>
        <w:t xml:space="preserve">5.1 A hardware root it does not have to build</w:t>
      </w:r>
    </w:p>
    <w:p>
      <w:pPr>
        <w:spacing w:after="150" w:line="290"/>
      </w:pPr>
      <w:r>
        <w:rPr>
          <w:rFonts w:ascii="Calibri" w:cs="Calibri" w:eastAsia="Calibri" w:hAnsi="Calibri"/>
          <w:b w:val="false"/>
          <w:bCs w:val="false"/>
          <w:i w:val="false"/>
          <w:iCs w:val="false"/>
          <w:color w:val="23303C"/>
          <w:sz w:val="21"/>
          <w:szCs w:val="21"/>
        </w:rPr>
        <w:t xml:space="preserve">CooL's existing confidential-compute path is Phala dstack on Intel TDX. Contrast adds </w:t>
      </w:r>
      <w:r>
        <w:rPr>
          <w:rFonts w:ascii="Calibri" w:cs="Calibri" w:eastAsia="Calibri" w:hAnsi="Calibri"/>
          <w:b/>
          <w:bCs/>
          <w:i w:val="false"/>
          <w:iCs w:val="false"/>
          <w:color w:val="23303C"/>
          <w:sz w:val="21"/>
          <w:szCs w:val="21"/>
        </w:rPr>
        <w:t xml:space="preserve">AMD SEV-SNP</w:t>
      </w:r>
      <w:r>
        <w:rPr>
          <w:rFonts w:ascii="Calibri" w:cs="Calibri" w:eastAsia="Calibri" w:hAnsi="Calibri"/>
          <w:b w:val="false"/>
          <w:bCs w:val="false"/>
          <w:i w:val="false"/>
          <w:iCs w:val="false"/>
          <w:color w:val="23303C"/>
          <w:sz w:val="21"/>
          <w:szCs w:val="21"/>
        </w:rPr>
        <w:t xml:space="preserve">, bare-metal and AKS deployment models, and Kubernetes-native operation — through one integration, with no second attestation stack to maintain. The evidence plane, capture queue, transparency log and verifier are entirely unchanged; only the attestation source differs.</w:t>
      </w:r>
    </w:p>
    <w:p>
      <w:pPr>
        <w:pStyle w:val="Heading2"/>
        <w:spacing w:after="110" w:before="280"/>
      </w:pPr>
      <w:r>
        <w:rPr>
          <w:rFonts w:ascii="Calibri" w:cs="Calibri" w:eastAsia="Calibri" w:hAnsi="Calibri"/>
          <w:b/>
          <w:bCs/>
          <w:color w:val="11161C"/>
          <w:sz w:val="25"/>
          <w:szCs w:val="25"/>
        </w:rPr>
        <w:t xml:space="preserve">5.2 Manifest-based policy it can pin</w:t>
      </w:r>
    </w:p>
    <w:p>
      <w:pPr>
        <w:spacing w:after="150" w:line="290"/>
      </w:pPr>
      <w:r>
        <w:rPr>
          <w:rFonts w:ascii="Calibri" w:cs="Calibri" w:eastAsia="Calibri" w:hAnsi="Calibri"/>
          <w:b w:val="false"/>
          <w:bCs w:val="false"/>
          <w:i w:val="false"/>
          <w:iCs w:val="false"/>
          <w:color w:val="23303C"/>
          <w:sz w:val="21"/>
          <w:szCs w:val="21"/>
        </w:rPr>
        <w:t xml:space="preserve">On its own, CooL can pin a measurement an operator gave it, which is only as trustworthy as the process that produced it. Contrast supplies something better: a signed manifest listing every pod allowed to run and the reference values their hardware must satisfy. CooL pins that manifest by digest and checks the credential's policy hash against it, so a receipt states which reviewed manifest governed it.</w:t>
      </w:r>
    </w:p>
    <w:p>
      <w:pPr>
        <w:pStyle w:val="Heading2"/>
        <w:spacing w:after="110" w:before="280"/>
      </w:pPr>
      <w:r>
        <w:rPr>
          <w:rFonts w:ascii="Calibri" w:cs="Calibri" w:eastAsia="Calibri" w:hAnsi="Calibri"/>
          <w:b/>
          <w:bCs/>
          <w:color w:val="11161C"/>
          <w:sz w:val="25"/>
          <w:szCs w:val="25"/>
        </w:rPr>
        <w:t xml:space="preserve">5.3 The key-management problem removed</w:t>
      </w:r>
    </w:p>
    <w:p>
      <w:pPr>
        <w:spacing w:after="150" w:line="290"/>
      </w:pPr>
      <w:r>
        <w:rPr>
          <w:rFonts w:ascii="Calibri" w:cs="Calibri" w:eastAsia="Calibri" w:hAnsi="Calibri"/>
          <w:b w:val="false"/>
          <w:bCs w:val="false"/>
          <w:i w:val="false"/>
          <w:iCs w:val="false"/>
          <w:color w:val="23303C"/>
          <w:sz w:val="21"/>
          <w:szCs w:val="21"/>
        </w:rPr>
        <w:t xml:space="preserve">The single most common objection to signed-evidence systems is the signing key: who holds it, where it lives, what happens when it leaks, who could have forged the log. Deriving the key from the Contrast workload secret removes the question rather than answering it. There is no key to provision, rotate, or subpoena — and Northwind Cipher cannot forge a customer's records even if it wanted to.</w:t>
      </w:r>
    </w:p>
    <w:p>
      <w:pPr>
        <w:pStyle w:val="Heading2"/>
        <w:spacing w:after="110" w:before="280"/>
      </w:pPr>
      <w:r>
        <w:rPr>
          <w:rFonts w:ascii="Calibri" w:cs="Calibri" w:eastAsia="Calibri" w:hAnsi="Calibri"/>
          <w:b/>
          <w:bCs/>
          <w:color w:val="11161C"/>
          <w:sz w:val="25"/>
          <w:szCs w:val="25"/>
        </w:rPr>
        <w:t xml:space="preserve">5.4 Credibility by construction</w:t>
      </w:r>
    </w:p>
    <w:p>
      <w:pPr>
        <w:spacing w:after="150" w:line="290"/>
      </w:pPr>
      <w:r>
        <w:rPr>
          <w:rFonts w:ascii="Calibri" w:cs="Calibri" w:eastAsia="Calibri" w:hAnsi="Calibri"/>
          <w:b w:val="false"/>
          <w:bCs w:val="false"/>
          <w:i w:val="false"/>
          <w:iCs w:val="false"/>
          <w:color w:val="23303C"/>
          <w:sz w:val="21"/>
          <w:szCs w:val="21"/>
        </w:rPr>
        <w:t xml:space="preserve">CooL's conformance tests run against certificates produced by </w:t>
      </w:r>
      <w:r>
        <w:rPr>
          <w:rFonts w:ascii="Calibri" w:cs="Calibri" w:eastAsia="Calibri" w:hAnsi="Calibri"/>
          <w:b/>
          <w:bCs/>
          <w:i w:val="false"/>
          <w:iCs w:val="false"/>
          <w:color w:val="23303C"/>
          <w:sz w:val="21"/>
          <w:szCs w:val="21"/>
        </w:rPr>
        <w:t xml:space="preserve">Contrast's own Go packages</w:t>
      </w:r>
      <w:r>
        <w:rPr>
          <w:rFonts w:ascii="Calibri" w:cs="Calibri" w:eastAsia="Calibri" w:hAnsi="Calibri"/>
          <w:b w:val="false"/>
          <w:bCs w:val="false"/>
          <w:i w:val="false"/>
          <w:iCs w:val="false"/>
          <w:color w:val="23303C"/>
          <w:sz w:val="21"/>
          <w:szCs w:val="21"/>
        </w:rPr>
        <w:t xml:space="preserve">, so they assert agreement between two independent implementations rather than self-consistency. That is a materially stronger claim than a test suite can usually make, and it is only available because Contrast's relevant code is readable.</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6 · What the customer gains</w:t>
      </w:r>
    </w:p>
    <w:p>
      <w:pPr>
        <w:spacing w:after="150" w:line="290"/>
      </w:pPr>
      <w:r>
        <w:rPr>
          <w:rFonts w:ascii="Calibri" w:cs="Calibri" w:eastAsia="Calibri" w:hAnsi="Calibri"/>
          <w:b w:val="false"/>
          <w:bCs w:val="false"/>
          <w:i w:val="false"/>
          <w:iCs w:val="false"/>
          <w:color w:val="23303C"/>
          <w:sz w:val="21"/>
          <w:szCs w:val="21"/>
        </w:rPr>
        <w:t xml:space="preserve">Three things, in the order they tend to be asked for.</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One artefact, both answers.</w:t>
      </w:r>
      <w:r>
        <w:rPr>
          <w:rFonts w:ascii="Calibri" w:cs="Calibri" w:eastAsia="Calibri" w:hAnsi="Calibri"/>
          <w:b w:val="false"/>
          <w:bCs w:val="false"/>
          <w:i w:val="false"/>
          <w:iCs w:val="false"/>
          <w:color w:val="23303C"/>
          <w:sz w:val="21"/>
          <w:szCs w:val="21"/>
        </w:rPr>
        <w:t xml:space="preserve"> The platform team's attestation story and the audit team's change-control story become the same signed record, rather than two systems to reconcile when someone asks how they relate.</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Verification without cooperation.</w:t>
      </w:r>
      <w:r>
        <w:rPr>
          <w:rFonts w:ascii="Calibri" w:cs="Calibri" w:eastAsia="Calibri" w:hAnsi="Calibri"/>
          <w:b w:val="false"/>
          <w:bCs w:val="false"/>
          <w:i w:val="false"/>
          <w:iCs w:val="false"/>
          <w:color w:val="23303C"/>
          <w:sz w:val="21"/>
          <w:szCs w:val="21"/>
        </w:rPr>
        <w:t xml:space="preserve"> An auditor, regulator or counterparty verifies with the receipts plus two files — the Coordinator root and the manifest — and no network, no account, no access to the cluster, and no trust in either vendor. Verification is fully offline and tested to make no network call.</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No new trusted party.</w:t>
      </w:r>
      <w:r>
        <w:rPr>
          <w:rFonts w:ascii="Calibri" w:cs="Calibri" w:eastAsia="Calibri" w:hAnsi="Calibri"/>
          <w:b w:val="false"/>
          <w:bCs w:val="false"/>
          <w:i w:val="false"/>
          <w:iCs w:val="false"/>
          <w:color w:val="23303C"/>
          <w:sz w:val="21"/>
          <w:szCs w:val="21"/>
        </w:rPr>
        <w:t xml:space="preserve"> The integration introduces no service, no registry, no hosted verifier and no escrow. The trust set is the silicon vendor, the Coordinator the reader attested themselves, and standard cryptography.</w:t>
      </w:r>
    </w:p>
    <w:p>
      <w:pPr>
        <w:spacing w:after="80"/>
      </w:pPr>
    </w:p>
    <w:p>
      <w:pPr>
        <w:pStyle w:val="Heading2"/>
        <w:spacing w:after="110" w:before="280"/>
      </w:pPr>
      <w:r>
        <w:rPr>
          <w:rFonts w:ascii="Calibri" w:cs="Calibri" w:eastAsia="Calibri" w:hAnsi="Calibri"/>
          <w:b/>
          <w:bCs/>
          <w:color w:val="11161C"/>
          <w:sz w:val="25"/>
          <w:szCs w:val="25"/>
        </w:rPr>
        <w:t xml:space="preserve">6.1 The operational cost of adopting it</w:t>
      </w:r>
    </w:p>
    <w:p>
      <w:pPr>
        <w:spacing w:after="150" w:line="290"/>
      </w:pPr>
      <w:r>
        <w:rPr>
          <w:rFonts w:ascii="Calibri" w:cs="Calibri" w:eastAsia="Calibri" w:hAnsi="Calibri"/>
          <w:b w:val="false"/>
          <w:bCs w:val="false"/>
          <w:i w:val="false"/>
          <w:iCs w:val="false"/>
          <w:color w:val="23303C"/>
          <w:sz w:val="21"/>
          <w:szCs w:val="21"/>
        </w:rPr>
        <w:t xml:space="preserve">Honestly small, which matters more than it sounds.</w:t>
      </w:r>
    </w:p>
    <w:p>
      <w:pPr>
        <w:shd w:fill="F4F7F8" w:color="auto" w:val="clear"/>
        <w:spacing w:after="0" w:before="60" w:line="220"/>
        <w:ind w:left="170" w:right="170"/>
      </w:pPr>
      <w:r>
        <w:rPr>
          <w:rFonts w:ascii="Consolas" w:cs="Consolas" w:eastAsia="Consolas" w:hAnsi="Consolas"/>
          <w:color w:val="1F3A3A"/>
          <w:sz w:val="16"/>
          <w:szCs w:val="16"/>
        </w:rPr>
        <w:t xml:space="preserve">runtimeClassName: contrast-cc                                      # already there</w:t>
      </w:r>
    </w:p>
    <w:p>
      <w:pPr>
        <w:shd w:fill="F4F7F8" w:color="auto" w:val="clear"/>
        <w:spacing w:after="0" w:before="0" w:line="220"/>
        <w:ind w:left="170" w:right="170"/>
      </w:pPr>
      <w:r>
        <w:rPr>
          <w:rFonts w:ascii="Consolas" w:cs="Consolas" w:eastAsia="Consolas" w:hAnsi="Consolas"/>
          <w:color w:val="1F3A3A"/>
          <w:sz w:val="16"/>
          <w:szCs w:val="16"/>
        </w:rPr>
        <w:t xml:space="preserve">contrast.edgeless.systems/workload-secret-id: default/ai-service   # one annotation</w:t>
      </w:r>
    </w:p>
    <w:p>
      <w:pPr>
        <w:shd w:fill="F4F7F8" w:color="auto" w:val="clear"/>
        <w:spacing w:after="0" w:before="0" w:line="220"/>
        <w:ind w:left="170" w:right="170"/>
      </w:pPr>
      <w:r>
        <w:rPr>
          <w:rFonts w:ascii="Consolas" w:cs="Consolas" w:eastAsia="Consolas" w:hAnsi="Consolas"/>
          <w:color w:val="1F3A3A"/>
          <w:sz w:val="16"/>
          <w:szCs w:val="16"/>
        </w:rPr>
        <w:t xml:space="preserve">COOL_CONTRAST_ROOT=/contrast                                       # one env var</w:t>
      </w:r>
    </w:p>
    <w:p>
      <w:pPr>
        <w:spacing w:after="160"/>
      </w:pPr>
    </w:p>
    <w:p>
      <w:pPr>
        <w:spacing w:after="150" w:line="290"/>
      </w:pPr>
      <w:r>
        <w:rPr>
          <w:rFonts w:ascii="Calibri" w:cs="Calibri" w:eastAsia="Calibri" w:hAnsi="Calibri"/>
          <w:b w:val="false"/>
          <w:bCs w:val="false"/>
          <w:i w:val="false"/>
          <w:iCs w:val="false"/>
          <w:color w:val="23303C"/>
          <w:sz w:val="21"/>
          <w:szCs w:val="21"/>
        </w:rPr>
        <w:t xml:space="preserve">Plus two lines in the application: construct </w:t>
      </w:r>
      <w:r>
        <w:rPr>
          <w:rFonts w:ascii="Consolas" w:cs="Consolas" w:eastAsia="Consolas" w:hAnsi="Consolas"/>
          <w:color w:val="0F766E"/>
          <w:sz w:val="19"/>
          <w:szCs w:val="19"/>
        </w:rPr>
        <w:t xml:space="preserve">ContrastWorkload</w:t>
      </w:r>
      <w:r>
        <w:rPr>
          <w:rFonts w:ascii="Calibri" w:cs="Calibri" w:eastAsia="Calibri" w:hAnsi="Calibri"/>
          <w:b w:val="false"/>
          <w:bCs w:val="false"/>
          <w:i w:val="false"/>
          <w:iCs w:val="false"/>
          <w:color w:val="23303C"/>
          <w:sz w:val="21"/>
          <w:szCs w:val="21"/>
        </w:rPr>
        <w:t xml:space="preserve">, hand it to </w:t>
      </w:r>
      <w:r>
        <w:rPr>
          <w:rFonts w:ascii="Consolas" w:cs="Consolas" w:eastAsia="Consolas" w:hAnsi="Consolas"/>
          <w:color w:val="0F766E"/>
          <w:sz w:val="19"/>
          <w:szCs w:val="19"/>
        </w:rPr>
        <w:t xml:space="preserve">CooL</w:t>
      </w:r>
      <w:r>
        <w:rPr>
          <w:rFonts w:ascii="Calibri" w:cs="Calibri" w:eastAsia="Calibri" w:hAnsi="Calibri"/>
          <w:b w:val="false"/>
          <w:bCs w:val="false"/>
          <w:i w:val="false"/>
          <w:iCs w:val="false"/>
          <w:color w:val="23303C"/>
          <w:sz w:val="21"/>
          <w:szCs w:val="21"/>
        </w:rPr>
        <w:t xml:space="preserve">. No call sites change. One extra deployment step publishes the manifest to the pod so each receipt can seal its digest.</w:t>
      </w: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7 · Commercial shape</w:t>
      </w:r>
    </w:p>
    <w:p>
      <w:pPr>
        <w:pStyle w:val="Heading2"/>
        <w:spacing w:after="110" w:before="280"/>
      </w:pPr>
      <w:r>
        <w:rPr>
          <w:rFonts w:ascii="Calibri" w:cs="Calibri" w:eastAsia="Calibri" w:hAnsi="Calibri"/>
          <w:b/>
          <w:bCs/>
          <w:color w:val="11161C"/>
          <w:sz w:val="25"/>
          <w:szCs w:val="25"/>
        </w:rPr>
        <w:t xml:space="preserve">7.1 Why the licensing is uncomplicated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3168"/>
        <w:gridCol w:w="4320"/>
      </w:tblGrid>
      <w:tr>
        <w:trPr>
          <w:tblHeader/>
        </w:trPr>
        <w:tc>
          <w:tcPr>
            <w:tcW w:type="dxa" w:w="259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
            </w:r>
          </w:p>
        </w:tc>
        <w:tc>
          <w:tcPr>
            <w:tcW w:type="dxa" w:w="3168"/>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Contrast</w:t>
            </w:r>
          </w:p>
        </w:tc>
        <w:tc>
          <w:tcPr>
            <w:tcW w:type="dxa" w:w="4320"/>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CooL</w:t>
            </w:r>
          </w:p>
        </w:tc>
      </w:tr>
      <w:tr>
        <w:trPr>
          <w:tblHeader w:val="off"/>
        </w:trPr>
        <w:tc>
          <w:tcPr>
            <w:tcW w:type="dxa" w:w="25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Licence</w:t>
            </w:r>
          </w:p>
        </w:tc>
        <w:tc>
          <w:tcPr>
            <w:tcW w:type="dxa" w:w="31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BUSL-1.1 (Edgeless Systems)</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BUSL-1.1 (Northwind Cipher)</w:t>
            </w:r>
          </w:p>
        </w:tc>
      </w:tr>
      <w:tr>
        <w:trPr>
          <w:tblHeader w:val="off"/>
        </w:trPr>
        <w:tc>
          <w:tcPr>
            <w:tcW w:type="dxa" w:w="25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Code redistributed by the other</w:t>
            </w:r>
          </w:p>
        </w:tc>
        <w:tc>
          <w:tcPr>
            <w:tcW w:type="dxa" w:w="31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w:t>
            </w:r>
          </w:p>
        </w:tc>
      </w:tr>
      <w:tr>
        <w:trPr>
          <w:tblHeader w:val="off"/>
        </w:trPr>
        <w:tc>
          <w:tcPr>
            <w:tcW w:type="dxa" w:w="259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Build-time dependency on the other</w:t>
            </w:r>
          </w:p>
        </w:tc>
        <w:tc>
          <w:tcPr>
            <w:tcW w:type="dxa" w:w="3168"/>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w:t>
            </w:r>
          </w:p>
        </w:tc>
        <w:tc>
          <w:tcPr>
            <w:tcW w:type="dxa" w:w="4320"/>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None at runtime; the fixture generator imports Contrast only inside a Contrast checkout</w:t>
            </w:r>
          </w:p>
        </w:tc>
      </w:tr>
      <w:tr>
        <w:trPr>
          <w:tblHeader w:val="off"/>
        </w:trPr>
        <w:tc>
          <w:tcPr>
            <w:tcW w:type="dxa" w:w="259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Coupling</w:t>
            </w:r>
          </w:p>
        </w:tc>
        <w:tc>
          <w:tcPr>
            <w:tcW w:type="dxa" w:w="3168"/>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Five files Contrast already writes; one certificate it already issues</w:t>
            </w:r>
          </w:p>
        </w:tc>
        <w:tc>
          <w:tcPr>
            <w:tcW w:type="dxa" w:w="4320"/>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reader of those files</w:t>
            </w:r>
          </w:p>
        </w:tc>
      </w:tr>
    </w:tbl>
    <w:p>
      <w:pPr>
        <w:spacing w:after="200"/>
      </w:pPr>
    </w:p>
    <w:p>
      <w:pPr>
        <w:spacing w:after="150" w:line="290"/>
      </w:pPr>
      <w:r>
        <w:rPr>
          <w:rFonts w:ascii="Calibri" w:cs="Calibri" w:eastAsia="Calibri" w:hAnsi="Calibri"/>
          <w:b w:val="false"/>
          <w:bCs w:val="false"/>
          <w:i w:val="false"/>
          <w:iCs w:val="false"/>
          <w:color w:val="23303C"/>
          <w:sz w:val="21"/>
          <w:szCs w:val="21"/>
        </w:rPr>
        <w:t xml:space="preserve">Each side keeps its own licensor, terms and commercial thresholds. There is no joint IP to negotiate before the integration is useful, which means a technical collaboration can start well ahead of any commercial agreement.</w:t>
      </w:r>
    </w:p>
    <w:p>
      <w:pPr>
        <w:pStyle w:val="Heading2"/>
        <w:spacing w:after="110" w:before="280"/>
      </w:pPr>
      <w:r>
        <w:rPr>
          <w:rFonts w:ascii="Calibri" w:cs="Calibri" w:eastAsia="Calibri" w:hAnsi="Calibri"/>
          <w:b/>
          <w:bCs/>
          <w:color w:val="11161C"/>
          <w:sz w:val="25"/>
          <w:szCs w:val="25"/>
        </w:rPr>
        <w:t xml:space="preserve">7.2 Who sells what</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Edgeless sells confidential execution.</w:t>
      </w:r>
      <w:r>
        <w:rPr>
          <w:rFonts w:ascii="Calibri" w:cs="Calibri" w:eastAsia="Calibri" w:hAnsi="Calibri"/>
          <w:b w:val="false"/>
          <w:bCs w:val="false"/>
          <w:i w:val="false"/>
          <w:iCs w:val="false"/>
          <w:color w:val="23303C"/>
          <w:sz w:val="21"/>
          <w:szCs w:val="21"/>
        </w:rPr>
        <w:t xml:space="preserve"> Unchanged. CooL becomes an additional reason the Coordinator is worth having, and an additional answer for the governance questions that arrive late in a confidential-AI sale.</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Northwind Cipher sells verifiable evidence.</w:t>
      </w:r>
      <w:r>
        <w:rPr>
          <w:rFonts w:ascii="Calibri" w:cs="Calibri" w:eastAsia="Calibri" w:hAnsi="Calibri"/>
          <w:b w:val="false"/>
          <w:bCs w:val="false"/>
          <w:i w:val="false"/>
          <w:iCs w:val="false"/>
          <w:color w:val="23303C"/>
          <w:sz w:val="21"/>
          <w:szCs w:val="21"/>
        </w:rPr>
        <w:t xml:space="preserve"> Contrast becomes the recommended Kubernetes deployment model for it, and the path to SEV-SNP.</w:t>
      </w:r>
    </w:p>
    <w:p>
      <w:pPr>
        <w:pStyle w:val="ListParagraph"/>
        <w:numPr>
          <w:ilvl w:val="0"/>
          <w:numId w:val="3"/>
        </w:numPr>
        <w:spacing w:after="70" w:line="280"/>
      </w:pPr>
      <w:r>
        <w:rPr>
          <w:rFonts w:ascii="Calibri" w:cs="Calibri" w:eastAsia="Calibri" w:hAnsi="Calibri"/>
          <w:b/>
          <w:bCs/>
          <w:i w:val="false"/>
          <w:iCs w:val="false"/>
          <w:color w:val="23303C"/>
          <w:sz w:val="21"/>
          <w:szCs w:val="21"/>
        </w:rPr>
        <w:t xml:space="preserve">Neither resells the other.</w:t>
      </w:r>
      <w:r>
        <w:rPr>
          <w:rFonts w:ascii="Calibri" w:cs="Calibri" w:eastAsia="Calibri" w:hAnsi="Calibri"/>
          <w:b w:val="false"/>
          <w:bCs w:val="false"/>
          <w:i w:val="false"/>
          <w:iCs w:val="false"/>
          <w:color w:val="23303C"/>
          <w:sz w:val="21"/>
          <w:szCs w:val="21"/>
        </w:rPr>
        <w:t xml:space="preserve"> The integration is a documented reference architecture, not a bundled product — which keeps both pipelines independent.</w:t>
      </w:r>
    </w:p>
    <w:p>
      <w:pPr>
        <w:spacing w:after="80"/>
      </w:pPr>
    </w:p>
    <w:p>
      <w:pPr>
        <w:pStyle w:val="Heading2"/>
        <w:spacing w:after="110" w:before="280"/>
      </w:pPr>
      <w:r>
        <w:rPr>
          <w:rFonts w:ascii="Calibri" w:cs="Calibri" w:eastAsia="Calibri" w:hAnsi="Calibri"/>
          <w:b/>
          <w:bCs/>
          <w:color w:val="11161C"/>
          <w:sz w:val="25"/>
          <w:szCs w:val="25"/>
        </w:rPr>
        <w:t xml:space="preserve">7.3 What a joint reference architecture would contain</w:t>
      </w:r>
    </w:p>
    <w:p>
      <w:pPr>
        <w:spacing w:after="150" w:line="290"/>
      </w:pPr>
      <w:r>
        <w:rPr>
          <w:rFonts w:ascii="Calibri" w:cs="Calibri" w:eastAsia="Calibri" w:hAnsi="Calibri"/>
          <w:b w:val="false"/>
          <w:bCs w:val="false"/>
          <w:i w:val="false"/>
          <w:iCs w:val="false"/>
          <w:color w:val="23303C"/>
          <w:sz w:val="21"/>
          <w:szCs w:val="21"/>
        </w:rPr>
        <w:t xml:space="preserve">Most of it exists; the gaps are listed honestly in section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tblHeader/>
        </w:trPr>
        <w:tc>
          <w:tcPr>
            <w:tcW w:type="dxa" w:w="6653"/>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Component</w:t>
            </w:r>
          </w:p>
        </w:tc>
        <w:tc>
          <w:tcPr>
            <w:tcW w:type="dxa" w:w="3427"/>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Status today</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Architecture and trust-model document</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the companion technical document</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Working integration in a published SDK</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w:t>
            </w:r>
            <w:r>
              <w:rPr>
                <w:rFonts w:ascii="Consolas" w:cs="Consolas" w:eastAsia="Consolas" w:hAnsi="Consolas"/>
                <w:color w:val="0F766E"/>
                <w:sz w:val="16"/>
                <w:szCs w:val="16"/>
              </w:rPr>
              <w:t xml:space="preserve">cool-nwc/contrast</w:t>
            </w:r>
            <w:r>
              <w:rPr>
                <w:rFonts w:ascii="Calibri" w:cs="Calibri" w:eastAsia="Calibri" w:hAnsi="Calibri"/>
                <w:b w:val="false"/>
                <w:bCs w:val="false"/>
                <w:i w:val="false"/>
                <w:iCs w:val="false"/>
                <w:color w:val="23303C"/>
                <w:sz w:val="18"/>
                <w:szCs w:val="18"/>
              </w:rPr>
              <w:t xml:space="preserve">, no new dependency</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Conformance tests against Contrast's own code</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33 tests</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Kubernetes manifest, Dockerfile, deploy script</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Written</w:t>
            </w:r>
            <w:r>
              <w:rPr>
                <w:rFonts w:ascii="Calibri" w:cs="Calibri" w:eastAsia="Calibri" w:hAnsi="Calibri"/>
                <w:b w:val="false"/>
                <w:bCs w:val="false"/>
                <w:i w:val="false"/>
                <w:iCs w:val="false"/>
                <w:color w:val="23303C"/>
                <w:sz w:val="18"/>
                <w:szCs w:val="18"/>
              </w:rPr>
              <w:t xml:space="preserve">, not yet applied to a live cluster</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End-to-end demonstration</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runs in ~90 seconds with no cluster</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Independent verifier an auditor can run</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Done</w:t>
            </w:r>
            <w:r>
              <w:rPr>
                <w:rFonts w:ascii="Calibri" w:cs="Calibri" w:eastAsia="Calibri" w:hAnsi="Calibri"/>
                <w:b w:val="false"/>
                <w:bCs w:val="false"/>
                <w:i w:val="false"/>
                <w:iCs w:val="false"/>
                <w:color w:val="23303C"/>
                <w:sz w:val="18"/>
                <w:szCs w:val="18"/>
              </w:rPr>
              <w:t xml:space="preserve"> — CLI and a 70-line script</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Validation on real TDX / SEV-SNP hardware</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Not done</w:t>
            </w:r>
            <w:r>
              <w:rPr>
                <w:rFonts w:ascii="Calibri" w:cs="Calibri" w:eastAsia="Calibri" w:hAnsi="Calibri"/>
                <w:b w:val="false"/>
                <w:bCs w:val="false"/>
                <w:i w:val="false"/>
                <w:iCs w:val="false"/>
                <w:color w:val="23303C"/>
                <w:sz w:val="18"/>
                <w:szCs w:val="18"/>
              </w:rPr>
              <w:t xml:space="preserve"> — needs a cluster</w:t>
            </w:r>
          </w:p>
        </w:tc>
      </w:tr>
      <w:tr>
        <w:trPr>
          <w:tblHeader w:val="off"/>
        </w:trPr>
        <w:tc>
          <w:tcPr>
            <w:tcW w:type="dxa" w:w="6653"/>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Independent quote verification against DCAP</w:t>
            </w:r>
          </w:p>
        </w:tc>
        <w:tc>
          <w:tcPr>
            <w:tcW w:type="dxa" w:w="3427"/>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Not done</w:t>
            </w:r>
            <w:r>
              <w:rPr>
                <w:rFonts w:ascii="Calibri" w:cs="Calibri" w:eastAsia="Calibri" w:hAnsi="Calibri"/>
                <w:b w:val="false"/>
                <w:bCs w:val="false"/>
                <w:i w:val="false"/>
                <w:iCs w:val="false"/>
                <w:color w:val="23303C"/>
                <w:sz w:val="18"/>
                <w:szCs w:val="18"/>
              </w:rPr>
              <w:t xml:space="preserve"> — the highest-value next step</w:t>
            </w:r>
          </w:p>
        </w:tc>
      </w:tr>
      <w:tr>
        <w:trPr>
          <w:tblHeader w:val="off"/>
        </w:trPr>
        <w:tc>
          <w:tcPr>
            <w:tcW w:type="dxa" w:w="6653"/>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Confidential-GPU attestation joined to the evidence</w:t>
            </w:r>
          </w:p>
        </w:tc>
        <w:tc>
          <w:tcPr>
            <w:tcW w:type="dxa" w:w="3427"/>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bCs/>
                <w:i w:val="false"/>
                <w:iCs w:val="false"/>
                <w:color w:val="23303C"/>
                <w:sz w:val="18"/>
                <w:szCs w:val="18"/>
              </w:rPr>
              <w:t xml:space="preserve">Not done</w:t>
            </w:r>
            <w:r>
              <w:rPr>
                <w:rFonts w:ascii="Calibri" w:cs="Calibri" w:eastAsia="Calibri" w:hAnsi="Calibri"/>
                <w:b w:val="false"/>
                <w:bCs w:val="false"/>
                <w:i w:val="false"/>
                <w:iCs w:val="false"/>
                <w:color w:val="23303C"/>
                <w:sz w:val="18"/>
                <w:szCs w:val="18"/>
              </w:rPr>
              <w:t xml:space="preserve"> — both sides have the pieces</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8 · Honest boundaries</w:t>
      </w:r>
    </w:p>
    <w:p>
      <w:pPr>
        <w:spacing w:after="150" w:line="290"/>
      </w:pPr>
      <w:r>
        <w:rPr>
          <w:rFonts w:ascii="Calibri" w:cs="Calibri" w:eastAsia="Calibri" w:hAnsi="Calibri"/>
          <w:b w:val="false"/>
          <w:bCs w:val="false"/>
          <w:i w:val="false"/>
          <w:iCs w:val="false"/>
          <w:color w:val="23303C"/>
          <w:sz w:val="21"/>
          <w:szCs w:val="21"/>
        </w:rPr>
        <w:t xml:space="preserve">Every claim in this document is bounded by the following. They are stated here rather than in a footnote because a partnership conversation that starts with an overstatement is worse than one that starts slowly.</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No hardware run.</w:t>
      </w:r>
      <w:r>
        <w:rPr>
          <w:rFonts w:ascii="Calibri" w:cs="Calibri" w:eastAsia="Calibri" w:hAnsi="Calibri"/>
          <w:b w:val="false"/>
          <w:bCs w:val="false"/>
          <w:i w:val="false"/>
          <w:iCs w:val="false"/>
          <w:color w:val="23303C"/>
          <w:sz w:val="21"/>
          <w:szCs w:val="21"/>
        </w:rPr>
        <w:t xml:space="preserve"> Nothing described has executed on Intel TDX or AMD SEV-SNP. The conformance fixtures carry a TDX quote constructed in software. What is proven is that CooL binds to, parses and enforces Contrast's credential format correctly — not that any hardware was involved.</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The Kubernetes manifests are unvalidated.</w:t>
      </w:r>
      <w:r>
        <w:rPr>
          <w:rFonts w:ascii="Calibri" w:cs="Calibri" w:eastAsia="Calibri" w:hAnsi="Calibri"/>
          <w:b w:val="false"/>
          <w:bCs w:val="false"/>
          <w:i w:val="false"/>
          <w:iCs w:val="false"/>
          <w:color w:val="23303C"/>
          <w:sz w:val="21"/>
          <w:szCs w:val="21"/>
        </w:rPr>
        <w:t xml:space="preserve"> They are written against Contrast's current generator and have not been applied to a cluster. The Dockerfile has a placeholder base-image digest.</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CooL does not verify the hardware quote.</w:t>
      </w:r>
      <w:r>
        <w:rPr>
          <w:rFonts w:ascii="Calibri" w:cs="Calibri" w:eastAsia="Calibri" w:hAnsi="Calibri"/>
          <w:b w:val="false"/>
          <w:bCs w:val="false"/>
          <w:i w:val="false"/>
          <w:iCs w:val="false"/>
          <w:color w:val="23303C"/>
          <w:sz w:val="21"/>
          <w:szCs w:val="21"/>
        </w:rPr>
        <w:t xml:space="preserve"> It verifies that the credential chains to a Coordinator root the reader pinned. A compromised Coordinator could certify an arbitrary workload. This is Contrast's own trust assumption, which CooL inherits and narrows by requiring the reader to attest the Coordinator independently — and the verdict says </w:t>
      </w:r>
      <w:r>
        <w:rPr>
          <w:rFonts w:ascii="Consolas" w:cs="Consolas" w:eastAsia="Consolas" w:hAnsi="Consolas"/>
          <w:color w:val="0F766E"/>
          <w:sz w:val="19"/>
          <w:szCs w:val="19"/>
        </w:rPr>
        <w:t xml:space="preserve">workload: pass</w:t>
      </w:r>
      <w:r>
        <w:rPr>
          <w:rFonts w:ascii="Calibri" w:cs="Calibri" w:eastAsia="Calibri" w:hAnsi="Calibri"/>
          <w:b w:val="false"/>
          <w:bCs w:val="false"/>
          <w:i w:val="false"/>
          <w:iCs w:val="false"/>
          <w:color w:val="23303C"/>
          <w:sz w:val="21"/>
          <w:szCs w:val="21"/>
        </w:rPr>
        <w:t xml:space="preserve">, never </w:t>
      </w:r>
      <w:r>
        <w:rPr>
          <w:rFonts w:ascii="Consolas" w:cs="Consolas" w:eastAsia="Consolas" w:hAnsi="Consolas"/>
          <w:color w:val="0F766E"/>
          <w:sz w:val="19"/>
          <w:szCs w:val="19"/>
        </w:rPr>
        <w:t xml:space="preserve">attestation: pass</w:t>
      </w:r>
      <w:r>
        <w:rPr>
          <w:rFonts w:ascii="Calibri" w:cs="Calibri" w:eastAsia="Calibri" w:hAnsi="Calibri"/>
          <w:b w:val="false"/>
          <w:bCs w:val="false"/>
          <w:i w:val="false"/>
          <w:iCs w:val="false"/>
          <w:color w:val="23303C"/>
          <w:sz w:val="21"/>
          <w:szCs w:val="21"/>
        </w:rPr>
        <w:t xml:space="preserve">, so the distinction reaches the audit trail.</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Attestation freshness is bounded by certificate lifetime.</w:t>
      </w:r>
      <w:r>
        <w:rPr>
          <w:rFonts w:ascii="Calibri" w:cs="Calibri" w:eastAsia="Calibri" w:hAnsi="Calibri"/>
          <w:b w:val="false"/>
          <w:bCs w:val="false"/>
          <w:i w:val="false"/>
          <w:iCs w:val="false"/>
          <w:color w:val="23303C"/>
          <w:sz w:val="21"/>
          <w:szCs w:val="21"/>
        </w:rPr>
        <w:t xml:space="preserve"> A credential reflects the workload's state at admission, not at the moment a record is signed. Contrast's one-year certificate lifetime bounds this; a deployment wanting tighter bounds should rotate pods.</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This is not production-ready.</w:t>
      </w:r>
      <w:r>
        <w:rPr>
          <w:rFonts w:ascii="Calibri" w:cs="Calibri" w:eastAsia="Calibri" w:hAnsi="Calibri"/>
          <w:b w:val="false"/>
          <w:bCs w:val="false"/>
          <w:i w:val="false"/>
          <w:iCs w:val="false"/>
          <w:color w:val="23303C"/>
          <w:sz w:val="21"/>
          <w:szCs w:val="21"/>
        </w:rPr>
        <w:t xml:space="preserve"> It is implemented, reviewed and tested. It has not been operated.</w:t>
      </w:r>
    </w:p>
    <w:p>
      <w:pPr>
        <w:pStyle w:val="ListParagraph"/>
        <w:numPr>
          <w:ilvl w:val="0"/>
          <w:numId w:val="2"/>
        </w:numPr>
        <w:spacing w:after="70" w:line="280"/>
      </w:pPr>
      <w:r>
        <w:rPr>
          <w:rFonts w:ascii="Calibri" w:cs="Calibri" w:eastAsia="Calibri" w:hAnsi="Calibri"/>
          <w:b/>
          <w:bCs/>
          <w:i w:val="false"/>
          <w:iCs w:val="false"/>
          <w:color w:val="23303C"/>
          <w:sz w:val="21"/>
          <w:szCs w:val="21"/>
        </w:rPr>
        <w:t xml:space="preserve">No endorsement is implied.</w:t>
      </w:r>
      <w:r>
        <w:rPr>
          <w:rFonts w:ascii="Calibri" w:cs="Calibri" w:eastAsia="Calibri" w:hAnsi="Calibri"/>
          <w:b w:val="false"/>
          <w:bCs w:val="false"/>
          <w:i w:val="false"/>
          <w:iCs w:val="false"/>
          <w:color w:val="23303C"/>
          <w:sz w:val="21"/>
          <w:szCs w:val="21"/>
        </w:rPr>
        <w:t xml:space="preserve"> Edgeless Systems has not reviewed this work. All Contrast behaviour described is cited to public source and documentation.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F766E" w:sz="18"/>
              <w:bottom w:val="none" w:color="FFFFFF" w:sz="0"/>
              <w:right w:val="none" w:color="FFFFFF" w:sz="0"/>
            </w:tcBorders>
            <w:shd w:fill="F0F8F7" w:color="auto" w:val="clear"/>
            <w:tcMar>
              <w:top w:type="dxa" w:w="150"/>
              <w:left w:type="dxa" w:w="200"/>
              <w:bottom w:type="dxa" w:w="150"/>
              <w:right w:type="dxa" w:w="200"/>
            </w:tcMar>
          </w:tcPr>
          <w:p>
            <w:pPr>
              <w:spacing w:after="70"/>
            </w:pPr>
            <w:r>
              <w:rPr>
                <w:rFonts w:ascii="Calibri" w:cs="Calibri" w:eastAsia="Calibri" w:hAnsi="Calibri"/>
                <w:b/>
                <w:bCs/>
                <w:color w:val="0F766E"/>
                <w:sz w:val="16"/>
                <w:szCs w:val="16"/>
              </w:rPr>
              <w:t xml:space="preserve">WHY THE BOUNDARIES ARE THE ARGUMENT</w:t>
            </w:r>
          </w:p>
          <w:p>
            <w:pPr>
              <w:spacing w:after="0" w:line="260"/>
            </w:pPr>
            <w:r>
              <w:rPr>
                <w:rFonts w:ascii="Calibri" w:cs="Calibri" w:eastAsia="Calibri" w:hAnsi="Calibri"/>
                <w:b w:val="false"/>
                <w:bCs w:val="false"/>
                <w:i w:val="false"/>
                <w:iCs w:val="false"/>
                <w:color w:val="13433F"/>
                <w:sz w:val="19"/>
                <w:szCs w:val="19"/>
              </w:rPr>
              <w:t xml:space="preserve">The verifier reports </w:t>
            </w:r>
            <w:r>
              <w:rPr>
                <w:rFonts w:ascii="Consolas" w:cs="Consolas" w:eastAsia="Consolas" w:hAnsi="Consolas"/>
                <w:color w:val="0F766E"/>
                <w:sz w:val="17"/>
                <w:szCs w:val="17"/>
              </w:rPr>
              <w:t xml:space="preserve">simulated</w:t>
            </w:r>
            <w:r>
              <w:rPr>
                <w:rFonts w:ascii="Calibri" w:cs="Calibri" w:eastAsia="Calibri" w:hAnsi="Calibri"/>
                <w:b w:val="false"/>
                <w:bCs w:val="false"/>
                <w:i w:val="false"/>
                <w:iCs w:val="false"/>
                <w:color w:val="13433F"/>
                <w:sz w:val="19"/>
                <w:szCs w:val="19"/>
              </w:rPr>
              <w:t xml:space="preserve"> rather than </w:t>
            </w:r>
            <w:r>
              <w:rPr>
                <w:rFonts w:ascii="Consolas" w:cs="Consolas" w:eastAsia="Consolas" w:hAnsi="Consolas"/>
                <w:color w:val="0F766E"/>
                <w:sz w:val="17"/>
                <w:szCs w:val="17"/>
              </w:rPr>
              <w:t xml:space="preserve">pass</w:t>
            </w:r>
            <w:r>
              <w:rPr>
                <w:rFonts w:ascii="Calibri" w:cs="Calibri" w:eastAsia="Calibri" w:hAnsi="Calibri"/>
                <w:b w:val="false"/>
                <w:bCs w:val="false"/>
                <w:i w:val="false"/>
                <w:iCs w:val="false"/>
                <w:color w:val="13433F"/>
                <w:sz w:val="19"/>
                <w:szCs w:val="19"/>
              </w:rPr>
              <w:t xml:space="preserve"> on a Contrast development platform, and </w:t>
            </w:r>
            <w:r>
              <w:rPr>
                <w:rFonts w:ascii="Consolas" w:cs="Consolas" w:eastAsia="Consolas" w:hAnsi="Consolas"/>
                <w:color w:val="0F766E"/>
                <w:sz w:val="17"/>
                <w:szCs w:val="17"/>
              </w:rPr>
              <w:t xml:space="preserve">absent</w:t>
            </w:r>
            <w:r>
              <w:rPr>
                <w:rFonts w:ascii="Calibri" w:cs="Calibri" w:eastAsia="Calibri" w:hAnsi="Calibri"/>
                <w:b w:val="false"/>
                <w:bCs w:val="false"/>
                <w:i w:val="false"/>
                <w:iCs w:val="false"/>
                <w:color w:val="13433F"/>
                <w:sz w:val="19"/>
                <w:szCs w:val="19"/>
              </w:rPr>
              <w:t xml:space="preserve"> rather than </w:t>
            </w:r>
            <w:r>
              <w:rPr>
                <w:rFonts w:ascii="Consolas" w:cs="Consolas" w:eastAsia="Consolas" w:hAnsi="Consolas"/>
                <w:color w:val="0F766E"/>
                <w:sz w:val="17"/>
                <w:szCs w:val="17"/>
              </w:rPr>
              <w:t xml:space="preserve">pass</w:t>
            </w:r>
            <w:r>
              <w:rPr>
                <w:rFonts w:ascii="Calibri" w:cs="Calibri" w:eastAsia="Calibri" w:hAnsi="Calibri"/>
                <w:b w:val="false"/>
                <w:bCs w:val="false"/>
                <w:i w:val="false"/>
                <w:iCs w:val="false"/>
                <w:color w:val="13433F"/>
                <w:sz w:val="19"/>
                <w:szCs w:val="19"/>
              </w:rPr>
              <w:t xml:space="preserve"> when no Coordinator root was pinned. A system that will not round its own evidence up in those cases is one whose </w:t>
            </w:r>
            <w:r>
              <w:rPr>
                <w:rFonts w:ascii="Consolas" w:cs="Consolas" w:eastAsia="Consolas" w:hAnsi="Consolas"/>
                <w:color w:val="0F766E"/>
                <w:sz w:val="17"/>
                <w:szCs w:val="17"/>
              </w:rPr>
              <w:t xml:space="preserve">pass</w:t>
            </w:r>
            <w:r>
              <w:rPr>
                <w:rFonts w:ascii="Calibri" w:cs="Calibri" w:eastAsia="Calibri" w:hAnsi="Calibri"/>
                <w:b w:val="false"/>
                <w:bCs w:val="false"/>
                <w:i w:val="false"/>
                <w:iCs w:val="false"/>
                <w:color w:val="13433F"/>
                <w:sz w:val="19"/>
                <w:szCs w:val="19"/>
              </w:rPr>
              <w:t xml:space="preserve"> is worth something. The same discipline is applied to this document.</w:t>
            </w:r>
          </w:p>
        </w:tc>
      </w:tr>
    </w:tbl>
    <w:p>
      <w:pPr>
        <w:spacing w:after="200"/>
      </w:pPr>
    </w:p>
    <w:p>
      <w:pPr>
        <w:pStyle w:val="Heading1"/>
        <w:pageBreakBefore/>
        <w:pBdr>
          <w:top w:val="single" w:color="0F766E" w:sz="12" w:space="8"/>
        </w:pBdr>
        <w:spacing w:after="160" w:before="120"/>
      </w:pPr>
      <w:r>
        <w:rPr>
          <w:rFonts w:ascii="Calibri" w:cs="Calibri" w:eastAsia="Calibri" w:hAnsi="Calibri"/>
          <w:b/>
          <w:bCs/>
          <w:color w:val="11161C"/>
          <w:sz w:val="34"/>
          <w:szCs w:val="34"/>
        </w:rPr>
        <w:t xml:space="preserve">9 · Proposed next steps</w:t>
      </w:r>
    </w:p>
    <w:p>
      <w:pPr>
        <w:pStyle w:val="Heading2"/>
        <w:spacing w:after="110" w:before="280"/>
      </w:pPr>
      <w:r>
        <w:rPr>
          <w:rFonts w:ascii="Calibri" w:cs="Calibri" w:eastAsia="Calibri" w:hAnsi="Calibri"/>
          <w:b/>
          <w:bCs/>
          <w:color w:val="11161C"/>
          <w:sz w:val="25"/>
          <w:szCs w:val="25"/>
        </w:rPr>
        <w:t xml:space="preserve">9.1 The one technical step that changes the most</w:t>
      </w:r>
    </w:p>
    <w:p>
      <w:pPr>
        <w:spacing w:after="180" w:line="320"/>
      </w:pPr>
      <w:r>
        <w:rPr>
          <w:rFonts w:ascii="Calibri" w:cs="Calibri" w:eastAsia="Calibri" w:hAnsi="Calibri"/>
          <w:b w:val="false"/>
          <w:bCs w:val="false"/>
          <w:i w:val="false"/>
          <w:iCs w:val="false"/>
          <w:color w:val="11161C"/>
          <w:sz w:val="24"/>
          <w:szCs w:val="24"/>
        </w:rPr>
        <w:t xml:space="preserve">Verify the hardware quote from the certificate's own extensions.</w:t>
      </w:r>
    </w:p>
    <w:p>
      <w:pPr>
        <w:spacing w:after="150" w:line="290"/>
      </w:pPr>
      <w:r>
        <w:rPr>
          <w:rFonts w:ascii="Calibri" w:cs="Calibri" w:eastAsia="Calibri" w:hAnsi="Calibri"/>
          <w:b w:val="false"/>
          <w:bCs w:val="false"/>
          <w:i w:val="false"/>
          <w:iCs w:val="false"/>
          <w:color w:val="23303C"/>
          <w:sz w:val="21"/>
          <w:szCs w:val="21"/>
        </w:rPr>
        <w:t xml:space="preserve">Contrast's mesh certificate already carries the complete quote — the quote body, its ECDSA signature, the attestation key, and the </w:t>
      </w:r>
      <w:r>
        <w:rPr>
          <w:rFonts w:ascii="Calibri" w:cs="Calibri" w:eastAsia="Calibri" w:hAnsi="Calibri"/>
          <w:b/>
          <w:bCs/>
          <w:i w:val="false"/>
          <w:iCs w:val="false"/>
          <w:color w:val="23303C"/>
          <w:sz w:val="21"/>
          <w:szCs w:val="21"/>
        </w:rPr>
        <w:t xml:space="preserve">PCK certificate chain</w:t>
      </w:r>
      <w:r>
        <w:rPr>
          <w:rFonts w:ascii="Calibri" w:cs="Calibri" w:eastAsia="Calibri" w:hAnsi="Calibri"/>
          <w:b w:val="false"/>
          <w:bCs w:val="false"/>
          <w:i w:val="false"/>
          <w:iCs w:val="false"/>
          <w:color w:val="23303C"/>
          <w:sz w:val="21"/>
          <w:szCs w:val="21"/>
        </w:rPr>
        <w:t xml:space="preserve"> at </w:t>
      </w:r>
      <w:r>
        <w:rPr>
          <w:rFonts w:ascii="Consolas" w:cs="Consolas" w:eastAsia="Consolas" w:hAnsi="Consolas"/>
          <w:color w:val="0F766E"/>
          <w:sz w:val="19"/>
          <w:szCs w:val="19"/>
        </w:rPr>
        <w:t xml:space="preserve">1.3.9901.2.2.46</w:t>
      </w:r>
      <w:r>
        <w:rPr>
          <w:rFonts w:ascii="Calibri" w:cs="Calibri" w:eastAsia="Calibri" w:hAnsi="Calibri"/>
          <w:b w:val="false"/>
          <w:bCs w:val="false"/>
          <w:i w:val="false"/>
          <w:iCs w:val="false"/>
          <w:color w:val="23303C"/>
          <w:sz w:val="21"/>
          <w:szCs w:val="21"/>
        </w:rPr>
        <w:t xml:space="preserve">. Reassembling that into a wire-format quote and verifying it against Intel DCAP collateral would mean:</w:t>
      </w:r>
    </w:p>
    <w:p>
      <w:pPr>
        <w:pStyle w:val="ListParagraph"/>
        <w:numPr>
          <w:ilvl w:val="0"/>
          <w:numId w:val="3"/>
        </w:numPr>
        <w:spacing w:after="70" w:line="280"/>
      </w:pPr>
      <w:r>
        <w:rPr>
          <w:rFonts w:ascii="Calibri" w:cs="Calibri" w:eastAsia="Calibri" w:hAnsi="Calibri"/>
          <w:b w:val="false"/>
          <w:bCs w:val="false"/>
          <w:i w:val="false"/>
          <w:iCs w:val="false"/>
          <w:color w:val="23303C"/>
          <w:sz w:val="21"/>
          <w:szCs w:val="21"/>
        </w:rPr>
        <w:t xml:space="preserve">The </w:t>
      </w:r>
      <w:r>
        <w:rPr>
          <w:rFonts w:ascii="Consolas" w:cs="Consolas" w:eastAsia="Consolas" w:hAnsi="Consolas"/>
          <w:color w:val="0F766E"/>
          <w:sz w:val="19"/>
          <w:szCs w:val="19"/>
        </w:rPr>
        <w:t xml:space="preserve">attestation</w:t>
      </w:r>
      <w:r>
        <w:rPr>
          <w:rFonts w:ascii="Calibri" w:cs="Calibri" w:eastAsia="Calibri" w:hAnsi="Calibri"/>
          <w:b w:val="false"/>
          <w:bCs w:val="false"/>
          <w:i w:val="false"/>
          <w:iCs w:val="false"/>
          <w:color w:val="23303C"/>
          <w:sz w:val="21"/>
          <w:szCs w:val="21"/>
        </w:rPr>
        <w:t xml:space="preserve"> domain reaches </w:t>
      </w:r>
      <w:r>
        <w:rPr>
          <w:rFonts w:ascii="Consolas" w:cs="Consolas" w:eastAsia="Consolas" w:hAnsi="Consolas"/>
          <w:color w:val="0F766E"/>
          <w:sz w:val="19"/>
          <w:szCs w:val="19"/>
        </w:rPr>
        <w:t xml:space="preserve">pass</w:t>
      </w:r>
      <w:r>
        <w:rPr>
          <w:rFonts w:ascii="Calibri" w:cs="Calibri" w:eastAsia="Calibri" w:hAnsi="Calibri"/>
          <w:b w:val="false"/>
          <w:bCs w:val="false"/>
          <w:i w:val="false"/>
          <w:iCs w:val="false"/>
          <w:color w:val="23303C"/>
          <w:sz w:val="21"/>
          <w:szCs w:val="21"/>
        </w:rPr>
        <w:t xml:space="preserve"> on a Contrast receipt, rather than honestly reporting </w:t>
      </w:r>
      <w:r>
        <w:rPr>
          <w:rFonts w:ascii="Consolas" w:cs="Consolas" w:eastAsia="Consolas" w:hAnsi="Consolas"/>
          <w:color w:val="0F766E"/>
          <w:sz w:val="19"/>
          <w:szCs w:val="19"/>
        </w:rPr>
        <w:t xml:space="preserve">mock</w:t>
      </w:r>
      <w:r>
        <w:rPr>
          <w:rFonts w:ascii="Calibri" w:cs="Calibri" w:eastAsia="Calibri" w:hAnsi="Calibri"/>
          <w:b w:val="false"/>
          <w:bCs w:val="false"/>
          <w:i w:val="false"/>
          <w:iCs w:val="false"/>
          <w:color w:val="23303C"/>
          <w:sz w:val="21"/>
          <w:szCs w:val="21"/>
        </w:rPr>
        <w:t xml:space="preserve">.</w:t>
      </w:r>
    </w:p>
    <w:p>
      <w:pPr>
        <w:pStyle w:val="ListParagraph"/>
        <w:numPr>
          <w:ilvl w:val="0"/>
          <w:numId w:val="3"/>
        </w:numPr>
        <w:spacing w:after="70" w:line="280"/>
      </w:pPr>
      <w:r>
        <w:rPr>
          <w:rFonts w:ascii="Calibri" w:cs="Calibri" w:eastAsia="Calibri" w:hAnsi="Calibri"/>
          <w:b w:val="false"/>
          <w:bCs w:val="false"/>
          <w:i w:val="false"/>
          <w:iCs w:val="false"/>
          <w:color w:val="23303C"/>
          <w:sz w:val="21"/>
          <w:szCs w:val="21"/>
        </w:rPr>
        <w:t xml:space="preserve">The Coordinator leaves the trusted set </w:t>
      </w:r>
      <w:r>
        <w:rPr>
          <w:rFonts w:ascii="Calibri" w:cs="Calibri" w:eastAsia="Calibri" w:hAnsi="Calibri"/>
          <w:b/>
          <w:bCs/>
          <w:i w:val="false"/>
          <w:iCs w:val="false"/>
          <w:color w:val="23303C"/>
          <w:sz w:val="21"/>
          <w:szCs w:val="21"/>
        </w:rPr>
        <w:t xml:space="preserve">for the hardware claim</w:t>
      </w:r>
      <w:r>
        <w:rPr>
          <w:rFonts w:ascii="Calibri" w:cs="Calibri" w:eastAsia="Calibri" w:hAnsi="Calibri"/>
          <w:b w:val="false"/>
          <w:bCs w:val="false"/>
          <w:i w:val="false"/>
          <w:iCs w:val="false"/>
          <w:color w:val="23303C"/>
          <w:sz w:val="21"/>
          <w:szCs w:val="21"/>
        </w:rPr>
        <w:t xml:space="preserve">. It still controls admission, but a reader no longer takes its word that the silicon was real.</w:t>
      </w:r>
    </w:p>
    <w:p>
      <w:pPr>
        <w:pStyle w:val="ListParagraph"/>
        <w:numPr>
          <w:ilvl w:val="0"/>
          <w:numId w:val="3"/>
        </w:numPr>
        <w:spacing w:after="70" w:line="280"/>
      </w:pPr>
      <w:r>
        <w:rPr>
          <w:rFonts w:ascii="Calibri" w:cs="Calibri" w:eastAsia="Calibri" w:hAnsi="Calibri"/>
          <w:b w:val="false"/>
          <w:bCs w:val="false"/>
          <w:i w:val="false"/>
          <w:iCs w:val="false"/>
          <w:color w:val="23303C"/>
          <w:sz w:val="21"/>
          <w:szCs w:val="21"/>
        </w:rPr>
        <w:t xml:space="preserve">A CooL × Contrast receipt becomes verifiable </w:t>
      </w:r>
      <w:r>
        <w:rPr>
          <w:rFonts w:ascii="Calibri" w:cs="Calibri" w:eastAsia="Calibri" w:hAnsi="Calibri"/>
          <w:b/>
          <w:bCs/>
          <w:i w:val="false"/>
          <w:iCs w:val="false"/>
          <w:color w:val="23303C"/>
          <w:sz w:val="21"/>
          <w:szCs w:val="21"/>
        </w:rPr>
        <w:t xml:space="preserve">to silicon, offline, without trusting the Coordinator</w:t>
      </w:r>
      <w:r>
        <w:rPr>
          <w:rFonts w:ascii="Calibri" w:cs="Calibri" w:eastAsia="Calibri" w:hAnsi="Calibri"/>
          <w:b w:val="false"/>
          <w:bCs w:val="false"/>
          <w:i w:val="false"/>
          <w:iCs w:val="false"/>
          <w:color w:val="23303C"/>
          <w:sz w:val="21"/>
          <w:szCs w:val="21"/>
        </w:rPr>
        <w:t xml:space="preserve"> — which, as far as we can tell, nothing else currently offers for AI governance evidence.</w:t>
      </w:r>
    </w:p>
    <w:p>
      <w:pPr>
        <w:spacing w:after="80"/>
      </w:pPr>
    </w:p>
    <w:p>
      <w:pPr>
        <w:spacing w:after="150" w:line="290"/>
      </w:pPr>
      <w:r>
        <w:rPr>
          <w:rFonts w:ascii="Calibri" w:cs="Calibri" w:eastAsia="Calibri" w:hAnsi="Calibri"/>
          <w:b w:val="false"/>
          <w:bCs w:val="false"/>
          <w:i w:val="false"/>
          <w:iCs w:val="false"/>
          <w:color w:val="23303C"/>
          <w:sz w:val="21"/>
          <w:szCs w:val="21"/>
        </w:rPr>
        <w:t xml:space="preserve">This is a focused piece of work on CooL's side. It needs no change to Contrast, though confirmation from Edgeless that the extension set is intended to be stable would reduce the risk of building on it.</w:t>
      </w:r>
    </w:p>
    <w:p>
      <w:pPr>
        <w:pStyle w:val="Heading2"/>
        <w:spacing w:after="110" w:before="280"/>
      </w:pPr>
      <w:r>
        <w:rPr>
          <w:rFonts w:ascii="Calibri" w:cs="Calibri" w:eastAsia="Calibri" w:hAnsi="Calibri"/>
          <w:b/>
          <w:bCs/>
          <w:color w:val="11161C"/>
          <w:sz w:val="25"/>
          <w:szCs w:val="25"/>
        </w:rPr>
        <w:t xml:space="preserve">9.2 A short sequence that de-risks the rest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56"/>
        <w:gridCol w:w="1872"/>
        <w:gridCol w:w="4752"/>
      </w:tblGrid>
      <w:tr>
        <w:trPr>
          <w:tblHeader/>
        </w:trPr>
        <w:tc>
          <w:tcPr>
            <w:tcW w:type="dxa" w:w="3456"/>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Step</w:t>
            </w:r>
          </w:p>
        </w:tc>
        <w:tc>
          <w:tcPr>
            <w:tcW w:type="dxa" w:w="187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Who</w:t>
            </w:r>
          </w:p>
        </w:tc>
        <w:tc>
          <w:tcPr>
            <w:tcW w:type="dxa" w:w="4752"/>
            <w:tcBorders>
              <w:top w:val="none" w:color="FFFFFF" w:sz="0"/>
              <w:left w:val="none" w:color="FFFFFF" w:sz="0"/>
              <w:bottom w:val="single" w:color="D9E0E6" w:sz="2"/>
              <w:right w:val="none" w:color="FFFFFF" w:sz="0"/>
            </w:tcBorders>
            <w:shd w:fill="EEF3F4" w:color="auto" w:val="clear"/>
            <w:tcMar>
              <w:top w:type="dxa" w:w="90"/>
              <w:left w:type="dxa" w:w="110"/>
              <w:bottom w:type="dxa" w:w="90"/>
              <w:right w:type="dxa" w:w="110"/>
            </w:tcMar>
          </w:tcPr>
          <w:p>
            <w:pPr>
              <w:spacing w:after="0" w:line="240"/>
            </w:pPr>
            <w:r>
              <w:rPr>
                <w:rFonts w:ascii="Calibri" w:cs="Calibri" w:eastAsia="Calibri" w:hAnsi="Calibri"/>
                <w:b/>
                <w:bCs/>
                <w:i w:val="false"/>
                <w:iCs w:val="false"/>
                <w:color w:val="11161C"/>
                <w:sz w:val="17"/>
                <w:szCs w:val="17"/>
              </w:rPr>
              <w:t xml:space="preserve">What it settles</w:t>
            </w:r>
          </w:p>
        </w:tc>
      </w:tr>
      <w:tr>
        <w:trPr>
          <w:tblHeader w:val="off"/>
        </w:trPr>
        <w:tc>
          <w:tcPr>
            <w:tcW w:type="dxa" w:w="34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Technical review of the binding and trust model</w:t>
            </w:r>
          </w:p>
        </w:tc>
        <w:tc>
          <w:tcPr>
            <w:tcW w:type="dxa" w:w="1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Edgeless engineering</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Whether the seam we chose is the one they would have chosen, and whether the extension set is stable to build on</w:t>
            </w:r>
          </w:p>
        </w:tc>
      </w:tr>
      <w:tr>
        <w:trPr>
          <w:tblHeader w:val="off"/>
        </w:trPr>
        <w:tc>
          <w:tcPr>
            <w:tcW w:type="dxa" w:w="345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One run on real TDX or SEV-SNP</w:t>
            </w:r>
          </w:p>
        </w:tc>
        <w:tc>
          <w:tcPr>
            <w:tcW w:type="dxa" w:w="1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Either side with cluster access</w:t>
            </w:r>
          </w:p>
        </w:tc>
        <w:tc>
          <w:tcPr>
            <w:tcW w:type="dxa" w:w="475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Removes the largest caveat in both documents in a single afternoon</w:t>
            </w:r>
          </w:p>
        </w:tc>
      </w:tr>
      <w:tr>
        <w:trPr>
          <w:tblHeader w:val="off"/>
        </w:trPr>
        <w:tc>
          <w:tcPr>
            <w:tcW w:type="dxa" w:w="34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Independent quote verification against DCAP</w:t>
            </w:r>
          </w:p>
        </w:tc>
        <w:tc>
          <w:tcPr>
            <w:tcW w:type="dxa" w:w="1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Northwind Cipher</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Takes the Coordinator out of the trusted set for the hardware claim</w:t>
            </w:r>
          </w:p>
        </w:tc>
      </w:tr>
      <w:tr>
        <w:trPr>
          <w:tblHeader w:val="off"/>
        </w:trPr>
        <w:tc>
          <w:tcPr>
            <w:tcW w:type="dxa" w:w="3456"/>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Joint reference architecture, published</w:t>
            </w:r>
          </w:p>
        </w:tc>
        <w:tc>
          <w:tcPr>
            <w:tcW w:type="dxa" w:w="187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Both</w:t>
            </w:r>
          </w:p>
        </w:tc>
        <w:tc>
          <w:tcPr>
            <w:tcW w:type="dxa" w:w="4752"/>
            <w:tcBorders>
              <w:top w:val="none" w:color="FFFFFF" w:sz="0"/>
              <w:left w:val="none" w:color="FFFFFF" w:sz="0"/>
              <w:bottom w:val="single" w:color="D9E0E6" w:sz="2"/>
              <w:right w:val="none" w:color="FFFFFF" w:sz="0"/>
            </w:tcBorders>
            <w:shd w:fill="F8FAFB" w:color="auto" w:val="clear"/>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A citable artefact for enterprise conversations on both sides</w:t>
            </w:r>
          </w:p>
        </w:tc>
      </w:tr>
      <w:tr>
        <w:trPr>
          <w:tblHeader w:val="off"/>
        </w:trPr>
        <w:tc>
          <w:tcPr>
            <w:tcW w:type="dxa" w:w="3456"/>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Confidential-GPU attestation joined to the evidence</w:t>
            </w:r>
          </w:p>
        </w:tc>
        <w:tc>
          <w:tcPr>
            <w:tcW w:type="dxa" w:w="187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Both</w:t>
            </w:r>
          </w:p>
        </w:tc>
        <w:tc>
          <w:tcPr>
            <w:tcW w:type="dxa" w:w="4752"/>
            <w:tcBorders>
              <w:top w:val="none" w:color="FFFFFF" w:sz="0"/>
              <w:left w:val="none" w:color="FFFFFF" w:sz="0"/>
              <w:bottom w:val="single" w:color="D9E0E6" w:sz="2"/>
              <w:right w:val="none" w:color="FFFFFF" w:sz="0"/>
            </w:tcBorders>
            <w:tcMar>
              <w:top w:type="dxa" w:w="90"/>
              <w:left w:type="dxa" w:w="110"/>
              <w:bottom w:type="dxa" w:w="90"/>
              <w:right w:type="dxa" w:w="110"/>
            </w:tcMar>
          </w:tcPr>
          <w:p>
            <w:pPr>
              <w:spacing w:after="0" w:line="240"/>
            </w:pPr>
            <w:r>
              <w:rPr>
                <w:rFonts w:ascii="Calibri" w:cs="Calibri" w:eastAsia="Calibri" w:hAnsi="Calibri"/>
                <w:b w:val="false"/>
                <w:bCs w:val="false"/>
                <w:i w:val="false"/>
                <w:iCs w:val="false"/>
                <w:color w:val="23303C"/>
                <w:sz w:val="18"/>
                <w:szCs w:val="18"/>
              </w:rPr>
              <w:t xml:space="preserve">Extends the story to GPU inference, where the AI governance questions are sharpest</w:t>
            </w:r>
          </w:p>
        </w:tc>
      </w:tr>
    </w:tbl>
    <w:p>
      <w:pPr>
        <w:spacing w:after="200"/>
      </w:pPr>
    </w:p>
    <w:p>
      <w:pPr>
        <w:pStyle w:val="Heading2"/>
        <w:spacing w:after="110" w:before="280"/>
      </w:pPr>
      <w:r>
        <w:rPr>
          <w:rFonts w:ascii="Calibri" w:cs="Calibri" w:eastAsia="Calibri" w:hAnsi="Calibri"/>
          <w:b/>
          <w:bCs/>
          <w:color w:val="11161C"/>
          <w:sz w:val="25"/>
          <w:szCs w:val="25"/>
        </w:rPr>
        <w:t xml:space="preserve">9.3 What we are asking for now</w:t>
      </w:r>
    </w:p>
    <w:p>
      <w:pPr>
        <w:spacing w:after="150" w:line="290"/>
      </w:pPr>
      <w:r>
        <w:rPr>
          <w:rFonts w:ascii="Calibri" w:cs="Calibri" w:eastAsia="Calibri" w:hAnsi="Calibri"/>
          <w:b w:val="false"/>
          <w:bCs w:val="false"/>
          <w:i w:val="false"/>
          <w:iCs w:val="false"/>
          <w:color w:val="23303C"/>
          <w:sz w:val="21"/>
          <w:szCs w:val="21"/>
        </w:rPr>
        <w:t xml:space="preserve">A technical conversation, not a commitment. Specifically: thirty minutes with someone who knows the Coordinator, to check the binding design against how Contrast is intended to be used, and to tell us whether the certificate extension set is something we should be depending on.</w:t>
      </w:r>
    </w:p>
    <w:p>
      <w:pPr>
        <w:spacing w:after="150" w:line="290"/>
      </w:pPr>
      <w:r>
        <w:rPr>
          <w:rFonts w:ascii="Calibri" w:cs="Calibri" w:eastAsia="Calibri" w:hAnsi="Calibri"/>
          <w:b w:val="false"/>
          <w:bCs w:val="false"/>
          <w:i w:val="false"/>
          <w:iCs w:val="false"/>
          <w:color w:val="23303C"/>
          <w:sz w:val="21"/>
          <w:szCs w:val="21"/>
        </w:rPr>
        <w:t xml:space="preserve">Everything needed to have that conversation is reproducible in about ten minutes:</w:t>
      </w:r>
    </w:p>
    <w:p>
      <w:pPr>
        <w:shd w:fill="F4F7F8" w:color="auto" w:val="clear"/>
        <w:spacing w:after="0" w:before="60" w:line="220"/>
        <w:ind w:left="170" w:right="170"/>
      </w:pPr>
      <w:r>
        <w:rPr>
          <w:rFonts w:ascii="Consolas" w:cs="Consolas" w:eastAsia="Consolas" w:hAnsi="Consolas"/>
          <w:color w:val="1F3A3A"/>
          <w:sz w:val="16"/>
          <w:szCs w:val="16"/>
        </w:rPr>
        <w:t xml:space="preserve">git clone https://github.com/Northwind-Cipher/cool-sdk.git</w:t>
      </w:r>
    </w:p>
    <w:p>
      <w:pPr>
        <w:shd w:fill="F4F7F8" w:color="auto" w:val="clear"/>
        <w:spacing w:after="0" w:before="0" w:line="220"/>
        <w:ind w:left="170" w:right="170"/>
      </w:pPr>
      <w:r>
        <w:rPr>
          <w:rFonts w:ascii="Consolas" w:cs="Consolas" w:eastAsia="Consolas" w:hAnsi="Consolas"/>
          <w:color w:val="1F3A3A"/>
          <w:sz w:val="16"/>
          <w:szCs w:val="16"/>
        </w:rPr>
        <w:t xml:space="preserve">cd cool-sdk &amp;&amp; npm install</w:t>
      </w:r>
    </w:p>
    <w:p>
      <w:pPr>
        <w:shd w:fill="F4F7F8" w:color="auto" w:val="clear"/>
        <w:spacing w:after="0" w:before="0" w:line="220"/>
        <w:ind w:left="170" w:right="170"/>
      </w:pPr>
      <w:r>
        <w:rPr>
          <w:rFonts w:ascii="Consolas" w:cs="Consolas" w:eastAsia="Consolas" w:hAnsi="Consolas"/>
          <w:color w:val="1F3A3A"/>
          <w:sz w:val="16"/>
          <w:szCs w:val="16"/>
        </w:rPr>
        <w:t xml:space="preserve">npm run demo:contrast     # seven acts, ~90 seconds, no cluster required</w:t>
      </w:r>
    </w:p>
    <w:p>
      <w:pPr>
        <w:shd w:fill="F4F7F8" w:color="auto" w:val="clear"/>
        <w:spacing w:after="0" w:before="0" w:line="220"/>
        <w:ind w:left="170" w:right="170"/>
      </w:pPr>
      <w:r>
        <w:rPr>
          <w:rFonts w:ascii="Consolas" w:cs="Consolas" w:eastAsia="Consolas" w:hAnsi="Consolas"/>
          <w:color w:val="1F3A3A"/>
          <w:sz w:val="16"/>
          <w:szCs w:val="16"/>
        </w:rPr>
        <w:t xml:space="preserve">npm test                  # 152 tests, 33 of them this integration</w:t>
      </w:r>
    </w:p>
    <w:p>
      <w:pPr>
        <w:spacing w:after="160"/>
      </w:pPr>
    </w:p>
    <w:p>
      <w:pPr>
        <w:pStyle w:val="Heading3"/>
        <w:spacing w:after="80" w:before="200"/>
      </w:pPr>
      <w:r>
        <w:rPr>
          <w:rFonts w:ascii="Calibri" w:cs="Calibri" w:eastAsia="Calibri" w:hAnsi="Calibri"/>
          <w:b/>
          <w:bCs/>
          <w:color w:val="0F766E"/>
          <w:sz w:val="21"/>
          <w:szCs w:val="21"/>
        </w:rPr>
        <w:t xml:space="preserve">And the two documents</w:t>
      </w:r>
    </w:p>
    <w:p>
      <w:pPr>
        <w:spacing w:after="150" w:line="290"/>
      </w:pPr>
      <w:r>
        <w:rPr>
          <w:rFonts w:ascii="Calibri" w:cs="Calibri" w:eastAsia="Calibri" w:hAnsi="Calibri"/>
          <w:b w:val="false"/>
          <w:bCs w:val="false"/>
          <w:i w:val="false"/>
          <w:iCs w:val="false"/>
          <w:color w:val="23303C"/>
          <w:sz w:val="21"/>
          <w:szCs w:val="21"/>
        </w:rPr>
        <w:t xml:space="preserve">This one, and the companion technical documentation, which carries the architecture, the exact binding, the trust model, the threat table, the full test matrix and a line-by-line source citation for every Contrast behaviour relied on.</w:t>
      </w:r>
    </w:p>
    <w:sectPr>
      <w:headerReference w:type="default" r:id="rId6"/>
      <w:headerReference w:type="first" r:id="rId7"/>
      <w:footerReference w:type="default" r:id="rId8"/>
      <w:pgSz w:w="12240" w:h="15840"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4"/>
        <w:szCs w:val="14"/>
      </w:rPr>
      <w:t xml:space="preserve">Northwind Cipher Pvt. Ltd. · prepared for discussion with Edgeless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0E6" w:sz="4" w:space="6"/>
      </w:pBdr>
      <w:tabs>
        <w:tab w:val="right" w:pos="10080"/>
      </w:tabs>
    </w:pPr>
    <w:r>
      <w:rPr>
        <w:rFonts w:ascii="Calibri" w:cs="Calibri" w:eastAsia="Calibri" w:hAnsi="Calibri"/>
        <w:color w:val="6B7785"/>
        <w:sz w:val="15"/>
        <w:szCs w:val="15"/>
      </w:rPr>
      <w:t xml:space="preserve">Intersections — CooL × Contrast</w:t>
    </w:r>
    <w:r>
      <w:rPr>
        <w:rFonts w:ascii="Calibri" w:cs="Calibri" w:eastAsia="Calibri" w:hAnsi="Calibri"/>
        <w:sz w:val="15"/>
        <w:szCs w:val="15"/>
      </w:rPr>
      <w:t xml:space="preserve">	</w:t>
    </w:r>
    <w:r>
      <w:rPr>
        <w:rFonts w:ascii="Calibri" w:cs="Calibri" w:eastAsia="Calibri" w:hAnsi="Calibri"/>
        <w:color w:val="6B7785"/>
        <w:sz w:val="15"/>
        <w:szCs w:val="15"/>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Intersections — CooL × Contrast</dc:title>
  <dc:creator>Northwind Cipher Pvt. Ltd.</dc:creator>
  <dc:description>Where the two systems meet, and why it pays both ways</dc:description>
  <cp:lastModifiedBy>Un-named</cp:lastModifiedBy>
  <cp:revision>1</cp:revision>
  <dcterms:created xsi:type="dcterms:W3CDTF">2026-10-05T20:31:35.177Z</dcterms:created>
  <dcterms:modified xsi:type="dcterms:W3CDTF">2026-10-05T20:31:35.177Z</dcterms:modified>
</cp:coreProperties>
</file>

<file path=docProps/custom.xml><?xml version="1.0" encoding="utf-8"?>
<Properties xmlns="http://schemas.openxmlformats.org/officeDocument/2006/custom-properties" xmlns:vt="http://schemas.openxmlformats.org/officeDocument/2006/docPropsVTypes"/>
</file>