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rFonts w:ascii="Georgia" w:cs="Georgia" w:eastAsia="Georgia" w:hAnsi="Georgia"/>
          <w:b w:val="1"/>
          <w:i w:val="1"/>
        </w:rPr>
      </w:pPr>
      <w:bookmarkStart w:colFirst="0" w:colLast="0" w:name="_lujukr4ij5y0" w:id="0"/>
      <w:bookmarkEnd w:id="0"/>
      <w:r w:rsidDel="00000000" w:rsidR="00000000" w:rsidRPr="00000000">
        <w:rPr>
          <w:rFonts w:ascii="Georgia" w:cs="Georgia" w:eastAsia="Georgia" w:hAnsi="Georgia"/>
          <w:b w:val="1"/>
          <w:sz w:val="22"/>
          <w:szCs w:val="22"/>
          <w:rtl w:val="0"/>
        </w:rPr>
        <w:t xml:space="preserve">Lectura: Extracto de “Decision Support Systems”</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i w:val="1"/>
        </w:rPr>
      </w:pPr>
      <w:r w:rsidDel="00000000" w:rsidR="00000000" w:rsidRPr="00000000">
        <w:rPr>
          <w:rFonts w:ascii="Georgia" w:cs="Georgia" w:eastAsia="Georgia" w:hAnsi="Georgia"/>
          <w:i w:val="1"/>
          <w:rtl w:val="0"/>
        </w:rPr>
        <w:t xml:space="preserve">Yair Gallardo</w:t>
      </w:r>
    </w:p>
    <w:p w:rsidR="00000000" w:rsidDel="00000000" w:rsidP="00000000" w:rsidRDefault="00000000" w:rsidRPr="00000000" w14:paraId="00000003">
      <w:pPr>
        <w:jc w:val="center"/>
        <w:rPr>
          <w:rFonts w:ascii="Georgia" w:cs="Georgia" w:eastAsia="Georgia" w:hAnsi="Georgia"/>
          <w:i w:val="1"/>
        </w:rPr>
      </w:pPr>
      <w:r w:rsidDel="00000000" w:rsidR="00000000" w:rsidRPr="00000000">
        <w:rPr>
          <w:rFonts w:ascii="Georgia" w:cs="Georgia" w:eastAsia="Georgia" w:hAnsi="Georgia"/>
          <w:i w:val="1"/>
          <w:rtl w:val="0"/>
        </w:rPr>
        <w:t xml:space="preserve">Norton Irarrazabal</w:t>
      </w:r>
    </w:p>
    <w:p w:rsidR="00000000" w:rsidDel="00000000" w:rsidP="00000000" w:rsidRDefault="00000000" w:rsidRPr="00000000" w14:paraId="00000004">
      <w:pPr>
        <w:jc w:val="center"/>
        <w:rPr>
          <w:rFonts w:ascii="Georgia" w:cs="Georgia" w:eastAsia="Georgia" w:hAnsi="Georgia"/>
          <w:b w:val="1"/>
        </w:rPr>
      </w:pPr>
      <w:r w:rsidDel="00000000" w:rsidR="00000000" w:rsidRPr="00000000">
        <w:rPr>
          <w:rFonts w:ascii="Georgia" w:cs="Georgia" w:eastAsia="Georgia" w:hAnsi="Georgia"/>
          <w:i w:val="1"/>
          <w:rtl w:val="0"/>
        </w:rPr>
        <w:t xml:space="preserve">Sebastian Rojas</w:t>
      </w:r>
      <w:r w:rsidDel="00000000" w:rsidR="00000000" w:rsidRPr="00000000">
        <w:rPr>
          <w:rtl w:val="0"/>
        </w:rPr>
      </w:r>
    </w:p>
    <w:p w:rsidR="00000000" w:rsidDel="00000000" w:rsidP="00000000" w:rsidRDefault="00000000" w:rsidRPr="00000000" w14:paraId="00000005">
      <w:pPr>
        <w:jc w:val="center"/>
        <w:rPr>
          <w:rFonts w:ascii="Georgia" w:cs="Georgia" w:eastAsia="Georgia" w:hAnsi="Georgia"/>
          <w:i w:val="1"/>
        </w:rPr>
      </w:pPr>
      <w:r w:rsidDel="00000000" w:rsidR="00000000" w:rsidRPr="00000000">
        <w:rPr>
          <w:rFonts w:ascii="Georgia" w:cs="Georgia" w:eastAsia="Georgia" w:hAnsi="Georgia"/>
          <w:i w:val="1"/>
          <w:rtl w:val="0"/>
        </w:rPr>
        <w:t xml:space="preserve">Bruno Rojas</w:t>
      </w:r>
    </w:p>
    <w:p w:rsidR="00000000" w:rsidDel="00000000" w:rsidP="00000000" w:rsidRDefault="00000000" w:rsidRPr="00000000" w14:paraId="0000000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rPr>
      </w:pPr>
      <w:r w:rsidDel="00000000" w:rsidR="00000000" w:rsidRPr="00000000">
        <w:rPr>
          <w:rFonts w:ascii="Georgia" w:cs="Georgia" w:eastAsia="Georgia" w:hAnsi="Georgia"/>
          <w:b w:val="1"/>
          <w:rtl w:val="0"/>
        </w:rPr>
        <w:t xml:space="preserve">Ingeniería de Software 1</w:t>
      </w:r>
    </w:p>
    <w:p w:rsidR="00000000" w:rsidDel="00000000" w:rsidP="00000000" w:rsidRDefault="00000000" w:rsidRPr="00000000" w14:paraId="00000008">
      <w:pPr>
        <w:jc w:val="center"/>
        <w:rPr>
          <w:rFonts w:ascii="Georgia" w:cs="Georgia" w:eastAsia="Georgia" w:hAnsi="Georgia"/>
        </w:rPr>
      </w:pPr>
      <w:r w:rsidDel="00000000" w:rsidR="00000000" w:rsidRPr="00000000">
        <w:rPr>
          <w:rFonts w:ascii="Georgia" w:cs="Georgia" w:eastAsia="Georgia" w:hAnsi="Georgia"/>
          <w:rtl w:val="0"/>
        </w:rPr>
        <w:t xml:space="preserve">Prof. Guillermo Leyton</w:t>
      </w:r>
    </w:p>
    <w:p w:rsidR="00000000" w:rsidDel="00000000" w:rsidP="00000000" w:rsidRDefault="00000000" w:rsidRPr="00000000" w14:paraId="00000009">
      <w:pPr>
        <w:jc w:val="center"/>
        <w:rPr>
          <w:rFonts w:ascii="Georgia" w:cs="Georgia" w:eastAsia="Georgia" w:hAnsi="Georgia"/>
          <w:i w:val="1"/>
        </w:rPr>
      </w:pPr>
      <w:r w:rsidDel="00000000" w:rsidR="00000000" w:rsidRPr="00000000">
        <w:rPr>
          <w:rFonts w:ascii="Georgia" w:cs="Georgia" w:eastAsia="Georgia" w:hAnsi="Georgia"/>
          <w:rtl w:val="0"/>
        </w:rPr>
        <w:t xml:space="preserve">Universidad de La Serena</w:t>
      </w:r>
      <w:r w:rsidDel="00000000" w:rsidR="00000000" w:rsidRPr="00000000">
        <w:rPr>
          <w:rtl w:val="0"/>
        </w:rPr>
      </w:r>
    </w:p>
    <w:p w:rsidR="00000000" w:rsidDel="00000000" w:rsidP="00000000" w:rsidRDefault="00000000" w:rsidRPr="00000000" w14:paraId="0000000A">
      <w:pPr>
        <w:pStyle w:val="Heading1"/>
        <w:spacing w:after="0" w:before="200" w:lineRule="auto"/>
        <w:jc w:val="both"/>
        <w:rPr>
          <w:rFonts w:ascii="Georgia" w:cs="Georgia" w:eastAsia="Georgia" w:hAnsi="Georgia"/>
          <w:sz w:val="28"/>
          <w:szCs w:val="28"/>
        </w:rPr>
      </w:pPr>
      <w:bookmarkStart w:colFirst="0" w:colLast="0" w:name="_awqcsoqj5mim" w:id="1"/>
      <w:bookmarkEnd w:id="1"/>
      <w:r w:rsidDel="00000000" w:rsidR="00000000" w:rsidRPr="00000000">
        <w:rPr>
          <w:rFonts w:ascii="Georgia" w:cs="Georgia" w:eastAsia="Georgia" w:hAnsi="Georgia"/>
          <w:sz w:val="28"/>
          <w:szCs w:val="28"/>
          <w:rtl w:val="0"/>
        </w:rPr>
        <w:t xml:space="preserve">Introducción</w:t>
      </w:r>
    </w:p>
    <w:p w:rsidR="00000000" w:rsidDel="00000000" w:rsidP="00000000" w:rsidRDefault="00000000" w:rsidRPr="00000000" w14:paraId="0000000B">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Se plantea realizar la lectura del paper </w:t>
      </w:r>
      <w:r w:rsidDel="00000000" w:rsidR="00000000" w:rsidRPr="00000000">
        <w:rPr>
          <w:rFonts w:ascii="Georgia" w:cs="Georgia" w:eastAsia="Georgia" w:hAnsi="Georgia"/>
          <w:i w:val="1"/>
          <w:rtl w:val="0"/>
        </w:rPr>
        <w:t xml:space="preserve">“</w:t>
      </w:r>
      <w:hyperlink r:id="rId6">
        <w:r w:rsidDel="00000000" w:rsidR="00000000" w:rsidRPr="00000000">
          <w:rPr>
            <w:rFonts w:ascii="Georgia" w:cs="Georgia" w:eastAsia="Georgia" w:hAnsi="Georgia"/>
            <w:i w:val="1"/>
            <w:color w:val="1155cc"/>
            <w:rtl w:val="0"/>
          </w:rPr>
          <w:t xml:space="preserve">Improving supply chain performance management: A systematic approach to analyzing iterative KPI accomplishment</w:t>
        </w:r>
      </w:hyperlink>
      <w:r w:rsidDel="00000000" w:rsidR="00000000" w:rsidRPr="00000000">
        <w:rPr>
          <w:rFonts w:ascii="Georgia" w:cs="Georgia" w:eastAsia="Georgia" w:hAnsi="Georgia"/>
          <w:i w:val="1"/>
          <w:rtl w:val="0"/>
        </w:rPr>
        <w:t xml:space="preserve">”</w:t>
      </w:r>
      <w:r w:rsidDel="00000000" w:rsidR="00000000" w:rsidRPr="00000000">
        <w:rPr>
          <w:rFonts w:ascii="Georgia" w:cs="Georgia" w:eastAsia="Georgia" w:hAnsi="Georgia"/>
          <w:rtl w:val="0"/>
        </w:rPr>
        <w:t xml:space="preserve"> y através de esta, generar un documento analitico y apreciativo de la propuesta definida en la lectura que propone un marco sistemático para mejorar los indicadores clave de rendimiento (KPI).</w:t>
      </w:r>
    </w:p>
    <w:p w:rsidR="00000000" w:rsidDel="00000000" w:rsidP="00000000" w:rsidRDefault="00000000" w:rsidRPr="00000000" w14:paraId="0000000C">
      <w:pPr>
        <w:pStyle w:val="Heading1"/>
        <w:spacing w:after="0" w:before="200" w:lineRule="auto"/>
        <w:jc w:val="both"/>
        <w:rPr>
          <w:rFonts w:ascii="Georgia" w:cs="Georgia" w:eastAsia="Georgia" w:hAnsi="Georgia"/>
          <w:sz w:val="28"/>
          <w:szCs w:val="28"/>
        </w:rPr>
      </w:pPr>
      <w:bookmarkStart w:colFirst="0" w:colLast="0" w:name="_3xi9hn3n8l2f" w:id="2"/>
      <w:bookmarkEnd w:id="2"/>
      <w:r w:rsidDel="00000000" w:rsidR="00000000" w:rsidRPr="00000000">
        <w:rPr>
          <w:rFonts w:ascii="Georgia" w:cs="Georgia" w:eastAsia="Georgia" w:hAnsi="Georgia"/>
          <w:sz w:val="28"/>
          <w:szCs w:val="28"/>
          <w:rtl w:val="0"/>
        </w:rPr>
        <w:t xml:space="preserve">Ámbito</w:t>
      </w:r>
    </w:p>
    <w:p w:rsidR="00000000" w:rsidDel="00000000" w:rsidP="00000000" w:rsidRDefault="00000000" w:rsidRPr="00000000" w14:paraId="0000000D">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La problemática descrita en el paper se desenvuelve en empresas que administran cadenas de suministros, donde la medición del rendimiento de estas es fundamental para mejorar la eficacia y la eficiencia.</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La actividad de análisis se lleva a cabo en el marco de la asignatura de Ingeniería de Software I impartida por el docente Guillermo Leyton G. en la Universidad de La Serena.</w:t>
      </w:r>
    </w:p>
    <w:p w:rsidR="00000000" w:rsidDel="00000000" w:rsidP="00000000" w:rsidRDefault="00000000" w:rsidRPr="00000000" w14:paraId="0000000F">
      <w:pPr>
        <w:pStyle w:val="Heading1"/>
        <w:spacing w:after="0" w:before="200" w:lineRule="auto"/>
        <w:jc w:val="both"/>
        <w:rPr>
          <w:rFonts w:ascii="Georgia" w:cs="Georgia" w:eastAsia="Georgia" w:hAnsi="Georgia"/>
          <w:sz w:val="28"/>
          <w:szCs w:val="28"/>
        </w:rPr>
      </w:pPr>
      <w:bookmarkStart w:colFirst="0" w:colLast="0" w:name="_w15f2e8ikjj3" w:id="3"/>
      <w:bookmarkEnd w:id="3"/>
      <w:r w:rsidDel="00000000" w:rsidR="00000000" w:rsidRPr="00000000">
        <w:rPr>
          <w:rFonts w:ascii="Georgia" w:cs="Georgia" w:eastAsia="Georgia" w:hAnsi="Georgia"/>
          <w:sz w:val="28"/>
          <w:szCs w:val="28"/>
          <w:rtl w:val="0"/>
        </w:rPr>
        <w:t xml:space="preserve">Alcance</w:t>
      </w:r>
    </w:p>
    <w:p w:rsidR="00000000" w:rsidDel="00000000" w:rsidP="00000000" w:rsidRDefault="00000000" w:rsidRPr="00000000" w14:paraId="00000010">
      <w:pPr>
        <w:numPr>
          <w:ilvl w:val="0"/>
          <w:numId w:val="4"/>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El documento se propone como una apreciación de la lectura </w:t>
      </w:r>
      <w:r w:rsidDel="00000000" w:rsidR="00000000" w:rsidRPr="00000000">
        <w:rPr>
          <w:rFonts w:ascii="Georgia" w:cs="Georgia" w:eastAsia="Georgia" w:hAnsi="Georgia"/>
          <w:i w:val="1"/>
          <w:rtl w:val="0"/>
        </w:rPr>
        <w:t xml:space="preserve">“Improving supply chain performance management: A systematic approach to analyzing iterative KPI accomplishment”</w:t>
      </w:r>
      <w:r w:rsidDel="00000000" w:rsidR="00000000" w:rsidRPr="00000000">
        <w:rPr>
          <w:rFonts w:ascii="Georgia" w:cs="Georgia" w:eastAsia="Georgia" w:hAnsi="Georgia"/>
          <w:rtl w:val="0"/>
        </w:rPr>
        <w:t xml:space="preserve">. </w:t>
      </w:r>
    </w:p>
    <w:p w:rsidR="00000000" w:rsidDel="00000000" w:rsidP="00000000" w:rsidRDefault="00000000" w:rsidRPr="00000000" w14:paraId="00000011">
      <w:pPr>
        <w:numPr>
          <w:ilvl w:val="0"/>
          <w:numId w:val="4"/>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El documento no se desarrolla con el propósito de añadir información al modelo planteado en la lectura, sino más bien un resumen de lo descrito por la fuente original.</w:t>
      </w:r>
    </w:p>
    <w:p w:rsidR="00000000" w:rsidDel="00000000" w:rsidP="00000000" w:rsidRDefault="00000000" w:rsidRPr="00000000" w14:paraId="00000012">
      <w:pPr>
        <w:numPr>
          <w:ilvl w:val="0"/>
          <w:numId w:val="4"/>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El documento no se propone como una revisión de paper a nivel de revista científica, sino a nivel educativo.</w:t>
      </w:r>
    </w:p>
    <w:p w:rsidR="00000000" w:rsidDel="00000000" w:rsidP="00000000" w:rsidRDefault="00000000" w:rsidRPr="00000000" w14:paraId="00000013">
      <w:pPr>
        <w:pStyle w:val="Heading1"/>
        <w:spacing w:before="200" w:lineRule="auto"/>
        <w:rPr>
          <w:rFonts w:ascii="Georgia" w:cs="Georgia" w:eastAsia="Georgia" w:hAnsi="Georgia"/>
        </w:rPr>
      </w:pPr>
      <w:bookmarkStart w:colFirst="0" w:colLast="0" w:name="_m7g0933q776i" w:id="4"/>
      <w:bookmarkEnd w:id="4"/>
      <w:r w:rsidDel="00000000" w:rsidR="00000000" w:rsidRPr="00000000">
        <w:rPr>
          <w:rFonts w:ascii="Georgia" w:cs="Georgia" w:eastAsia="Georgia" w:hAnsi="Georgia"/>
          <w:sz w:val="28"/>
          <w:szCs w:val="28"/>
          <w:rtl w:val="0"/>
        </w:rPr>
        <w:t xml:space="preserve">Definiciones</w:t>
      </w:r>
      <w:r w:rsidDel="00000000" w:rsidR="00000000" w:rsidRPr="00000000">
        <w:rPr>
          <w:rtl w:val="0"/>
        </w:rPr>
      </w:r>
    </w:p>
    <w:tbl>
      <w:tblPr>
        <w:tblStyle w:val="Table1"/>
        <w:tblW w:w="10500.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400"/>
        <w:tblGridChange w:id="0">
          <w:tblGrid>
            <w:gridCol w:w="2100"/>
            <w:gridCol w:w="8400"/>
          </w:tblGrid>
        </w:tblGridChange>
      </w:tblGrid>
      <w:tr>
        <w:tc>
          <w:tcPr>
            <w:shd w:fill="efefe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PCTM</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Matriz de transformación de costos de los rendimientos.</w:t>
            </w:r>
          </w:p>
        </w:tc>
      </w:tr>
      <w:tr>
        <w:tc>
          <w:tcPr>
            <w:shd w:fill="efefe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PCM</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Matriz de coste de los rendimientos.</w:t>
            </w:r>
          </w:p>
        </w:tc>
      </w:tr>
      <w:tr>
        <w:tc>
          <w:tcPr>
            <w:shd w:fill="efefe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KPI</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Indicador clave de rendimiento.</w:t>
            </w:r>
          </w:p>
        </w:tc>
      </w:tr>
      <w:tr>
        <w:tc>
          <w:tcPr>
            <w:shd w:fill="efefe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SCM</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Administración de cadena(s) de suministro(s).</w:t>
            </w:r>
          </w:p>
        </w:tc>
      </w:tr>
      <w:tr>
        <w:tc>
          <w:tcPr>
            <w:shd w:fill="efefe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Eigenstructure (Estructura propia)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Conjunto de valores propios de una matriz.</w:t>
            </w:r>
          </w:p>
        </w:tc>
      </w:tr>
      <w:tr>
        <w:trPr>
          <w:trHeight w:val="780" w:hRule="atLeast"/>
        </w:trPr>
        <w:tc>
          <w:tcPr>
            <w:shd w:fill="efefe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Eigenvalues (Autovalor)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Conjunto de vectores propios con un valor propio común.</w:t>
            </w:r>
          </w:p>
        </w:tc>
      </w:tr>
      <w:tr>
        <w:tc>
          <w:tcPr>
            <w:shd w:fill="efefe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Eigenvectors (Autovectores)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Son los vectores no nulos que, cuando son transformados por el operador, dan lugar a un múltiplo escalar de sí mismos.</w:t>
            </w:r>
          </w:p>
        </w:tc>
      </w:tr>
    </w:tbl>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Georgia" w:cs="Georgia" w:eastAsia="Georgia" w:hAnsi="Georgia"/>
          <w:sz w:val="28"/>
          <w:szCs w:val="28"/>
        </w:rPr>
      </w:pPr>
      <w:bookmarkStart w:colFirst="0" w:colLast="0" w:name="_olyu186kdzlc" w:id="5"/>
      <w:bookmarkEnd w:id="5"/>
      <w:r w:rsidDel="00000000" w:rsidR="00000000" w:rsidRPr="00000000">
        <w:rPr>
          <w:rtl w:val="0"/>
        </w:rPr>
        <w:t xml:space="preserve">Análisis</w:t>
      </w:r>
      <w:r w:rsidDel="00000000" w:rsidR="00000000" w:rsidRPr="00000000">
        <w:rPr>
          <w:rtl w:val="0"/>
        </w:rPr>
      </w:r>
    </w:p>
    <w:p w:rsidR="00000000" w:rsidDel="00000000" w:rsidP="00000000" w:rsidRDefault="00000000" w:rsidRPr="00000000" w14:paraId="00000024">
      <w:pPr>
        <w:pStyle w:val="Heading3"/>
        <w:spacing w:before="0" w:lineRule="auto"/>
        <w:ind w:left="0" w:firstLine="0"/>
        <w:rPr>
          <w:rFonts w:ascii="Georgia" w:cs="Georgia" w:eastAsia="Georgia" w:hAnsi="Georgia"/>
          <w:sz w:val="22"/>
          <w:szCs w:val="22"/>
        </w:rPr>
      </w:pPr>
      <w:bookmarkStart w:colFirst="0" w:colLast="0" w:name="_aadmmsrjd2yz" w:id="6"/>
      <w:bookmarkEnd w:id="6"/>
      <w:r w:rsidDel="00000000" w:rsidR="00000000" w:rsidRPr="00000000">
        <w:rPr>
          <w:rFonts w:ascii="Georgia" w:cs="Georgia" w:eastAsia="Georgia" w:hAnsi="Georgia"/>
          <w:sz w:val="22"/>
          <w:szCs w:val="22"/>
          <w:rtl w:val="0"/>
        </w:rPr>
        <w:t xml:space="preserve">El documento consta de 4 secciones y una conclusión al respecto.</w:t>
      </w:r>
    </w:p>
    <w:p w:rsidR="00000000" w:rsidDel="00000000" w:rsidP="00000000" w:rsidRDefault="00000000" w:rsidRPr="00000000" w14:paraId="00000025">
      <w:pPr>
        <w:numPr>
          <w:ilvl w:val="0"/>
          <w:numId w:val="2"/>
        </w:numPr>
        <w:ind w:left="425.19685039370063" w:hanging="360"/>
        <w:jc w:val="both"/>
        <w:rPr/>
      </w:pPr>
      <w:r w:rsidDel="00000000" w:rsidR="00000000" w:rsidRPr="00000000">
        <w:rPr>
          <w:rFonts w:ascii="Georgia" w:cs="Georgia" w:eastAsia="Georgia" w:hAnsi="Georgia"/>
          <w:b w:val="1"/>
          <w:rtl w:val="0"/>
        </w:rPr>
        <w:t xml:space="preserve">Introducción</w:t>
      </w:r>
      <w:r w:rsidDel="00000000" w:rsidR="00000000" w:rsidRPr="00000000">
        <w:rPr>
          <w:rFonts w:ascii="Georgia" w:cs="Georgia" w:eastAsia="Georgia" w:hAnsi="Georgia"/>
          <w:rtl w:val="0"/>
        </w:rPr>
        <w:t xml:space="preserve">: El documento nos adentra a la problemática relacionada a la mejora de la gestión de SCM, y explica la importancia de generar métricas de medición de desempeño para poder medir el rendimiento de las SCM. Luegos nos adentra al concepto de KPI y la importancia de identificar indicadores críticos.</w:t>
        <w:br w:type="textWrapping"/>
      </w:r>
    </w:p>
    <w:p w:rsidR="00000000" w:rsidDel="00000000" w:rsidP="00000000" w:rsidRDefault="00000000" w:rsidRPr="00000000" w14:paraId="00000026">
      <w:pPr>
        <w:numPr>
          <w:ilvl w:val="0"/>
          <w:numId w:val="2"/>
        </w:numPr>
        <w:ind w:left="425.19685039370063" w:hanging="360"/>
        <w:jc w:val="both"/>
        <w:rPr/>
      </w:pPr>
      <w:r w:rsidDel="00000000" w:rsidR="00000000" w:rsidRPr="00000000">
        <w:rPr>
          <w:rFonts w:ascii="Georgia" w:cs="Georgia" w:eastAsia="Georgia" w:hAnsi="Georgia"/>
          <w:b w:val="1"/>
          <w:rtl w:val="0"/>
        </w:rPr>
        <w:t xml:space="preserve">Desafíos de la mejora de los procesos de la SCM</w:t>
      </w:r>
      <w:r w:rsidDel="00000000" w:rsidR="00000000" w:rsidRPr="00000000">
        <w:rPr>
          <w:rFonts w:ascii="Georgia" w:cs="Georgia" w:eastAsia="Georgia" w:hAnsi="Georgia"/>
          <w:rtl w:val="0"/>
        </w:rPr>
        <w:t xml:space="preserve">: Se nos adentra a las distintas formas, sistemas y modelos existentes para abordar el problema, y se muestra que ninguna llega a ser efectiva completamente, principalmente porque ninguna de las formas, sistemas o modelos contempla un modelo dinámico que utilice relaciones, niveles y jerarquías entre KPIs y que tolere constantes cambios que respondan a la necesidad de reacción. Los mecanismos utilizados en estos casos suelen ser inflexibles y tienden a consumir muchos recursos.</w:t>
      </w:r>
    </w:p>
    <w:p w:rsidR="00000000" w:rsidDel="00000000" w:rsidP="00000000" w:rsidRDefault="00000000" w:rsidRPr="00000000" w14:paraId="00000027">
      <w:pPr>
        <w:ind w:left="425.19685039370063" w:hanging="360"/>
        <w:jc w:val="both"/>
        <w:rPr>
          <w:rFonts w:ascii="Georgia" w:cs="Georgia" w:eastAsia="Georgia" w:hAnsi="Georgia"/>
        </w:rPr>
      </w:pPr>
      <w:r w:rsidDel="00000000" w:rsidR="00000000" w:rsidRPr="00000000">
        <w:rPr>
          <w:rtl w:val="0"/>
        </w:rPr>
      </w:r>
    </w:p>
    <w:p w:rsidR="00000000" w:rsidDel="00000000" w:rsidP="00000000" w:rsidRDefault="00000000" w:rsidRPr="00000000" w14:paraId="00000028">
      <w:pPr>
        <w:numPr>
          <w:ilvl w:val="0"/>
          <w:numId w:val="2"/>
        </w:numPr>
        <w:ind w:left="425.19685039370063" w:hanging="360"/>
        <w:rPr/>
      </w:pPr>
      <w:r w:rsidDel="00000000" w:rsidR="00000000" w:rsidRPr="00000000">
        <w:rPr>
          <w:rFonts w:ascii="Georgia" w:cs="Georgia" w:eastAsia="Georgia" w:hAnsi="Georgia"/>
          <w:b w:val="1"/>
          <w:rtl w:val="0"/>
        </w:rPr>
        <w:t xml:space="preserve">Marco sistemático para el análisis del rendimiento de SCM y sistema para priorizar KPIs</w:t>
      </w:r>
      <w:r w:rsidDel="00000000" w:rsidR="00000000" w:rsidRPr="00000000">
        <w:rPr>
          <w:rFonts w:ascii="Georgia" w:cs="Georgia" w:eastAsia="Georgia" w:hAnsi="Georgia"/>
          <w:rtl w:val="0"/>
        </w:rPr>
        <w:t xml:space="preserve">: Consiste de 5 apartados.</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3100500</wp:posOffset>
            </wp:positionH>
            <wp:positionV relativeFrom="paragraph">
              <wp:posOffset>222885</wp:posOffset>
            </wp:positionV>
            <wp:extent cx="3540088" cy="2788500"/>
            <wp:effectExtent b="12700" l="12700" r="12700" t="1270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540088" cy="2788500"/>
                    </a:xfrm>
                    <a:prstGeom prst="rect"/>
                    <a:ln w="12700">
                      <a:solidFill>
                        <a:srgbClr val="000000"/>
                      </a:solidFill>
                      <a:prstDash val="solid"/>
                    </a:ln>
                  </pic:spPr>
                </pic:pic>
              </a:graphicData>
            </a:graphic>
          </wp:anchor>
        </w:drawing>
      </w:r>
    </w:p>
    <w:p w:rsidR="00000000" w:rsidDel="00000000" w:rsidP="00000000" w:rsidRDefault="00000000" w:rsidRPr="00000000" w14:paraId="0000002A">
      <w:pPr>
        <w:numPr>
          <w:ilvl w:val="1"/>
          <w:numId w:val="2"/>
        </w:numPr>
        <w:ind w:left="850.3937007874013" w:hanging="359.99999999999994"/>
        <w:jc w:val="both"/>
        <w:rPr>
          <w:rFonts w:ascii="Georgia" w:cs="Georgia" w:eastAsia="Georgia" w:hAnsi="Georgia"/>
        </w:rPr>
      </w:pPr>
      <w:r w:rsidDel="00000000" w:rsidR="00000000" w:rsidRPr="00000000">
        <w:rPr>
          <w:rFonts w:ascii="Georgia" w:cs="Georgia" w:eastAsia="Georgia" w:hAnsi="Georgia"/>
          <w:rtl w:val="0"/>
        </w:rPr>
        <w:t xml:space="preserve">Se muestra </w:t>
      </w:r>
      <w:r w:rsidDel="00000000" w:rsidR="00000000" w:rsidRPr="00000000">
        <w:rPr>
          <w:rFonts w:ascii="Georgia" w:cs="Georgia" w:eastAsia="Georgia" w:hAnsi="Georgia"/>
          <w:b w:val="1"/>
          <w:i w:val="1"/>
          <w:rtl w:val="0"/>
        </w:rPr>
        <w:t xml:space="preserve">un modelo típico para monitoreo del progreso hacia el cumplimiento de objetivos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Fig.1</w:t>
      </w:r>
      <w:r w:rsidDel="00000000" w:rsidR="00000000" w:rsidRPr="00000000">
        <w:rPr>
          <w:rFonts w:ascii="Georgia" w:cs="Georgia" w:eastAsia="Georgia" w:hAnsi="Georgia"/>
          <w:rtl w:val="0"/>
        </w:rPr>
        <w:t xml:space="preserve">.)</w:t>
        <w:br w:type="textWrapping"/>
        <w:br w:type="textWrapping"/>
        <w:t xml:space="preserve">Aquí se propone agregar un nuevo paso para evitar la rigidez y ganar retroalimentación (“Análisis de KPI”).</w:t>
        <w:br w:type="textWrapping"/>
        <w:t xml:space="preserve">Durante el documento se habla de que los modelos tienden a ser muy largos y a requerir demasiado tiempo. Uno pensaría que al añadir este séptimo nodo, sería aún más largo.</w:t>
        <w:br w:type="textWrapping"/>
        <w:t xml:space="preserve">Contrario a lo pensado, la adición de otro nodo al ciclo evita que el modelo actual tenga que dar la iteración completa para analizar los indicadores KPI, y por lo tanto reduciría el número de iteraciones del modelo, beneficiando al recurso tiempo.</w:t>
      </w:r>
    </w:p>
    <w:p w:rsidR="00000000" w:rsidDel="00000000" w:rsidP="00000000" w:rsidRDefault="00000000" w:rsidRPr="00000000" w14:paraId="0000002B">
      <w:pPr>
        <w:ind w:left="850.3937007874013" w:hanging="359.99999999999994"/>
        <w:jc w:val="both"/>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190800</wp:posOffset>
            </wp:positionV>
            <wp:extent cx="3562350" cy="2727259"/>
            <wp:effectExtent b="12700" l="12700" r="12700" t="1270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62350" cy="2727259"/>
                    </a:xfrm>
                    <a:prstGeom prst="rect"/>
                    <a:ln w="12700">
                      <a:solidFill>
                        <a:srgbClr val="000000"/>
                      </a:solidFill>
                      <a:prstDash val="solid"/>
                    </a:ln>
                  </pic:spPr>
                </pic:pic>
              </a:graphicData>
            </a:graphic>
          </wp:anchor>
        </w:drawing>
      </w:r>
    </w:p>
    <w:p w:rsidR="00000000" w:rsidDel="00000000" w:rsidP="00000000" w:rsidRDefault="00000000" w:rsidRPr="00000000" w14:paraId="0000002C">
      <w:pPr>
        <w:numPr>
          <w:ilvl w:val="1"/>
          <w:numId w:val="2"/>
        </w:numPr>
        <w:ind w:left="850.3937007874013" w:hanging="359.99999999999994"/>
        <w:rPr/>
      </w:pPr>
      <w:r w:rsidDel="00000000" w:rsidR="00000000" w:rsidRPr="00000000">
        <w:rPr>
          <w:rFonts w:ascii="Georgia" w:cs="Georgia" w:eastAsia="Georgia" w:hAnsi="Georgia"/>
          <w:rtl w:val="0"/>
        </w:rPr>
        <w:t xml:space="preserve">Explica el </w:t>
      </w:r>
      <w:r w:rsidDel="00000000" w:rsidR="00000000" w:rsidRPr="00000000">
        <w:rPr>
          <w:rFonts w:ascii="Georgia" w:cs="Georgia" w:eastAsia="Georgia" w:hAnsi="Georgia"/>
          <w:b w:val="1"/>
          <w:i w:val="1"/>
          <w:rtl w:val="0"/>
        </w:rPr>
        <w:t xml:space="preserve">proceso de análisis de KPI</w:t>
      </w:r>
      <w:r w:rsidDel="00000000" w:rsidR="00000000" w:rsidRPr="00000000">
        <w:rPr>
          <w:rFonts w:ascii="Georgia" w:cs="Georgia" w:eastAsia="Georgia" w:hAnsi="Georgia"/>
          <w:rtl w:val="0"/>
        </w:rPr>
        <w:t xml:space="preserve"> que realizará el nuevo nodo (</w:t>
      </w:r>
      <w:r w:rsidDel="00000000" w:rsidR="00000000" w:rsidRPr="00000000">
        <w:rPr>
          <w:rFonts w:ascii="Georgia" w:cs="Georgia" w:eastAsia="Georgia" w:hAnsi="Georgia"/>
          <w:i w:val="1"/>
          <w:rtl w:val="0"/>
        </w:rPr>
        <w:t xml:space="preserve">Fig. 2</w:t>
      </w:r>
      <w:r w:rsidDel="00000000" w:rsidR="00000000" w:rsidRPr="00000000">
        <w:rPr>
          <w:rFonts w:ascii="Georgia" w:cs="Georgia" w:eastAsia="Georgia" w:hAnsi="Georgia"/>
          <w:rtl w:val="0"/>
        </w:rPr>
        <w:t xml:space="preserve">). </w:t>
      </w:r>
    </w:p>
    <w:p w:rsidR="00000000" w:rsidDel="00000000" w:rsidP="00000000" w:rsidRDefault="00000000" w:rsidRPr="00000000" w14:paraId="0000002D">
      <w:pPr>
        <w:numPr>
          <w:ilvl w:val="2"/>
          <w:numId w:val="2"/>
        </w:numPr>
        <w:ind w:left="850.3937007874013" w:hanging="359.99999999999994"/>
        <w:jc w:val="both"/>
        <w:rPr>
          <w:rFonts w:ascii="Georgia" w:cs="Georgia" w:eastAsia="Georgia" w:hAnsi="Georgia"/>
        </w:rPr>
      </w:pPr>
      <w:r w:rsidDel="00000000" w:rsidR="00000000" w:rsidRPr="00000000">
        <w:rPr>
          <w:rFonts w:ascii="Georgia" w:cs="Georgia" w:eastAsia="Georgia" w:hAnsi="Georgia"/>
          <w:rtl w:val="0"/>
        </w:rPr>
        <w:t xml:space="preserve">Identifica y define las KPI y sus relaciones.</w:t>
      </w:r>
    </w:p>
    <w:p w:rsidR="00000000" w:rsidDel="00000000" w:rsidP="00000000" w:rsidRDefault="00000000" w:rsidRPr="00000000" w14:paraId="0000002E">
      <w:pPr>
        <w:numPr>
          <w:ilvl w:val="2"/>
          <w:numId w:val="2"/>
        </w:numPr>
        <w:ind w:left="850.3937007874013" w:hanging="359.99999999999994"/>
        <w:jc w:val="both"/>
        <w:rPr>
          <w:rFonts w:ascii="Georgia" w:cs="Georgia" w:eastAsia="Georgia" w:hAnsi="Georgia"/>
        </w:rPr>
      </w:pPr>
      <w:r w:rsidDel="00000000" w:rsidR="00000000" w:rsidRPr="00000000">
        <w:rPr>
          <w:rFonts w:ascii="Georgia" w:cs="Georgia" w:eastAsia="Georgia" w:hAnsi="Georgia"/>
          <w:rtl w:val="0"/>
        </w:rPr>
        <w:t xml:space="preserve">Simula la convergencia de costo total.</w:t>
      </w:r>
    </w:p>
    <w:p w:rsidR="00000000" w:rsidDel="00000000" w:rsidP="00000000" w:rsidRDefault="00000000" w:rsidRPr="00000000" w14:paraId="0000002F">
      <w:pPr>
        <w:numPr>
          <w:ilvl w:val="2"/>
          <w:numId w:val="2"/>
        </w:numPr>
        <w:ind w:left="850.3937007874013" w:hanging="359.99999999999994"/>
        <w:jc w:val="both"/>
        <w:rPr>
          <w:rFonts w:ascii="Georgia" w:cs="Georgia" w:eastAsia="Georgia" w:hAnsi="Georgia"/>
        </w:rPr>
      </w:pPr>
      <w:r w:rsidDel="00000000" w:rsidR="00000000" w:rsidRPr="00000000">
        <w:rPr>
          <w:rFonts w:ascii="Georgia" w:cs="Georgia" w:eastAsia="Georgia" w:hAnsi="Georgia"/>
          <w:rtl w:val="0"/>
        </w:rPr>
        <w:t xml:space="preserve">Identifica patrones de mejora y KPI críticos.</w:t>
      </w:r>
    </w:p>
    <w:p w:rsidR="00000000" w:rsidDel="00000000" w:rsidP="00000000" w:rsidRDefault="00000000" w:rsidRPr="00000000" w14:paraId="00000030">
      <w:pPr>
        <w:numPr>
          <w:ilvl w:val="2"/>
          <w:numId w:val="2"/>
        </w:numPr>
        <w:ind w:left="850.3937007874013" w:hanging="359.99999999999994"/>
        <w:jc w:val="both"/>
        <w:rPr>
          <w:rFonts w:ascii="Georgia" w:cs="Georgia" w:eastAsia="Georgia" w:hAnsi="Georgia"/>
        </w:rPr>
      </w:pPr>
      <w:r w:rsidDel="00000000" w:rsidR="00000000" w:rsidRPr="00000000">
        <w:rPr>
          <w:rFonts w:ascii="Georgia" w:cs="Georgia" w:eastAsia="Georgia" w:hAnsi="Georgia"/>
          <w:rtl w:val="0"/>
        </w:rPr>
        <w:t xml:space="preserve">Interpreta resultados.</w:t>
      </w:r>
    </w:p>
    <w:p w:rsidR="00000000" w:rsidDel="00000000" w:rsidP="00000000" w:rsidRDefault="00000000" w:rsidRPr="00000000" w14:paraId="00000031">
      <w:pPr>
        <w:ind w:left="0" w:firstLine="0"/>
        <w:jc w:val="both"/>
        <w:rPr>
          <w:rFonts w:ascii="Georgia" w:cs="Georgia" w:eastAsia="Georgia" w:hAnsi="Georgia"/>
        </w:rPr>
      </w:pPr>
      <w:r w:rsidDel="00000000" w:rsidR="00000000" w:rsidRPr="00000000">
        <w:rPr>
          <w:rFonts w:ascii="Georgia" w:cs="Georgia" w:eastAsia="Georgia" w:hAnsi="Georgia"/>
          <w:rtl w:val="0"/>
        </w:rPr>
        <w:br w:type="textWrapping"/>
      </w:r>
    </w:p>
    <w:p w:rsidR="00000000" w:rsidDel="00000000" w:rsidP="00000000" w:rsidRDefault="00000000" w:rsidRPr="00000000" w14:paraId="00000032">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3">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5">
      <w:pPr>
        <w:numPr>
          <w:ilvl w:val="1"/>
          <w:numId w:val="2"/>
        </w:numPr>
        <w:ind w:left="850.3937007874013" w:hanging="359.99999999999994"/>
        <w:jc w:val="both"/>
        <w:rPr/>
      </w:pPr>
      <w:r w:rsidDel="00000000" w:rsidR="00000000" w:rsidRPr="00000000">
        <w:rPr>
          <w:rFonts w:ascii="Georgia" w:cs="Georgia" w:eastAsia="Georgia" w:hAnsi="Georgia"/>
          <w:b w:val="1"/>
          <w:rtl w:val="0"/>
        </w:rPr>
        <w:t xml:space="preserve">Muestra las formas de identificar las KPI</w:t>
      </w:r>
      <w:r w:rsidDel="00000000" w:rsidR="00000000" w:rsidRPr="00000000">
        <w:rPr>
          <w:rFonts w:ascii="Georgia" w:cs="Georgia" w:eastAsia="Georgia" w:hAnsi="Georgia"/>
          <w:rtl w:val="0"/>
        </w:rPr>
        <w:t xml:space="preserve"> (a través de requisitos y exp.), y herramientas para su medición. Se proponen las siguientes clasificaciones de indicadores basad</w:t>
      </w:r>
      <w:r w:rsidDel="00000000" w:rsidR="00000000" w:rsidRPr="00000000">
        <w:rPr>
          <w:rtl w:val="0"/>
        </w:rPr>
        <w:t xml:space="preserve">o en los procesos de las cadenas de suministros</w:t>
      </w:r>
      <w:r w:rsidDel="00000000" w:rsidR="00000000" w:rsidRPr="00000000">
        <w:rPr>
          <w:rFonts w:ascii="Georgia" w:cs="Georgia" w:eastAsia="Georgia" w:hAnsi="Georgia"/>
          <w:rtl w:val="0"/>
        </w:rPr>
        <w:t xml:space="preserve"> (Categorías de Medidas):</w:t>
      </w:r>
    </w:p>
    <w:p w:rsidR="00000000" w:rsidDel="00000000" w:rsidP="00000000" w:rsidRDefault="00000000" w:rsidRPr="00000000" w14:paraId="00000036">
      <w:pPr>
        <w:numPr>
          <w:ilvl w:val="2"/>
          <w:numId w:val="2"/>
        </w:numPr>
        <w:spacing w:before="0" w:lineRule="auto"/>
        <w:ind w:left="1559.0551181102362" w:hanging="360.0000000000001"/>
        <w:rPr>
          <w:rFonts w:ascii="Georgia" w:cs="Georgia" w:eastAsia="Georgia" w:hAnsi="Georgia"/>
          <w:u w:val="none"/>
        </w:rPr>
      </w:pPr>
      <w:r w:rsidDel="00000000" w:rsidR="00000000" w:rsidRPr="00000000">
        <w:rPr>
          <w:rFonts w:ascii="Georgia" w:cs="Georgia" w:eastAsia="Georgia" w:hAnsi="Georgia"/>
          <w:rtl w:val="0"/>
        </w:rPr>
        <w:t xml:space="preserve">Recursos. </w:t>
      </w:r>
    </w:p>
    <w:p w:rsidR="00000000" w:rsidDel="00000000" w:rsidP="00000000" w:rsidRDefault="00000000" w:rsidRPr="00000000" w14:paraId="00000037">
      <w:pPr>
        <w:numPr>
          <w:ilvl w:val="2"/>
          <w:numId w:val="2"/>
        </w:numPr>
        <w:spacing w:before="0" w:lineRule="auto"/>
        <w:ind w:left="1559.0551181102362" w:hanging="360.0000000000001"/>
        <w:rPr>
          <w:rFonts w:ascii="Georgia" w:cs="Georgia" w:eastAsia="Georgia" w:hAnsi="Georgia"/>
          <w:u w:val="none"/>
        </w:rPr>
      </w:pPr>
      <w:r w:rsidDel="00000000" w:rsidR="00000000" w:rsidRPr="00000000">
        <w:rPr>
          <w:rFonts w:ascii="Georgia" w:cs="Georgia" w:eastAsia="Georgia" w:hAnsi="Georgia"/>
          <w:rtl w:val="0"/>
        </w:rPr>
        <w:t xml:space="preserve">Resultados.</w:t>
      </w:r>
    </w:p>
    <w:p w:rsidR="00000000" w:rsidDel="00000000" w:rsidP="00000000" w:rsidRDefault="00000000" w:rsidRPr="00000000" w14:paraId="00000038">
      <w:pPr>
        <w:numPr>
          <w:ilvl w:val="2"/>
          <w:numId w:val="2"/>
        </w:numPr>
        <w:spacing w:before="0" w:lineRule="auto"/>
        <w:ind w:left="1559.0551181102362" w:hanging="360.0000000000001"/>
        <w:rPr>
          <w:rFonts w:ascii="Georgia" w:cs="Georgia" w:eastAsia="Georgia" w:hAnsi="Georgia"/>
          <w:u w:val="none"/>
        </w:rPr>
      </w:pPr>
      <w:r w:rsidDel="00000000" w:rsidR="00000000" w:rsidRPr="00000000">
        <w:rPr>
          <w:rFonts w:ascii="Georgia" w:cs="Georgia" w:eastAsia="Georgia" w:hAnsi="Georgia"/>
          <w:rtl w:val="0"/>
        </w:rPr>
        <w:t xml:space="preserve">Flexibilidad.</w:t>
      </w:r>
    </w:p>
    <w:p w:rsidR="00000000" w:rsidDel="00000000" w:rsidP="00000000" w:rsidRDefault="00000000" w:rsidRPr="00000000" w14:paraId="00000039">
      <w:pPr>
        <w:numPr>
          <w:ilvl w:val="2"/>
          <w:numId w:val="2"/>
        </w:numPr>
        <w:spacing w:before="0" w:lineRule="auto"/>
        <w:ind w:left="1559.0551181102362" w:hanging="360.0000000000001"/>
        <w:rPr>
          <w:rFonts w:ascii="Georgia" w:cs="Georgia" w:eastAsia="Georgia" w:hAnsi="Georgia"/>
          <w:u w:val="none"/>
        </w:rPr>
      </w:pPr>
      <w:r w:rsidDel="00000000" w:rsidR="00000000" w:rsidRPr="00000000">
        <w:rPr>
          <w:rFonts w:ascii="Georgia" w:cs="Georgia" w:eastAsia="Georgia" w:hAnsi="Georgia"/>
          <w:rtl w:val="0"/>
        </w:rPr>
        <w:t xml:space="preserve">Innovación. </w:t>
      </w:r>
    </w:p>
    <w:p w:rsidR="00000000" w:rsidDel="00000000" w:rsidP="00000000" w:rsidRDefault="00000000" w:rsidRPr="00000000" w14:paraId="0000003A">
      <w:pPr>
        <w:numPr>
          <w:ilvl w:val="2"/>
          <w:numId w:val="2"/>
        </w:numPr>
        <w:spacing w:before="0" w:lineRule="auto"/>
        <w:ind w:left="1559.0551181102362" w:hanging="360.0000000000001"/>
        <w:rPr>
          <w:rFonts w:ascii="Georgia" w:cs="Georgia" w:eastAsia="Georgia" w:hAnsi="Georgia"/>
          <w:u w:val="none"/>
        </w:rPr>
      </w:pPr>
      <w:r w:rsidDel="00000000" w:rsidR="00000000" w:rsidRPr="00000000">
        <w:rPr>
          <w:rFonts w:ascii="Georgia" w:cs="Georgia" w:eastAsia="Georgia" w:hAnsi="Georgia"/>
          <w:rtl w:val="0"/>
        </w:rPr>
        <w:t xml:space="preserve">Información.</w:t>
      </w:r>
    </w:p>
    <w:p w:rsidR="00000000" w:rsidDel="00000000" w:rsidP="00000000" w:rsidRDefault="00000000" w:rsidRPr="00000000" w14:paraId="0000003B">
      <w:pPr>
        <w:spacing w:after="0" w:before="0" w:lineRule="auto"/>
        <w:ind w:left="0" w:firstLine="0"/>
        <w:rPr>
          <w:rFonts w:ascii="Georgia" w:cs="Georgia" w:eastAsia="Georgia" w:hAnsi="Georgia"/>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161925</wp:posOffset>
            </wp:positionV>
            <wp:extent cx="3581400" cy="2268542"/>
            <wp:effectExtent b="12700" l="12700" r="12700" t="1270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81400" cy="2268542"/>
                    </a:xfrm>
                    <a:prstGeom prst="rect"/>
                    <a:ln w="12700">
                      <a:solidFill>
                        <a:srgbClr val="000000"/>
                      </a:solidFill>
                      <a:prstDash val="solid"/>
                    </a:ln>
                  </pic:spPr>
                </pic:pic>
              </a:graphicData>
            </a:graphic>
          </wp:anchor>
        </w:drawing>
      </w:r>
    </w:p>
    <w:p w:rsidR="00000000" w:rsidDel="00000000" w:rsidP="00000000" w:rsidRDefault="00000000" w:rsidRPr="00000000" w14:paraId="0000003C">
      <w:pPr>
        <w:numPr>
          <w:ilvl w:val="1"/>
          <w:numId w:val="2"/>
        </w:numPr>
        <w:ind w:left="850.3937007874016" w:hanging="360.00000000000006"/>
        <w:jc w:val="both"/>
        <w:rPr>
          <w:rFonts w:ascii="Georgia" w:cs="Georgia" w:eastAsia="Georgia" w:hAnsi="Georgia"/>
        </w:rPr>
      </w:pPr>
      <w:r w:rsidDel="00000000" w:rsidR="00000000" w:rsidRPr="00000000">
        <w:rPr>
          <w:rFonts w:ascii="Georgia" w:cs="Georgia" w:eastAsia="Georgia" w:hAnsi="Georgia"/>
          <w:rtl w:val="0"/>
        </w:rPr>
        <w:t xml:space="preserve">Se presentan las matrices </w:t>
      </w:r>
      <w:r w:rsidDel="00000000" w:rsidR="00000000" w:rsidRPr="00000000">
        <w:rPr>
          <w:rFonts w:ascii="Georgia" w:cs="Georgia" w:eastAsia="Georgia" w:hAnsi="Georgia"/>
          <w:b w:val="1"/>
          <w:rtl w:val="0"/>
        </w:rPr>
        <w:t xml:space="preserve">PCTM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1"/>
          <w:rtl w:val="0"/>
        </w:rPr>
        <w:t xml:space="preserve">Fig 4</w:t>
      </w:r>
      <w:r w:rsidDel="00000000" w:rsidR="00000000" w:rsidRPr="00000000">
        <w:rPr>
          <w:rFonts w:ascii="Georgia" w:cs="Georgia" w:eastAsia="Georgia" w:hAnsi="Georgia"/>
          <w:rtl w:val="0"/>
        </w:rPr>
        <w:t xml:space="preserve">) y </w:t>
      </w:r>
      <w:r w:rsidDel="00000000" w:rsidR="00000000" w:rsidRPr="00000000">
        <w:rPr>
          <w:rFonts w:ascii="Georgia" w:cs="Georgia" w:eastAsia="Georgia" w:hAnsi="Georgia"/>
          <w:b w:val="1"/>
          <w:rtl w:val="0"/>
        </w:rPr>
        <w:t xml:space="preserve">PCM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1"/>
          <w:rtl w:val="0"/>
        </w:rPr>
        <w:t xml:space="preserve">Fig 5</w:t>
      </w:r>
      <w:r w:rsidDel="00000000" w:rsidR="00000000" w:rsidRPr="00000000">
        <w:rPr>
          <w:rFonts w:ascii="Georgia" w:cs="Georgia" w:eastAsia="Georgia" w:hAnsi="Georgia"/>
          <w:rtl w:val="0"/>
        </w:rPr>
        <w:t xml:space="preserve">), y sus representaciones en un modelo gráfico relacional. Los tipos de relaciones posibles de representar se clasifican por los tipos:</w:t>
      </w:r>
    </w:p>
    <w:p w:rsidR="00000000" w:rsidDel="00000000" w:rsidP="00000000" w:rsidRDefault="00000000" w:rsidRPr="00000000" w14:paraId="0000003D">
      <w:pPr>
        <w:numPr>
          <w:ilvl w:val="2"/>
          <w:numId w:val="2"/>
        </w:numPr>
        <w:ind w:left="1559.0551181102362" w:hanging="360.0000000000001"/>
        <w:rPr>
          <w:rFonts w:ascii="Georgia" w:cs="Georgia" w:eastAsia="Georgia" w:hAnsi="Georgia"/>
        </w:rPr>
      </w:pPr>
      <w:r w:rsidDel="00000000" w:rsidR="00000000" w:rsidRPr="00000000">
        <w:rPr>
          <w:rFonts w:ascii="Georgia" w:cs="Georgia" w:eastAsia="Georgia" w:hAnsi="Georgia"/>
          <w:rtl w:val="0"/>
        </w:rPr>
        <w:t xml:space="preserve">Paralela</w:t>
      </w:r>
    </w:p>
    <w:p w:rsidR="00000000" w:rsidDel="00000000" w:rsidP="00000000" w:rsidRDefault="00000000" w:rsidRPr="00000000" w14:paraId="0000003E">
      <w:pPr>
        <w:numPr>
          <w:ilvl w:val="2"/>
          <w:numId w:val="2"/>
        </w:numPr>
        <w:ind w:left="1559.0551181102362" w:hanging="360.0000000000001"/>
        <w:rPr>
          <w:rFonts w:ascii="Georgia" w:cs="Georgia" w:eastAsia="Georgia" w:hAnsi="Georgia"/>
        </w:rPr>
      </w:pPr>
      <w:r w:rsidDel="00000000" w:rsidR="00000000" w:rsidRPr="00000000">
        <w:rPr>
          <w:rFonts w:ascii="Georgia" w:cs="Georgia" w:eastAsia="Georgia" w:hAnsi="Georgia"/>
          <w:rtl w:val="0"/>
        </w:rPr>
        <w:t xml:space="preserve">Secuencial (causa -&gt; efecto)</w:t>
      </w:r>
    </w:p>
    <w:p w:rsidR="00000000" w:rsidDel="00000000" w:rsidP="00000000" w:rsidRDefault="00000000" w:rsidRPr="00000000" w14:paraId="0000003F">
      <w:pPr>
        <w:numPr>
          <w:ilvl w:val="2"/>
          <w:numId w:val="2"/>
        </w:numPr>
        <w:ind w:left="1559.0551181102362" w:hanging="360.0000000000001"/>
        <w:rPr>
          <w:rFonts w:ascii="Georgia" w:cs="Georgia" w:eastAsia="Georgia" w:hAnsi="Georgia"/>
        </w:rPr>
      </w:pPr>
      <w:r w:rsidDel="00000000" w:rsidR="00000000" w:rsidRPr="00000000">
        <w:rPr>
          <w:rFonts w:ascii="Georgia" w:cs="Georgia" w:eastAsia="Georgia" w:hAnsi="Georgia"/>
          <w:rtl w:val="0"/>
        </w:rPr>
        <w:t xml:space="preserve">Acoplada.</w:t>
      </w:r>
    </w:p>
    <w:p w:rsidR="00000000" w:rsidDel="00000000" w:rsidP="00000000" w:rsidRDefault="00000000" w:rsidRPr="00000000" w14:paraId="00000040">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1">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2">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3">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4">
      <w:pPr>
        <w:ind w:left="0" w:firstLine="0"/>
        <w:jc w:val="both"/>
        <w:rPr>
          <w:rFonts w:ascii="Georgia" w:cs="Georgia" w:eastAsia="Georgia" w:hAnsi="Georgia"/>
        </w:rPr>
      </w:pPr>
      <w:r w:rsidDel="00000000" w:rsidR="00000000" w:rsidRPr="00000000">
        <w:rPr>
          <w:rtl w:val="0"/>
        </w:rPr>
      </w:r>
    </w:p>
    <w:tbl>
      <w:tblPr>
        <w:tblStyle w:val="Table2"/>
        <w:tblW w:w="10493.0" w:type="dxa"/>
        <w:jc w:val="left"/>
        <w:tblInd w:w="0.0" w:type="pct"/>
        <w:tblLayout w:type="fixed"/>
        <w:tblLook w:val="0600"/>
      </w:tblPr>
      <w:tblGrid>
        <w:gridCol w:w="5246.5"/>
        <w:gridCol w:w="5246.5"/>
        <w:tblGridChange w:id="0">
          <w:tblGrid>
            <w:gridCol w:w="5246.5"/>
            <w:gridCol w:w="52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Pr>
              <w:drawing>
                <wp:inline distB="0" distT="0" distL="0" distR="0">
                  <wp:extent cx="2595918" cy="2095500"/>
                  <wp:effectExtent b="12700" l="12700" r="12700" t="127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95918" cy="2095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Matriz PCTM</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Pr>
              <w:drawing>
                <wp:inline distB="0" distT="0" distL="0" distR="0">
                  <wp:extent cx="2141660" cy="2114550"/>
                  <wp:effectExtent b="12700" l="12700" r="12700" t="1270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141660" cy="2114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Matriz diagonal PCM</w:t>
            </w:r>
          </w:p>
        </w:tc>
      </w:tr>
    </w:tbl>
    <w:p w:rsidR="00000000" w:rsidDel="00000000" w:rsidP="00000000" w:rsidRDefault="00000000" w:rsidRPr="00000000" w14:paraId="00000049">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A">
      <w:pPr>
        <w:numPr>
          <w:ilvl w:val="1"/>
          <w:numId w:val="2"/>
        </w:numPr>
        <w:spacing w:after="200" w:lineRule="auto"/>
        <w:ind w:left="850.3937007874013" w:hanging="359.99999999999994"/>
        <w:jc w:val="both"/>
        <w:rPr/>
      </w:pPr>
      <w:r w:rsidDel="00000000" w:rsidR="00000000" w:rsidRPr="00000000">
        <w:rPr>
          <w:rFonts w:ascii="Georgia" w:cs="Georgia" w:eastAsia="Georgia" w:hAnsi="Georgia"/>
          <w:rtl w:val="0"/>
        </w:rPr>
        <w:t xml:space="preserve">Se estima el costo total simulando el proceso de cumplimiento iterativo de los KPI, a través de una </w:t>
      </w:r>
      <w:r w:rsidDel="00000000" w:rsidR="00000000" w:rsidRPr="00000000">
        <w:rPr>
          <w:rFonts w:ascii="Georgia" w:cs="Georgia" w:eastAsia="Georgia" w:hAnsi="Georgia"/>
          <w:b w:val="1"/>
          <w:rtl w:val="0"/>
        </w:rPr>
        <w:t xml:space="preserve">análisis de estructura propia/eigenstructure de la matriz PCTM</w:t>
      </w:r>
      <w:r w:rsidDel="00000000" w:rsidR="00000000" w:rsidRPr="00000000">
        <w:rPr>
          <w:rtl w:val="0"/>
        </w:rPr>
        <w:t xml:space="preserve">, mediante las fórmulas (1, 2, 3, 4) para el cálculo de costes, y las fórmulas (5, 6, 7) para el análisis sobre la matriz PCTM. </w:t>
      </w:r>
      <w:r w:rsidDel="00000000" w:rsidR="00000000" w:rsidRPr="00000000">
        <w:rPr>
          <w:rFonts w:ascii="Georgia" w:cs="Georgia" w:eastAsia="Georgia" w:hAnsi="Georgia"/>
          <w:rtl w:val="0"/>
        </w:rPr>
        <w:t xml:space="preserve">Este análisis utiliza tres suposiciones principales:</w:t>
      </w:r>
    </w:p>
    <w:p w:rsidR="00000000" w:rsidDel="00000000" w:rsidP="00000000" w:rsidRDefault="00000000" w:rsidRPr="00000000" w14:paraId="0000004B">
      <w:pPr>
        <w:numPr>
          <w:ilvl w:val="2"/>
          <w:numId w:val="2"/>
        </w:numPr>
        <w:ind w:left="850.3937007874013" w:hanging="359.99999999999994"/>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Las dependencias de costos de los KPI en PCTM no cambian con el tiempo.</w:t>
      </w:r>
    </w:p>
    <w:p w:rsidR="00000000" w:rsidDel="00000000" w:rsidP="00000000" w:rsidRDefault="00000000" w:rsidRPr="00000000" w14:paraId="0000004C">
      <w:pPr>
        <w:numPr>
          <w:ilvl w:val="2"/>
          <w:numId w:val="2"/>
        </w:numPr>
        <w:ind w:left="850.3937007874013" w:hanging="359.99999999999994"/>
        <w:jc w:val="both"/>
        <w:rPr>
          <w:rFonts w:ascii="Georgia" w:cs="Georgia" w:eastAsia="Georgia" w:hAnsi="Georgia"/>
        </w:rPr>
      </w:pPr>
      <w:r w:rsidDel="00000000" w:rsidR="00000000" w:rsidRPr="00000000">
        <w:rPr>
          <w:rFonts w:ascii="Georgia" w:cs="Georgia" w:eastAsia="Georgia" w:hAnsi="Georgia"/>
          <w:rtl w:val="0"/>
        </w:rPr>
        <w:t xml:space="preserve">Cada costo ocurre una vez por iteración.</w:t>
      </w:r>
    </w:p>
    <w:p w:rsidR="00000000" w:rsidDel="00000000" w:rsidP="00000000" w:rsidRDefault="00000000" w:rsidRPr="00000000" w14:paraId="0000004D">
      <w:pPr>
        <w:numPr>
          <w:ilvl w:val="2"/>
          <w:numId w:val="2"/>
        </w:numPr>
        <w:ind w:left="850.3937007874013" w:hanging="359.99999999999994"/>
        <w:jc w:val="both"/>
        <w:rPr>
          <w:rFonts w:ascii="Georgia" w:cs="Georgia" w:eastAsia="Georgia" w:hAnsi="Georgia"/>
        </w:rPr>
      </w:pPr>
      <w:r w:rsidDel="00000000" w:rsidR="00000000" w:rsidRPr="00000000">
        <w:rPr>
          <w:rFonts w:ascii="Georgia" w:cs="Georgia" w:eastAsia="Georgia" w:hAnsi="Georgia"/>
          <w:rtl w:val="0"/>
        </w:rPr>
        <w:t xml:space="preserve">El costo adicional de un logro KPI es la función de costo de la iteración anterior. </w:t>
      </w:r>
    </w:p>
    <w:p w:rsidR="00000000" w:rsidDel="00000000" w:rsidP="00000000" w:rsidRDefault="00000000" w:rsidRPr="00000000" w14:paraId="0000004E">
      <w:pPr>
        <w:numPr>
          <w:ilvl w:val="3"/>
          <w:numId w:val="2"/>
        </w:numPr>
        <w:ind w:left="1275.5905511811022" w:hanging="360"/>
        <w:jc w:val="both"/>
        <w:rPr>
          <w:rFonts w:ascii="Georgia" w:cs="Georgia" w:eastAsia="Georgia" w:hAnsi="Georgia"/>
        </w:rPr>
      </w:pPr>
      <w:r w:rsidDel="00000000" w:rsidR="00000000" w:rsidRPr="00000000">
        <w:rPr>
          <w:rFonts w:ascii="Georgia" w:cs="Georgia" w:eastAsia="Georgia" w:hAnsi="Georgia"/>
          <w:rtl w:val="0"/>
        </w:rPr>
        <w:t xml:space="preserve">Nota: Se identifican patrones y los KPI críticos analizando los valores de V en R.</w:t>
      </w:r>
    </w:p>
    <w:p w:rsidR="00000000" w:rsidDel="00000000" w:rsidP="00000000" w:rsidRDefault="00000000" w:rsidRPr="00000000" w14:paraId="0000004F">
      <w:pPr>
        <w:ind w:left="850.3937007874013" w:hanging="359.99999999999994"/>
        <w:jc w:val="both"/>
        <w:rPr>
          <w:rFonts w:ascii="Georgia" w:cs="Georgia" w:eastAsia="Georgia" w:hAnsi="Georgia"/>
        </w:rPr>
      </w:pPr>
      <w:r w:rsidDel="00000000" w:rsidR="00000000" w:rsidRPr="00000000">
        <w:rPr>
          <w:rtl w:val="0"/>
        </w:rPr>
      </w:r>
    </w:p>
    <w:p w:rsidR="00000000" w:rsidDel="00000000" w:rsidP="00000000" w:rsidRDefault="00000000" w:rsidRPr="00000000" w14:paraId="00000050">
      <w:pPr>
        <w:numPr>
          <w:ilvl w:val="0"/>
          <w:numId w:val="5"/>
        </w:numPr>
        <w:spacing w:after="200" w:lineRule="auto"/>
        <w:ind w:left="850.3937007874013" w:hanging="359.99999999999994"/>
        <w:jc w:val="both"/>
        <w:rPr>
          <w:rFonts w:ascii="Georgia" w:cs="Georgia" w:eastAsia="Georgia" w:hAnsi="Georgia"/>
          <w:u w:val="none"/>
        </w:rPr>
      </w:pPr>
      <w:r w:rsidDel="00000000" w:rsidR="00000000" w:rsidRPr="00000000">
        <w:rPr>
          <w:rFonts w:ascii="Georgia" w:cs="Georgia" w:eastAsia="Georgia" w:hAnsi="Georgia"/>
          <w:rtl w:val="0"/>
        </w:rPr>
        <w:t xml:space="preserve">Se concluye que es correcto primero definir el tipo de dependencia y de ser capaz de verlo reflejado en la matriz. De esta forma, evita de que las variables sean consideradas de forma individual y aisladas unas de otras. Luego, la matriz PCM nos servirá para determinar cual de todas las KPI requiere un mayor costo de realización, podría decirse que de forma colateral al hacer esto, indicaría cuál de todas las KPI tiene mayor peso o relevancia en la SCM por su costo asociado.</w:t>
      </w:r>
    </w:p>
    <w:p w:rsidR="00000000" w:rsidDel="00000000" w:rsidP="00000000" w:rsidRDefault="00000000" w:rsidRPr="00000000" w14:paraId="00000051">
      <w:pPr>
        <w:spacing w:after="20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52">
      <w:pPr>
        <w:numPr>
          <w:ilvl w:val="1"/>
          <w:numId w:val="2"/>
        </w:numPr>
        <w:ind w:left="850.3937007874013" w:hanging="359.99999999999994"/>
        <w:jc w:val="both"/>
        <w:rPr>
          <w:rFonts w:ascii="Georgia" w:cs="Georgia" w:eastAsia="Georgia" w:hAnsi="Georgia"/>
        </w:rPr>
      </w:pPr>
      <w:r w:rsidDel="00000000" w:rsidR="00000000" w:rsidRPr="00000000">
        <w:rPr>
          <w:rFonts w:ascii="Georgia" w:cs="Georgia" w:eastAsia="Georgia" w:hAnsi="Georgia"/>
          <w:rtl w:val="0"/>
        </w:rPr>
        <w:t xml:space="preserve">La interpretación de los valores propios (eigenvalues) y vectores propios (eigenvectors) pueden ser utilizados para reconocer KPI críticas y para optimizar patrones acorde a los objetivos del SCM (lean, ágil, flexible, sensible). En la </w:t>
      </w:r>
      <w:r w:rsidDel="00000000" w:rsidR="00000000" w:rsidRPr="00000000">
        <w:rPr>
          <w:rFonts w:ascii="Georgia" w:cs="Georgia" w:eastAsia="Georgia" w:hAnsi="Georgia"/>
          <w:i w:val="1"/>
          <w:rtl w:val="0"/>
        </w:rPr>
        <w:t xml:space="preserve">Fig 6</w:t>
      </w:r>
      <w:r w:rsidDel="00000000" w:rsidR="00000000" w:rsidRPr="00000000">
        <w:rPr>
          <w:rFonts w:ascii="Georgia" w:cs="Georgia" w:eastAsia="Georgia" w:hAnsi="Georgia"/>
          <w:rtl w:val="0"/>
        </w:rPr>
        <w:t xml:space="preserve">. Se identifican los KPI críticos al analizar los eigenvalues relacionados a un eigenvectors. Una vez identificados, existen dos formas de mejora:</w:t>
      </w:r>
    </w:p>
    <w:p w:rsidR="00000000" w:rsidDel="00000000" w:rsidP="00000000" w:rsidRDefault="00000000" w:rsidRPr="00000000" w14:paraId="00000053">
      <w:pPr>
        <w:numPr>
          <w:ilvl w:val="2"/>
          <w:numId w:val="2"/>
        </w:numPr>
        <w:ind w:left="850.3937007874013" w:hanging="359.99999999999994"/>
        <w:rPr/>
      </w:pPr>
      <w:r w:rsidDel="00000000" w:rsidR="00000000" w:rsidRPr="00000000">
        <w:rPr>
          <w:rFonts w:ascii="Georgia" w:cs="Georgia" w:eastAsia="Georgia" w:hAnsi="Georgia"/>
          <w:b w:val="1"/>
          <w:rtl w:val="0"/>
        </w:rPr>
        <w:t xml:space="preserve">Disminución de costos</w:t>
      </w:r>
      <w:r w:rsidDel="00000000" w:rsidR="00000000" w:rsidRPr="00000000">
        <w:rPr>
          <w:rFonts w:ascii="Georgia" w:cs="Georgia" w:eastAsia="Georgia" w:hAnsi="Georgia"/>
          <w:rtl w:val="0"/>
        </w:rPr>
        <w:t xml:space="preserve"> (en valores de matriz PCM) de los KPI identificados sin afectar a otros.</w:t>
      </w:r>
    </w:p>
    <w:p w:rsidR="00000000" w:rsidDel="00000000" w:rsidP="00000000" w:rsidRDefault="00000000" w:rsidRPr="00000000" w14:paraId="00000054">
      <w:pPr>
        <w:numPr>
          <w:ilvl w:val="2"/>
          <w:numId w:val="2"/>
        </w:numPr>
        <w:ind w:left="850.3937007874013" w:hanging="359.99999999999994"/>
        <w:rPr/>
      </w:pPr>
      <w:r w:rsidDel="00000000" w:rsidR="00000000" w:rsidRPr="00000000">
        <w:rPr>
          <w:rFonts w:ascii="Georgia" w:cs="Georgia" w:eastAsia="Georgia" w:hAnsi="Georgia"/>
          <w:b w:val="1"/>
          <w:rtl w:val="0"/>
        </w:rPr>
        <w:t xml:space="preserve">Reducción de dependencia</w:t>
      </w:r>
      <w:r w:rsidDel="00000000" w:rsidR="00000000" w:rsidRPr="00000000">
        <w:rPr>
          <w:rFonts w:ascii="Georgia" w:cs="Georgia" w:eastAsia="Georgia" w:hAnsi="Georgia"/>
          <w:rtl w:val="0"/>
        </w:rPr>
        <w:t xml:space="preserve"> de los KPI identificados.</w:t>
        <w:br w:type="textWrapping"/>
      </w:r>
    </w:p>
    <w:p w:rsidR="00000000" w:rsidDel="00000000" w:rsidP="00000000" w:rsidRDefault="00000000" w:rsidRPr="00000000" w14:paraId="00000055">
      <w:pPr>
        <w:numPr>
          <w:ilvl w:val="0"/>
          <w:numId w:val="2"/>
        </w:numPr>
        <w:ind w:left="425.19685039370063" w:hanging="360"/>
        <w:jc w:val="both"/>
        <w:rPr>
          <w:rFonts w:ascii="Georgia" w:cs="Georgia" w:eastAsia="Georgia" w:hAnsi="Georgia"/>
        </w:rPr>
      </w:pPr>
      <w:r w:rsidDel="00000000" w:rsidR="00000000" w:rsidRPr="00000000">
        <w:rPr>
          <w:rFonts w:ascii="Georgia" w:cs="Georgia" w:eastAsia="Georgia" w:hAnsi="Georgia"/>
          <w:rtl w:val="0"/>
        </w:rPr>
        <w:t xml:space="preserve">Se muestra una aplicación considerando una empresa electrónica china (SCC Company). En este caso, se identificó 20 KPI relacionadas entre sí y repartidas en 4 categorías.</w:t>
      </w:r>
    </w:p>
    <w:p w:rsidR="00000000" w:rsidDel="00000000" w:rsidP="00000000" w:rsidRDefault="00000000" w:rsidRPr="00000000" w14:paraId="0000005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7">
      <w:pPr>
        <w:ind w:left="0" w:firstLine="0"/>
        <w:rPr>
          <w:rFonts w:ascii="Georgia" w:cs="Georgia" w:eastAsia="Georgia" w:hAnsi="Georgia"/>
        </w:rPr>
      </w:pPr>
      <w:r w:rsidDel="00000000" w:rsidR="00000000" w:rsidRPr="00000000">
        <w:rPr>
          <w:rFonts w:ascii="Georgia" w:cs="Georgia" w:eastAsia="Georgia" w:hAnsi="Georgia"/>
          <w:sz w:val="28"/>
          <w:szCs w:val="28"/>
          <w:rtl w:val="0"/>
        </w:rPr>
        <w:t xml:space="preserve">Apreciación</w:t>
      </w:r>
      <w:r w:rsidDel="00000000" w:rsidR="00000000" w:rsidRPr="00000000">
        <w:rPr>
          <w:rtl w:val="0"/>
        </w:rPr>
      </w:r>
    </w:p>
    <w:p w:rsidR="00000000" w:rsidDel="00000000" w:rsidP="00000000" w:rsidRDefault="00000000" w:rsidRPr="00000000" w14:paraId="00000058">
      <w:pPr>
        <w:ind w:left="0" w:firstLine="0"/>
        <w:jc w:val="both"/>
        <w:rPr>
          <w:rFonts w:ascii="Georgia" w:cs="Georgia" w:eastAsia="Georgia" w:hAnsi="Georgia"/>
        </w:rPr>
      </w:pPr>
      <w:r w:rsidDel="00000000" w:rsidR="00000000" w:rsidRPr="00000000">
        <w:rPr>
          <w:rFonts w:ascii="Georgia" w:cs="Georgia" w:eastAsia="Georgia" w:hAnsi="Georgia"/>
          <w:rtl w:val="0"/>
        </w:rPr>
        <w:t xml:space="preserve">El modelo planteado parece suficientemente complejo y ambicioso, pues se propone identificar los KPI más importantes de una SCM así como la optimización de patrones. Si bien el modelo está por encima de los model</w:t>
      </w:r>
      <w:r w:rsidDel="00000000" w:rsidR="00000000" w:rsidRPr="00000000">
        <w:rPr>
          <w:rtl w:val="0"/>
        </w:rPr>
        <w:t xml:space="preserve">os </w:t>
      </w:r>
      <w:r w:rsidDel="00000000" w:rsidR="00000000" w:rsidRPr="00000000">
        <w:rPr>
          <w:rFonts w:ascii="Georgia" w:cs="Georgia" w:eastAsia="Georgia" w:hAnsi="Georgia"/>
          <w:rtl w:val="0"/>
        </w:rPr>
        <w:t xml:space="preserve">pre-establecidos y habitualmente usados, no significa que sea la solución perfecta. Esta propuesta puede resultar medianamente eficiente, pero no responde en su totalidad a lo que se plantea solucionar, pues en el párrafo 4 de la sección 3 se considera la siguiente hipótesis: </w:t>
      </w:r>
    </w:p>
    <w:p w:rsidR="00000000" w:rsidDel="00000000" w:rsidP="00000000" w:rsidRDefault="00000000" w:rsidRPr="00000000" w14:paraId="00000059">
      <w:pPr>
        <w:spacing w:after="200" w:before="200" w:lineRule="auto"/>
        <w:ind w:left="0" w:firstLine="0"/>
        <w:jc w:val="center"/>
        <w:rPr>
          <w:rFonts w:ascii="Georgia" w:cs="Georgia" w:eastAsia="Georgia" w:hAnsi="Georgia"/>
        </w:rPr>
      </w:pPr>
      <w:r w:rsidDel="00000000" w:rsidR="00000000" w:rsidRPr="00000000">
        <w:rPr>
          <w:rFonts w:ascii="Georgia" w:cs="Georgia" w:eastAsia="Georgia" w:hAnsi="Georgia"/>
          <w:i w:val="1"/>
          <w:rtl w:val="0"/>
        </w:rPr>
        <w:t xml:space="preserve">“Las dependencias de costos de los KPI en PCTM no cambian con el tiempo”</w:t>
      </w:r>
      <w:r w:rsidDel="00000000" w:rsidR="00000000" w:rsidRPr="00000000">
        <w:rPr>
          <w:rtl w:val="0"/>
        </w:rPr>
      </w:r>
    </w:p>
    <w:p w:rsidR="00000000" w:rsidDel="00000000" w:rsidP="00000000" w:rsidRDefault="00000000" w:rsidRPr="00000000" w14:paraId="0000005A">
      <w:pPr>
        <w:jc w:val="both"/>
        <w:rPr/>
      </w:pPr>
      <w:r w:rsidDel="00000000" w:rsidR="00000000" w:rsidRPr="00000000">
        <w:rPr>
          <w:rFonts w:ascii="Georgia" w:cs="Georgia" w:eastAsia="Georgia" w:hAnsi="Georgia"/>
          <w:rtl w:val="0"/>
        </w:rPr>
        <w:t xml:space="preserve">Hipótesis que resulta incorrecta si consideramos un entorno dinámico en donde la importancia, peso o costo de las KPI pueden cambiar ágilmente ya sea por un cambio en el negocio, proceso productivo o una mala apreciación de quién modela el sistema. S</w:t>
      </w:r>
      <w:r w:rsidDel="00000000" w:rsidR="00000000" w:rsidRPr="00000000">
        <w:rPr>
          <w:rtl w:val="0"/>
        </w:rPr>
        <w:t xml:space="preserve">in embargo, otros puntos de vistas consideran que esto puede ser medianamente plausible hasta cierto punto, al considerar ejemplos como el aplicado en el paper, donde la fluctuación es mínima en la matriz PCTM; al tener un análisis del entorno que se adecua a la naturaleza lineal del modelo.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Si bien la determinación de los costos la realiza gerencia (suponiendo un experto), no se especifica cuales son los criterios que toman para la determinación de los KPI, es decir, cuál tiene más relevancia sobre otro. Si la determinación está mal elaborada, todo el modelo sustentaría sus bases en valores erróneos. </w:t>
      </w:r>
    </w:p>
    <w:p w:rsidR="00000000" w:rsidDel="00000000" w:rsidP="00000000" w:rsidRDefault="00000000" w:rsidRPr="00000000" w14:paraId="0000005D">
      <w:pPr>
        <w:jc w:val="both"/>
        <w:rPr/>
      </w:pPr>
      <w:r w:rsidDel="00000000" w:rsidR="00000000" w:rsidRPr="00000000">
        <w:rPr>
          <w:rtl w:val="0"/>
        </w:rPr>
        <w:t xml:space="preserve">El modelo tiene un alto nivel técnico, por lo que aplicarlo a todas las áreas de la empresa puede ser algo complicado ya que en el centro del modelo se comparte la información de las distintas etapas de este.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1"/>
        <w:rPr/>
      </w:pPr>
      <w:bookmarkStart w:colFirst="0" w:colLast="0" w:name="_17krmguajnkj" w:id="7"/>
      <w:bookmarkEnd w:id="7"/>
      <w:r w:rsidDel="00000000" w:rsidR="00000000" w:rsidRPr="00000000">
        <w:rPr>
          <w:rtl w:val="0"/>
        </w:rPr>
        <w:t xml:space="preserve">Anexo</w:t>
      </w:r>
    </w:p>
    <w:tbl>
      <w:tblPr>
        <w:tblStyle w:val="Table3"/>
        <w:tblW w:w="10455.0" w:type="dxa"/>
        <w:jc w:val="left"/>
        <w:tblInd w:w="43.08661417322835"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10"/>
        <w:gridCol w:w="4545"/>
        <w:tblGridChange w:id="0">
          <w:tblGrid>
            <w:gridCol w:w="5910"/>
            <w:gridCol w:w="4545"/>
          </w:tblGrid>
        </w:tblGridChange>
      </w:tblGrid>
      <w:tr>
        <w:trPr>
          <w:trHeight w:val="420" w:hRule="atLeast"/>
        </w:trPr>
        <w:tc>
          <w:tcPr>
            <w:gridSpan w:val="2"/>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Fórmulas</w:t>
            </w:r>
          </w:p>
        </w:tc>
      </w:tr>
      <w:t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2">
            <w:pPr>
              <w:spacing w:line="240" w:lineRule="auto"/>
              <w:rPr>
                <w:rFonts w:ascii="Georgia" w:cs="Georgia" w:eastAsia="Georgia" w:hAnsi="Georgia"/>
              </w:rPr>
            </w:pPr>
            <w:r w:rsidDel="00000000" w:rsidR="00000000" w:rsidRPr="00000000">
              <w:rPr>
                <w:rFonts w:ascii="Georgia" w:cs="Georgia" w:eastAsia="Georgia" w:hAnsi="Georgia"/>
                <w:rtl w:val="0"/>
              </w:rPr>
              <w:t xml:space="preserve">(1) rt: Vector de costo en cada iteración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3">
            <w:pPr>
              <w:spacing w:line="240" w:lineRule="auto"/>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619250" cy="2286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619250" cy="228600"/>
                          </a:xfrm>
                          <a:prstGeom prst="rect"/>
                          <a:ln/>
                        </pic:spPr>
                      </pic:pic>
                    </a:graphicData>
                  </a:graphic>
                </wp:inline>
              </w:drawing>
            </w:r>
            <w:r w:rsidDel="00000000" w:rsidR="00000000" w:rsidRPr="00000000">
              <w:rPr>
                <w:rtl w:val="0"/>
              </w:rPr>
            </w:r>
          </w:p>
        </w:tc>
      </w:tr>
      <w:tr>
        <w:trPr>
          <w:trHeight w:val="340" w:hRule="atLeast"/>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4">
            <w:pPr>
              <w:spacing w:line="240" w:lineRule="auto"/>
              <w:rPr>
                <w:rFonts w:ascii="Georgia" w:cs="Georgia" w:eastAsia="Georgia" w:hAnsi="Georgia"/>
              </w:rPr>
            </w:pPr>
            <w:r w:rsidDel="00000000" w:rsidR="00000000" w:rsidRPr="00000000">
              <w:rPr>
                <w:rFonts w:ascii="Georgia" w:cs="Georgia" w:eastAsia="Georgia" w:hAnsi="Georgia"/>
                <w:rtl w:val="0"/>
              </w:rPr>
              <w:t xml:space="preserve">(2) R: Costo General (Sum</w:t>
            </w:r>
            <w:r w:rsidDel="00000000" w:rsidR="00000000" w:rsidRPr="00000000">
              <w:rPr>
                <w:rtl w:val="0"/>
              </w:rPr>
              <w:t xml:space="preserve">.</w:t>
            </w:r>
            <w:r w:rsidDel="00000000" w:rsidR="00000000" w:rsidRPr="00000000">
              <w:rPr>
                <w:rFonts w:ascii="Georgia" w:cs="Georgia" w:eastAsia="Georgia" w:hAnsi="Georgia"/>
                <w:rtl w:val="0"/>
              </w:rPr>
              <w:t xml:space="preserve"> de vectores de relación x etapa)</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5">
            <w:pPr>
              <w:spacing w:line="240" w:lineRule="auto"/>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390775" cy="2413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90775" cy="241300"/>
                          </a:xfrm>
                          <a:prstGeom prst="rect"/>
                          <a:ln/>
                        </pic:spPr>
                      </pic:pic>
                    </a:graphicData>
                  </a:graphic>
                </wp:inline>
              </w:drawing>
            </w:r>
            <w:r w:rsidDel="00000000" w:rsidR="00000000" w:rsidRPr="00000000">
              <w:rPr>
                <w:rtl w:val="0"/>
              </w:rPr>
            </w:r>
          </w:p>
        </w:tc>
      </w:tr>
      <w:tr>
        <w:trPr>
          <w:trHeight w:val="340" w:hRule="atLeast"/>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6">
            <w:pPr>
              <w:spacing w:line="240" w:lineRule="auto"/>
              <w:rPr>
                <w:rFonts w:ascii="Georgia" w:cs="Georgia" w:eastAsia="Georgia" w:hAnsi="Georgia"/>
              </w:rPr>
            </w:pPr>
            <w:r w:rsidDel="00000000" w:rsidR="00000000" w:rsidRPr="00000000">
              <w:rPr>
                <w:rFonts w:ascii="Georgia" w:cs="Georgia" w:eastAsia="Georgia" w:hAnsi="Georgia"/>
                <w:rtl w:val="0"/>
              </w:rPr>
              <w:t xml:space="preserve">(3) CR: Vector de costo total (Diagonal)</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7">
            <w:pPr>
              <w:spacing w:line="240" w:lineRule="auto"/>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666875" cy="333375"/>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666875" cy="333375"/>
                          </a:xfrm>
                          <a:prstGeom prst="rect"/>
                          <a:ln/>
                        </pic:spPr>
                      </pic:pic>
                    </a:graphicData>
                  </a:graphic>
                </wp:inline>
              </w:drawing>
            </w:r>
            <w:r w:rsidDel="00000000" w:rsidR="00000000" w:rsidRPr="00000000">
              <w:rPr>
                <w:rtl w:val="0"/>
              </w:rPr>
            </w:r>
          </w:p>
        </w:tc>
      </w:tr>
      <w:tr>
        <w:trPr>
          <w:trHeight w:val="520" w:hRule="atLeast"/>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8">
            <w:pPr>
              <w:spacing w:line="240" w:lineRule="auto"/>
              <w:rPr>
                <w:rFonts w:ascii="Georgia" w:cs="Georgia" w:eastAsia="Georgia" w:hAnsi="Georgia"/>
              </w:rPr>
            </w:pPr>
            <w:r w:rsidDel="00000000" w:rsidR="00000000" w:rsidRPr="00000000">
              <w:rPr>
                <w:rFonts w:ascii="Georgia" w:cs="Georgia" w:eastAsia="Georgia" w:hAnsi="Georgia"/>
                <w:rtl w:val="0"/>
              </w:rPr>
              <w:t xml:space="preserve">(4) TC: Costo total (Suma de elementos en CR)</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9">
            <w:pPr>
              <w:spacing w:line="240" w:lineRule="auto"/>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333500" cy="24765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33500" cy="247650"/>
                          </a:xfrm>
                          <a:prstGeom prst="rect"/>
                          <a:ln/>
                        </pic:spPr>
                      </pic:pic>
                    </a:graphicData>
                  </a:graphic>
                </wp:inline>
              </w:drawing>
            </w:r>
            <w:r w:rsidDel="00000000" w:rsidR="00000000" w:rsidRPr="00000000">
              <w:rPr>
                <w:rtl w:val="0"/>
              </w:rPr>
            </w:r>
          </w:p>
        </w:tc>
      </w:tr>
      <w:tr>
        <w:trPr>
          <w:trHeight w:val="420" w:hRule="atLeast"/>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A">
            <w:pPr>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Análisis PCTM (M):</w:t>
            </w:r>
            <w:r w:rsidDel="00000000" w:rsidR="00000000" w:rsidRPr="00000000">
              <w:rPr>
                <w:rFonts w:ascii="Georgia" w:cs="Georgia" w:eastAsia="Georgia" w:hAnsi="Georgia"/>
              </w:rPr>
              <w:drawing>
                <wp:inline distB="114300" distT="114300" distL="114300" distR="114300">
                  <wp:extent cx="5374425" cy="150495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7442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ind w:left="0" w:firstLine="0"/>
        <w:rPr/>
      </w:pPr>
      <w:r w:rsidDel="00000000" w:rsidR="00000000" w:rsidRPr="00000000">
        <w:rPr>
          <w:rtl w:val="0"/>
        </w:rPr>
      </w:r>
    </w:p>
    <w:sectPr>
      <w:pgSz w:h="16834" w:w="11909"/>
      <w:pgMar w:bottom="708.6614173228347" w:top="708.6614173228347"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rFonts w:ascii="Georgia" w:cs="Georgia" w:eastAsia="Georgia" w:hAnsi="Georgia"/>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sciencedirect.com/science/article/pii/S0167923608001693" TargetMode="Externa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