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color w:val="000000"/>
          <w:sz w:val="23"/>
          <w:szCs w:val="23"/>
          <w:highlight w:val="white"/>
        </w:rPr>
      </w:pPr>
      <w:r>
        <w:rPr>
          <w:color w:val="000000"/>
          <w:sz w:val="23"/>
          <w:szCs w:val="23"/>
          <w:highlight w:val="white"/>
        </w:rPr>
        <w:t>АКТ ПРИЕМА-ПЕРЕДАЧИ ТОВАРА</w:t>
      </w:r>
    </w:p>
    <w:p>
      <w:pPr>
        <w:pStyle w:val="Normal"/>
        <w:jc w:val="center"/>
        <w:rPr>
          <w:color w:val="000000"/>
          <w:sz w:val="23"/>
          <w:szCs w:val="23"/>
          <w:highlight w:val="white"/>
        </w:rPr>
      </w:pPr>
      <w:r>
        <w:rPr>
          <w:color w:val="000000"/>
          <w:sz w:val="23"/>
          <w:szCs w:val="23"/>
          <w:highlight w:val="white"/>
        </w:rPr>
        <w:t>ACT OF ACCEPTENCE OF GOODS</w:t>
      </w:r>
    </w:p>
    <w:p>
      <w:pPr>
        <w:pStyle w:val="Normal"/>
        <w:jc w:val="center"/>
        <w:rPr>
          <w:color w:val="000000"/>
          <w:sz w:val="23"/>
          <w:szCs w:val="23"/>
          <w:highlight w:val="white"/>
        </w:rPr>
      </w:pPr>
      <w:r>
        <w:rPr>
          <w:color w:val="000000"/>
          <w:sz w:val="23"/>
          <w:szCs w:val="23"/>
          <w:highlight w:val="white"/>
        </w:rPr>
      </w:r>
    </w:p>
    <w:p>
      <w:pPr>
        <w:pStyle w:val="Normal"/>
        <w:jc w:val="center"/>
        <w:rPr>
          <w:color w:val="000000"/>
          <w:sz w:val="23"/>
          <w:szCs w:val="23"/>
          <w:highlight w:val="white"/>
        </w:rPr>
      </w:pPr>
      <w:r>
        <w:rPr>
          <w:color w:val="000000"/>
          <w:sz w:val="23"/>
          <w:szCs w:val="23"/>
          <w:highlight w:val="white"/>
        </w:rPr>
        <w:t>№</w:t>
      </w:r>
      <w:r>
        <w:rPr>
          <w:sz w:val="23"/>
          <w:szCs w:val="23"/>
          <w:highlight w:val="white"/>
        </w:rPr>
        <w:t xml:space="preserve"> </w:t>
      </w:r>
      <w:r>
        <w:rPr>
          <w:sz w:val="23"/>
          <w:szCs w:val="23"/>
          <w:highlight w:val="white"/>
        </w:rPr>
        <w:t>{{ number }}</w:t>
      </w:r>
      <w:r>
        <w:rPr>
          <w:color w:val="000000"/>
          <w:sz w:val="23"/>
          <w:szCs w:val="23"/>
          <w:highlight w:val="white"/>
        </w:rPr>
        <w:t xml:space="preserve"> от/dated [</w:t>
      </w:r>
      <w:commentRangeStart w:id="0"/>
      <w:r>
        <w:rPr>
          <w:color w:val="000000"/>
          <w:sz w:val="23"/>
          <w:szCs w:val="23"/>
          <w:highlight w:val="white"/>
        </w:rPr>
        <w:t>__________</w:t>
      </w:r>
      <w:r>
        <w:rPr>
          <w:color w:val="000000"/>
          <w:sz w:val="23"/>
          <w:szCs w:val="23"/>
          <w:highlight w:val="white"/>
        </w:rPr>
      </w:r>
      <w:commentRangeEnd w:id="0"/>
      <w:r>
        <w:commentReference w:id="0"/>
      </w:r>
      <w:r>
        <w:rPr>
          <w:color w:val="000000"/>
          <w:sz w:val="23"/>
          <w:szCs w:val="23"/>
          <w:highlight w:val="white"/>
        </w:rPr>
        <w:t>]</w:t>
      </w:r>
    </w:p>
    <w:p>
      <w:pPr>
        <w:pStyle w:val="Normal"/>
        <w:jc w:val="center"/>
        <w:rPr>
          <w:color w:val="000000"/>
          <w:sz w:val="23"/>
          <w:szCs w:val="23"/>
          <w:highlight w:val="white"/>
        </w:rPr>
      </w:pPr>
      <w:r>
        <w:rPr>
          <w:color w:val="000000"/>
          <w:sz w:val="23"/>
          <w:szCs w:val="23"/>
          <w:highlight w:val="white"/>
        </w:rPr>
      </w:r>
    </w:p>
    <w:tbl>
      <w:tblPr>
        <w:tblStyle w:val="Table1"/>
        <w:tblW w:w="9498" w:type="dxa"/>
        <w:jc w:val="left"/>
        <w:tblInd w:w="-142" w:type="dxa"/>
        <w:tblLayout w:type="fixed"/>
        <w:tblCellMar>
          <w:top w:w="0" w:type="dxa"/>
          <w:left w:w="108" w:type="dxa"/>
          <w:bottom w:w="0" w:type="dxa"/>
          <w:right w:w="108" w:type="dxa"/>
        </w:tblCellMar>
        <w:tblLook w:val="0400"/>
      </w:tblPr>
      <w:tblGrid>
        <w:gridCol w:w="4677"/>
        <w:gridCol w:w="4820"/>
      </w:tblGrid>
      <w:tr>
        <w:trPr/>
        <w:tc>
          <w:tcPr>
            <w:tcW w:w="4677" w:type="dxa"/>
            <w:tcBorders/>
          </w:tcPr>
          <w:p>
            <w:pPr>
              <w:pStyle w:val="Normal"/>
              <w:widowControl w:val="false"/>
              <w:jc w:val="both"/>
              <w:rPr>
                <w:color w:val="000000"/>
                <w:sz w:val="23"/>
                <w:szCs w:val="23"/>
                <w:highlight w:val="white"/>
              </w:rPr>
            </w:pPr>
            <w:r>
              <w:rPr/>
              <w:t>{{ contract.client.title }}, в лице {{ contract.client.position }} {{ contract.client.appeal }}, {{ contract.client.name }} {{ contract.client.second_name }} {{ contract.client.last_name }}, именуемый  в  дальнейшем ПОКУПАТЕЛЬ, с одной стороны, и</w:t>
            </w:r>
            <w:r>
              <w:rPr>
                <w:color w:val="000000"/>
              </w:rPr>
              <w:t xml:space="preserve"> </w:t>
            </w:r>
            <w:r>
              <w:rPr/>
              <w:t>{{ contract.organization.title }}</w:t>
            </w:r>
            <w:r>
              <w:rPr>
                <w:color w:val="000000"/>
              </w:rPr>
              <w:t xml:space="preserve">, в лице </w:t>
            </w:r>
            <w:r>
              <w:rPr/>
              <w:t>{{ contract.organization.position }}</w:t>
            </w:r>
            <w:r>
              <w:rPr>
                <w:color w:val="000000"/>
              </w:rPr>
              <w:t xml:space="preserve"> </w:t>
            </w:r>
            <w:r>
              <w:rPr/>
              <w:t>{{ contract.organization.appeal }}</w:t>
            </w:r>
            <w:r>
              <w:rPr>
                <w:color w:val="000000"/>
              </w:rPr>
              <w:t xml:space="preserve"> </w:t>
            </w:r>
            <w:r>
              <w:rPr/>
              <w:t>{{ contract.organization.name }} {{ contract.organization.second_name }} {{ contract.organization.last_name }}</w:t>
            </w:r>
            <w:r>
              <w:rPr>
                <w:color w:val="000000"/>
              </w:rPr>
              <w:t xml:space="preserve"> действующий на основании </w:t>
            </w:r>
            <w:r>
              <w:rPr/>
              <w:t xml:space="preserve">{{ contract.organization.registration }}, именуемый в дальнейшем ПРОДАВЕЦ, с другой стороны, </w:t>
            </w:r>
            <w:r>
              <w:rPr>
                <w:rFonts w:eastAsia="yandex-sans" w:cs="yandex-sans" w:ascii="yandex-sans" w:hAnsi="yandex-sans"/>
                <w:color w:val="000000"/>
                <w:sz w:val="23"/>
                <w:szCs w:val="23"/>
                <w:highlight w:val="white"/>
              </w:rPr>
              <w:t>составили настоящий акт о следующем:</w:t>
            </w:r>
          </w:p>
        </w:tc>
        <w:tc>
          <w:tcPr>
            <w:tcW w:w="4820" w:type="dxa"/>
            <w:tcBorders/>
          </w:tcPr>
          <w:p>
            <w:pPr>
              <w:pStyle w:val="Normal"/>
              <w:widowControl w:val="false"/>
              <w:jc w:val="both"/>
              <w:rPr>
                <w:color w:val="000000"/>
                <w:sz w:val="23"/>
                <w:szCs w:val="23"/>
                <w:highlight w:val="white"/>
              </w:rPr>
            </w:pPr>
            <w:r>
              <w:rPr/>
              <w:t>{{ contract.client.title }}, represented by {{ contract.client.position_en }} {{ contract.client.appeal_en }} {{ contract.client.name }} {{ contract.client.second_name }} {{ contract.client.last_name }}, hereinafter referred to as “THE BUYER”, on the one hand, and {{ contract.organization.title_en }}, represented by {{ contract.organization.position_en }} {{ contract.organization.appeal_en }} {{ contract.organization.name_en }} {{ contract.organization.second_name_en }} {{ contract.organization.last_name_en }} acting on the bases of the {{ contract.organization.registration_en }}, on the other hand, hereinafter referred to as «THE SELLERS», draw up the act of the following:</w:t>
            </w:r>
          </w:p>
        </w:tc>
      </w:tr>
      <w:tr>
        <w:trPr/>
        <w:tc>
          <w:tcPr>
            <w:tcW w:w="4677" w:type="dxa"/>
            <w:tcBorders/>
          </w:tcPr>
          <w:p>
            <w:pPr>
              <w:pStyle w:val="Normal"/>
              <w:widowControl w:val="false"/>
              <w:jc w:val="both"/>
              <w:rPr>
                <w:color w:val="000000"/>
              </w:rPr>
            </w:pPr>
            <w:r>
              <w:rPr>
                <w:color w:val="000000"/>
              </w:rPr>
              <w:t>Продавец поставил товар, а Покупатель принял по:</w:t>
            </w:r>
          </w:p>
          <w:p>
            <w:pPr>
              <w:pStyle w:val="Normal"/>
              <w:keepNext w:val="false"/>
              <w:keepLines w:val="false"/>
              <w:widowControl w:val="false"/>
              <w:numPr>
                <w:ilvl w:val="0"/>
                <w:numId w:val="1"/>
              </w:numPr>
              <w:pBdr/>
              <w:shd w:val="clear" w:fill="auto"/>
              <w:spacing w:lineRule="auto" w:line="240" w:before="0" w:after="0"/>
              <w:ind w:left="780" w:right="0" w:hanging="360"/>
              <w:jc w:val="both"/>
              <w:rPr>
                <w:rFonts w:ascii="Times New Roman" w:hAnsi="Times New Roman" w:eastAsia="Times New Roman" w:cs="Times New Roman"/>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Договору поставки </w:t>
            </w:r>
            <w:r>
              <w:rPr/>
              <w:t>№ {{ contract.number }} от {{ contract.created }},</w:t>
            </w:r>
          </w:p>
          <w:p>
            <w:pPr>
              <w:pStyle w:val="Normal"/>
              <w:keepNext w:val="false"/>
              <w:keepLines w:val="false"/>
              <w:widowControl w:val="false"/>
              <w:numPr>
                <w:ilvl w:val="0"/>
                <w:numId w:val="1"/>
              </w:numPr>
              <w:pBdr/>
              <w:shd w:val="clear" w:fill="auto"/>
              <w:spacing w:lineRule="auto" w:line="240" w:before="0" w:after="0"/>
              <w:ind w:left="780" w:right="0" w:hanging="360"/>
              <w:jc w:val="both"/>
              <w:rPr>
                <w:rFonts w:ascii="Times New Roman" w:hAnsi="Times New Roman" w:eastAsia="Times New Roman" w:cs="Times New Roman"/>
              </w:rPr>
            </w:pPr>
            <w:r>
              <w:rPr/>
              <w:t>Спецификации № {{ number }} от [</w:t>
            </w:r>
            <w:commentRangeStart w:id="1"/>
            <w:r>
              <w:rPr/>
              <w:t>______</w:t>
            </w:r>
            <w:r>
              <w:rPr/>
            </w:r>
            <w:commentRangeEnd w:id="1"/>
            <w:r>
              <w:commentReference w:id="1"/>
            </w:r>
            <w:r>
              <w:rPr/>
              <w:t xml:space="preserve">] </w:t>
            </w:r>
          </w:p>
          <w:p>
            <w:pPr>
              <w:pStyle w:val="Normal"/>
              <w:keepNext w:val="false"/>
              <w:keepLines w:val="false"/>
              <w:widowControl w:val="false"/>
              <w:numPr>
                <w:ilvl w:val="0"/>
                <w:numId w:val="1"/>
              </w:numPr>
              <w:pBdr/>
              <w:shd w:val="clear" w:fill="auto"/>
              <w:spacing w:lineRule="auto" w:line="240" w:before="0" w:after="0"/>
              <w:ind w:left="780" w:right="0" w:hanging="360"/>
              <w:jc w:val="both"/>
              <w:rPr>
                <w:rFonts w:ascii="Times New Roman" w:hAnsi="Times New Roman" w:eastAsia="Times New Roman" w:cs="Times New Roman"/>
              </w:rPr>
            </w:pPr>
            <w:r>
              <w:rPr/>
              <w:t>Инвойсу № {{ number }} от [</w:t>
            </w:r>
            <w:commentRangeStart w:id="2"/>
            <w:r>
              <w:rPr/>
              <w:t>________</w:t>
            </w:r>
            <w:r>
              <w:rPr/>
            </w:r>
            <w:commentRangeEnd w:id="2"/>
            <w:r>
              <w:commentReference w:id="2"/>
            </w:r>
            <w:r>
              <w:rPr/>
              <w:t xml:space="preserve">] г. </w:t>
            </w:r>
          </w:p>
          <w:p>
            <w:pPr>
              <w:pStyle w:val="Normal"/>
              <w:widowControl w:val="false"/>
              <w:jc w:val="both"/>
              <w:rPr>
                <w:color w:val="000000"/>
              </w:rPr>
            </w:pPr>
            <w:r>
              <w:rPr>
                <w:color w:val="000000"/>
              </w:rPr>
              <w:t>в следующем количестве и ассортименте:</w:t>
            </w:r>
          </w:p>
        </w:tc>
        <w:tc>
          <w:tcPr>
            <w:tcW w:w="4820" w:type="dxa"/>
            <w:tcBorders/>
          </w:tcPr>
          <w:p>
            <w:pPr>
              <w:pStyle w:val="Normal"/>
              <w:widowControl w:val="false"/>
              <w:jc w:val="both"/>
              <w:rPr>
                <w:color w:val="000000"/>
                <w:highlight w:val="white"/>
              </w:rPr>
            </w:pPr>
            <w:r>
              <w:rPr>
                <w:color w:val="000000"/>
                <w:highlight w:val="white"/>
              </w:rPr>
              <w:t>The Seller delivered the goods, and the Buyer accepted according to:</w:t>
            </w:r>
          </w:p>
          <w:p>
            <w:pPr>
              <w:pStyle w:val="Normal"/>
              <w:keepNext w:val="false"/>
              <w:keepLines w:val="false"/>
              <w:widowControl w:val="false"/>
              <w:numPr>
                <w:ilvl w:val="0"/>
                <w:numId w:val="2"/>
              </w:numPr>
              <w:pBdr/>
              <w:shd w:val="clear" w:fill="auto"/>
              <w:spacing w:lineRule="auto" w:line="240" w:before="0" w:after="0"/>
              <w:ind w:left="720" w:right="0" w:hanging="360"/>
              <w:jc w:val="both"/>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highlight w:val="white"/>
                <w:u w:val="none"/>
                <w:vertAlign w:val="baseline"/>
              </w:rPr>
            </w:pP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 xml:space="preserve">Supply Contract № </w:t>
            </w:r>
            <w:r>
              <w:rPr/>
              <w:t>{{ contract.number }}</w:t>
            </w: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 xml:space="preserve"> dated </w:t>
            </w:r>
            <w:r>
              <w:rPr/>
              <w:t>{{ contract.created }}</w:t>
            </w: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w:t>
            </w:r>
          </w:p>
          <w:p>
            <w:pPr>
              <w:pStyle w:val="Normal"/>
              <w:keepNext w:val="false"/>
              <w:keepLines w:val="false"/>
              <w:widowControl w:val="false"/>
              <w:numPr>
                <w:ilvl w:val="0"/>
                <w:numId w:val="2"/>
              </w:numPr>
              <w:pBdr/>
              <w:shd w:val="clear" w:fill="auto"/>
              <w:spacing w:lineRule="auto" w:line="240" w:before="0" w:after="0"/>
              <w:ind w:left="720" w:right="0" w:hanging="360"/>
              <w:jc w:val="both"/>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highlight w:val="white"/>
                <w:u w:val="none"/>
                <w:vertAlign w:val="baseline"/>
              </w:rPr>
            </w:pP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 xml:space="preserve">Specifications No. </w:t>
            </w:r>
            <w:r>
              <w:rPr/>
              <w:t>{{ number }}</w:t>
            </w: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 xml:space="preserve"> dated [</w:t>
            </w:r>
            <w:commentRangeStart w:id="3"/>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_______</w:t>
            </w: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r>
            <w:commentRangeEnd w:id="3"/>
            <w:r>
              <w:commentReference w:id="3"/>
            </w: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w:t>
            </w:r>
          </w:p>
          <w:p>
            <w:pPr>
              <w:pStyle w:val="Normal"/>
              <w:keepNext w:val="false"/>
              <w:keepLines w:val="false"/>
              <w:widowControl w:val="false"/>
              <w:numPr>
                <w:ilvl w:val="0"/>
                <w:numId w:val="2"/>
              </w:numPr>
              <w:pBdr/>
              <w:shd w:val="clear" w:fill="auto"/>
              <w:spacing w:lineRule="auto" w:line="240" w:before="0" w:after="0"/>
              <w:ind w:left="720" w:right="0" w:hanging="360"/>
              <w:jc w:val="both"/>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highlight w:val="white"/>
                <w:u w:val="none"/>
                <w:vertAlign w:val="baseline"/>
              </w:rPr>
            </w:pP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 xml:space="preserve">Invoice No. </w:t>
            </w:r>
            <w:r>
              <w:rPr/>
              <w:t>{{ number }}</w:t>
            </w: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 xml:space="preserve"> dated [</w:t>
            </w:r>
            <w:commentRangeStart w:id="4"/>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____</w:t>
            </w: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r>
            <w:commentRangeEnd w:id="4"/>
            <w:r>
              <w:commentReference w:id="4"/>
            </w:r>
            <w:r>
              <w:rPr>
                <w:rFonts w:eastAsia="Times New Roman" w:cs="Times New Roman"/>
                <w:b w:val="false"/>
                <w:i w:val="false"/>
                <w:caps w:val="false"/>
                <w:smallCaps w:val="false"/>
                <w:strike w:val="false"/>
                <w:dstrike w:val="false"/>
                <w:color w:val="000000"/>
                <w:position w:val="0"/>
                <w:sz w:val="24"/>
                <w:sz w:val="24"/>
                <w:szCs w:val="24"/>
                <w:highlight w:val="white"/>
                <w:u w:val="none"/>
                <w:vertAlign w:val="baseline"/>
              </w:rPr>
              <w:t>]</w:t>
            </w:r>
          </w:p>
          <w:p>
            <w:pPr>
              <w:pStyle w:val="Normal"/>
              <w:widowControl w:val="false"/>
              <w:jc w:val="both"/>
              <w:rPr>
                <w:color w:val="000000"/>
                <w:sz w:val="23"/>
                <w:szCs w:val="23"/>
                <w:highlight w:val="white"/>
              </w:rPr>
            </w:pPr>
            <w:r>
              <w:rPr>
                <w:color w:val="000000"/>
                <w:highlight w:val="white"/>
              </w:rPr>
              <w:t>in the following quantity and range:</w:t>
            </w:r>
          </w:p>
        </w:tc>
      </w:tr>
    </w:tbl>
    <w:p>
      <w:pPr>
        <w:pStyle w:val="Normal"/>
        <w:jc w:val="center"/>
        <w:rPr>
          <w:color w:val="000000"/>
          <w:sz w:val="23"/>
          <w:szCs w:val="23"/>
          <w:highlight w:val="white"/>
        </w:rPr>
      </w:pPr>
      <w:r>
        <w:rPr>
          <w:color w:val="000000"/>
          <w:sz w:val="23"/>
          <w:szCs w:val="23"/>
          <w:highlight w:val="white"/>
        </w:rPr>
      </w:r>
    </w:p>
    <w:tbl>
      <w:tblPr>
        <w:tblStyle w:val="Table2"/>
        <w:tblW w:w="9356" w:type="dxa"/>
        <w:jc w:val="left"/>
        <w:tblInd w:w="-5" w:type="dxa"/>
        <w:tblLayout w:type="fixed"/>
        <w:tblCellMar>
          <w:top w:w="0" w:type="dxa"/>
          <w:left w:w="108" w:type="dxa"/>
          <w:bottom w:w="0" w:type="dxa"/>
          <w:right w:w="108" w:type="dxa"/>
        </w:tblCellMar>
        <w:tblLook w:val="0400"/>
      </w:tblPr>
      <w:tblGrid>
        <w:gridCol w:w="566"/>
        <w:gridCol w:w="3402"/>
        <w:gridCol w:w="1701"/>
        <w:gridCol w:w="1701"/>
        <w:gridCol w:w="1986"/>
      </w:tblGrid>
      <w:tr>
        <w:trPr/>
        <w:tc>
          <w:tcPr>
            <w:tcW w:w="56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w:t>
            </w:r>
          </w:p>
        </w:tc>
        <w:tc>
          <w:tcPr>
            <w:tcW w:w="340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Товар/The goods description</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Кол-во/ Quan-ty</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Цена за ед. в {{ contract.currency.title }}/ Unit price, {{ contract.currency.char_code }}</w:t>
            </w:r>
          </w:p>
        </w:tc>
        <w:tc>
          <w:tcPr>
            <w:tcW w:w="198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Сумма в {{ contract.currency.title }}/ Amount, {{ contract.currency.char_code }}</w:t>
            </w:r>
          </w:p>
        </w:tc>
      </w:tr>
      <w:tr>
        <w:trPr>
          <w:trHeight w:val="925" w:hRule="atLeast"/>
        </w:trPr>
        <w:tc>
          <w:tcPr>
            <w:tcW w:w="9356"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{%tr for booked_product in booked_products %}</w:t>
            </w:r>
          </w:p>
        </w:tc>
      </w:tr>
      <w:tr>
        <w:trPr>
          <w:trHeight w:val="925"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 booked_product.product.tr_number }}</w:t>
            </w:r>
          </w:p>
        </w:tc>
        <w:tc>
          <w:tcPr>
            <w:tcW w:w="3402" w:type="dxa"/>
            <w:tcBorders>
              <w:top w:val="single" w:sz="4" w:space="0" w:color="000000"/>
              <w:left w:val="single" w:sz="8" w:space="0" w:color="000000"/>
              <w:bottom w:val="single" w:sz="4" w:space="0" w:color="000000"/>
              <w:right w:val="single" w:sz="8" w:space="0" w:color="000000"/>
            </w:tcBorders>
            <w:vAlign w:val="center"/>
          </w:tcPr>
          <w:p>
            <w:pPr>
              <w:pStyle w:val="Normal"/>
              <w:widowControl w:val="false"/>
              <w:jc w:val="center"/>
              <w:rPr/>
            </w:pPr>
            <w:r>
              <w:rPr/>
              <w:t>{{ booked_product.product.article }}</w:t>
            </w:r>
          </w:p>
          <w:p>
            <w:pPr>
              <w:pStyle w:val="Normal"/>
              <w:widowControl w:val="false"/>
              <w:jc w:val="center"/>
              <w:rPr/>
            </w:pPr>
            <w:r>
              <w:rPr/>
              <w:t>{{ booked_product.product.description }}</w:t>
            </w:r>
          </w:p>
          <w:p>
            <w:pPr>
              <w:pStyle w:val="Normal"/>
              <w:widowControl w:val="false"/>
              <w:jc w:val="center"/>
              <w:rPr/>
            </w:pPr>
            <w:r>
              <w:rPr/>
              <w:t>/</w:t>
            </w:r>
          </w:p>
          <w:p>
            <w:pPr>
              <w:pStyle w:val="Normal"/>
              <w:widowControl w:val="false"/>
              <w:jc w:val="center"/>
              <w:rPr/>
            </w:pPr>
            <w:r>
              <w:rPr/>
              <w:t>{{ booked_product.product.article }}</w:t>
            </w:r>
          </w:p>
          <w:p>
            <w:pPr>
              <w:pStyle w:val="Normal"/>
              <w:widowControl w:val="false"/>
              <w:jc w:val="center"/>
              <w:rPr/>
            </w:pPr>
            <w:r>
              <w:rPr/>
              <w:t>{{ booked_product.product.description_en }}</w:t>
            </w:r>
          </w:p>
        </w:tc>
        <w:tc>
          <w:tcPr>
            <w:tcW w:w="1701"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pPr>
            <w:r>
              <w:rPr/>
              <w:t>{{ booked_product.quantity }}</w:t>
            </w:r>
          </w:p>
        </w:tc>
        <w:tc>
          <w:tcPr>
            <w:tcW w:w="1701" w:type="dxa"/>
            <w:tcBorders>
              <w:top w:val="single" w:sz="4" w:space="0" w:color="000000"/>
              <w:left w:val="single" w:sz="8" w:space="0" w:color="000000"/>
              <w:bottom w:val="single" w:sz="4" w:space="0" w:color="000000"/>
              <w:right w:val="single" w:sz="4" w:space="0" w:color="000000"/>
            </w:tcBorders>
            <w:vAlign w:val="center"/>
          </w:tcPr>
          <w:p>
            <w:pPr>
              <w:pStyle w:val="Normal"/>
              <w:widowControl w:val="false"/>
              <w:jc w:val="center"/>
              <w:rPr/>
            </w:pPr>
            <w:r>
              <w:rPr/>
              <w:t>{{ booked_product.total_price }}</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t>{{ booked_product.total_sum }}</w:t>
            </w:r>
          </w:p>
        </w:tc>
      </w:tr>
      <w:tr>
        <w:trPr>
          <w:trHeight w:val="925" w:hRule="atLeast"/>
        </w:trPr>
        <w:tc>
          <w:tcPr>
            <w:tcW w:w="9356"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{%tr endfor %}</w:t>
            </w:r>
          </w:p>
        </w:tc>
      </w:tr>
      <w:tr>
        <w:trPr>
          <w:trHeight w:val="373" w:hRule="atLeast"/>
        </w:trPr>
        <w:tc>
          <w:tcPr>
            <w:tcW w:w="566" w:type="dxa"/>
            <w:tcBorders>
              <w:top w:val="single" w:sz="4" w:space="0" w:color="000000"/>
              <w:left w:val="single" w:sz="4" w:space="0" w:color="000000"/>
              <w:bottom w:val="single" w:sz="4" w:space="0" w:color="000000"/>
              <w:right w:val="single" w:sz="4" w:space="0" w:color="000000"/>
            </w:tcBorders>
          </w:tcPr>
          <w:p>
            <w:pPr>
              <w:pStyle w:val="Normal"/>
              <w:widowControl w:val="false"/>
              <w:rPr>
                <w:sz w:val="28"/>
                <w:szCs w:val="28"/>
              </w:rPr>
            </w:pPr>
            <w:r>
              <w:rPr>
                <w:sz w:val="28"/>
                <w:szCs w:val="28"/>
              </w:rPr>
            </w:r>
          </w:p>
        </w:tc>
        <w:tc>
          <w:tcPr>
            <w:tcW w:w="3402" w:type="dxa"/>
            <w:tcBorders>
              <w:top w:val="single" w:sz="4" w:space="0" w:color="000000"/>
              <w:left w:val="single" w:sz="4" w:space="0" w:color="000000"/>
              <w:bottom w:val="single" w:sz="4" w:space="0" w:color="000000"/>
              <w:right w:val="single" w:sz="4" w:space="0" w:color="000000"/>
            </w:tcBorders>
          </w:tcPr>
          <w:p>
            <w:pPr>
              <w:pStyle w:val="Normal"/>
              <w:widowControl w:val="false"/>
              <w:rPr>
                <w:sz w:val="28"/>
                <w:szCs w:val="28"/>
              </w:rPr>
            </w:pPr>
            <w:r>
              <w:rPr>
                <w:sz w:val="28"/>
                <w:szCs w:val="28"/>
              </w:rPr>
              <w:t>Итого {{ contract.currency.title }} /Total {{ contract.currency.char_code }}</w:t>
            </w:r>
          </w:p>
        </w:tc>
        <w:tc>
          <w:tcPr>
            <w:tcW w:w="3402"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rPr>
                <w:sz w:val="28"/>
                <w:szCs w:val="28"/>
              </w:rPr>
            </w:pPr>
            <w:r>
              <w:rPr>
                <w:sz w:val="28"/>
                <w:szCs w:val="28"/>
              </w:rPr>
            </w:r>
          </w:p>
        </w:tc>
        <w:tc>
          <w:tcPr>
            <w:tcW w:w="1986"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sz w:val="28"/>
                <w:szCs w:val="28"/>
              </w:rPr>
              <w:t>{{ currency_total_sum }}</w:t>
            </w:r>
          </w:p>
        </w:tc>
      </w:tr>
    </w:tbl>
    <w:p>
      <w:pPr>
        <w:pStyle w:val="Normal"/>
        <w:jc w:val="center"/>
        <w:rPr>
          <w:color w:val="000000"/>
          <w:sz w:val="23"/>
          <w:szCs w:val="23"/>
          <w:highlight w:val="white"/>
        </w:rPr>
      </w:pPr>
      <w:r>
        <w:rPr>
          <w:color w:val="000000"/>
          <w:sz w:val="23"/>
          <w:szCs w:val="23"/>
          <w:highlight w:val="white"/>
        </w:rPr>
      </w:r>
    </w:p>
    <w:tbl>
      <w:tblPr>
        <w:tblStyle w:val="Table3"/>
        <w:tblW w:w="9345" w:type="dxa"/>
        <w:jc w:val="left"/>
        <w:tblInd w:w="0" w:type="dxa"/>
        <w:tblLayout w:type="fixed"/>
        <w:tblCellMar>
          <w:top w:w="0" w:type="dxa"/>
          <w:left w:w="108" w:type="dxa"/>
          <w:bottom w:w="0" w:type="dxa"/>
          <w:right w:w="108" w:type="dxa"/>
        </w:tblCellMar>
        <w:tblLook w:val="0400"/>
      </w:tblPr>
      <w:tblGrid>
        <w:gridCol w:w="4672"/>
        <w:gridCol w:w="4672"/>
      </w:tblGrid>
      <w:tr>
        <w:trPr/>
        <w:tc>
          <w:tcPr>
            <w:tcW w:w="4672" w:type="dxa"/>
            <w:tcBorders/>
          </w:tcPr>
          <w:p>
            <w:pPr>
              <w:pStyle w:val="Normal"/>
              <w:widowControl w:val="false"/>
              <w:jc w:val="both"/>
              <w:rPr/>
            </w:pPr>
            <w:r>
              <w:rPr/>
              <w:t>Принятый покупателем товар обладает качеством и ассортиментом, соответствующим требованиям Договора. Товар поставлен в установленные в Договоре сроки. Покупатель не имеет никаких претензий по принятому им товару.</w:t>
            </w:r>
          </w:p>
          <w:p>
            <w:pPr>
              <w:pStyle w:val="Normal"/>
              <w:widowControl w:val="false"/>
              <w:jc w:val="both"/>
              <w:rPr/>
            </w:pPr>
            <w:r>
              <w:rPr/>
            </w:r>
          </w:p>
          <w:p>
            <w:pPr>
              <w:pStyle w:val="Normal"/>
              <w:widowControl w:val="false"/>
              <w:jc w:val="both"/>
              <w:rPr/>
            </w:pPr>
            <w:r>
              <w:rPr/>
              <w:t xml:space="preserve">Настоящий акт составлен на Русском и Английском языках в двух экземплярах, имеющих равную юридическую силу, по одному экземпляру для каждой из Сторон и является неотъемлемой частью указанного выше Договора между сторонами.  </w:t>
            </w:r>
          </w:p>
        </w:tc>
        <w:tc>
          <w:tcPr>
            <w:tcW w:w="4672" w:type="dxa"/>
            <w:tcBorders/>
          </w:tcPr>
          <w:p>
            <w:pPr>
              <w:pStyle w:val="Normal"/>
              <w:widowControl w:val="false"/>
              <w:jc w:val="both"/>
              <w:rPr/>
            </w:pPr>
            <w:r>
              <w:rPr/>
              <w:t>The goods accepted by the Buyer have a quality and range that meets the requirements of the Contract. The goods have been delivered within the terms specified in the Contract. The Buyer has no complaints about the goods he accepted.</w:t>
            </w:r>
          </w:p>
          <w:p>
            <w:pPr>
              <w:pStyle w:val="Normal"/>
              <w:widowControl w:val="false"/>
              <w:jc w:val="both"/>
              <w:rPr/>
            </w:pPr>
            <w:r>
              <w:rPr/>
            </w:r>
          </w:p>
          <w:p>
            <w:pPr>
              <w:pStyle w:val="Normal"/>
              <w:widowControl w:val="false"/>
              <w:jc w:val="both"/>
              <w:rPr/>
            </w:pPr>
            <w:r>
              <w:rPr/>
            </w:r>
          </w:p>
          <w:p>
            <w:pPr>
              <w:pStyle w:val="Normal"/>
              <w:widowControl w:val="false"/>
              <w:jc w:val="both"/>
              <w:rPr/>
            </w:pPr>
            <w:r>
              <w:rPr/>
              <w:t>This act is drawn up in Russian and English in two copies having equal legal force, one copy for each of the Parties and is an integral part of the above Contract between the parties.</w:t>
            </w:r>
          </w:p>
        </w:tc>
      </w:tr>
      <w:tr>
        <w:trPr/>
        <w:tc>
          <w:tcPr>
            <w:tcW w:w="4672" w:type="dxa"/>
            <w:tcBorders/>
          </w:tcPr>
          <w:p>
            <w:pPr>
              <w:pStyle w:val="Normal"/>
              <w:widowControl w:val="false"/>
              <w:jc w:val="both"/>
              <w:rPr/>
            </w:pPr>
            <w:r>
              <w:rPr/>
            </w:r>
          </w:p>
          <w:p>
            <w:pPr>
              <w:pStyle w:val="Normal"/>
              <w:widowControl w:val="false"/>
              <w:spacing w:lineRule="auto" w:line="360"/>
              <w:jc w:val="both"/>
              <w:rPr/>
            </w:pPr>
            <w:r>
              <w:rPr/>
              <w:t>Подтверждено Продавцом</w:t>
            </w:r>
          </w:p>
          <w:p>
            <w:pPr>
              <w:pStyle w:val="Normal"/>
              <w:widowControl w:val="false"/>
              <w:spacing w:lineRule="auto" w:line="360"/>
              <w:jc w:val="both"/>
              <w:rPr/>
            </w:pPr>
            <w:r>
              <w:rPr/>
              <w:t>Confirmed by Seller</w:t>
            </w:r>
          </w:p>
        </w:tc>
        <w:tc>
          <w:tcPr>
            <w:tcW w:w="4672" w:type="dxa"/>
            <w:tcBorders/>
          </w:tcPr>
          <w:p>
            <w:pPr>
              <w:pStyle w:val="Normal"/>
              <w:widowControl w:val="false"/>
              <w:rPr/>
            </w:pPr>
            <w:r>
              <w:rPr/>
            </w:r>
          </w:p>
          <w:p>
            <w:pPr>
              <w:pStyle w:val="Normal"/>
              <w:widowControl w:val="false"/>
              <w:spacing w:lineRule="auto" w:line="360"/>
              <w:jc w:val="both"/>
              <w:rPr/>
            </w:pPr>
            <w:r>
              <w:rPr/>
              <w:t>Подтверждено Покупателем</w:t>
            </w:r>
          </w:p>
          <w:p>
            <w:pPr>
              <w:pStyle w:val="Normal"/>
              <w:widowControl w:val="false"/>
              <w:spacing w:lineRule="auto" w:line="360"/>
              <w:rPr/>
            </w:pPr>
            <w:r>
              <w:rPr/>
              <w:t>Confirmed by Byer</w:t>
            </w:r>
          </w:p>
        </w:tc>
      </w:tr>
    </w:tbl>
    <w:p>
      <w:pPr>
        <w:pStyle w:val="Normal"/>
        <w:rPr/>
      </w:pPr>
      <w:r>
        <w:rPr/>
      </w:r>
    </w:p>
    <w:sectPr>
      <w:footerReference w:type="default" r:id="rId2"/>
      <w:type w:val="nextPage"/>
      <w:pgSz w:w="11906" w:h="16838"/>
      <w:pgMar w:left="1701" w:right="850" w:header="0" w:top="567" w:footer="708" w:bottom="1134" w:gutter="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Геркен П.В." w:date="2021-04-24T17:40:00Z" w:initials="">
    <w:p>
      <w:r>
        <w:rPr>
          <w:rFonts w:ascii="Liberation Serif" w:hAnsi="Liberation Serif" w:eastAsia="Segoe UI" w:cs="Tahoma"/>
          <w:lang w:val="en-US" w:eastAsia="en-US" w:bidi="en-US"/>
        </w:rPr>
        <w:t>2. Дата составления акта. Вводится в ручную после того как груз придет к клиенту и пройдет приемку.</w:t>
      </w:r>
    </w:p>
  </w:comment>
  <w:comment w:id="1" w:author="Геркен П.В." w:date="2021-04-25T18:28:00Z" w:initials="">
    <w:p>
      <w:r>
        <w:rPr>
          <w:rFonts w:ascii="Liberation Serif" w:hAnsi="Liberation Serif" w:eastAsia="Segoe UI" w:cs="Tahoma"/>
          <w:lang w:val="en-US" w:eastAsia="en-US" w:bidi="en-US"/>
        </w:rPr>
        <w:t>27. Дата спецификации</w:t>
      </w:r>
    </w:p>
  </w:comment>
  <w:comment w:id="2" w:author="Геркен П.В." w:date="2021-04-25T18:36:00Z" w:initials="">
    <w:p>
      <w:r>
        <w:rPr>
          <w:rFonts w:ascii="Liberation Serif" w:hAnsi="Liberation Serif" w:eastAsia="Segoe UI" w:cs="Tahoma"/>
          <w:lang w:val="en-US" w:eastAsia="en-US" w:bidi="en-US"/>
        </w:rPr>
        <w:t>31. Дата инвойса</w:t>
      </w:r>
    </w:p>
  </w:comment>
  <w:comment w:id="3" w:author="Геркен П.В." w:date="2021-04-25T18:29:00Z" w:initials="">
    <w:p>
      <w:r>
        <w:rPr>
          <w:rFonts w:ascii="Liberation Serif" w:hAnsi="Liberation Serif" w:eastAsia="Segoe UI" w:cs="Tahoma"/>
          <w:lang w:val="en-US" w:eastAsia="en-US" w:bidi="en-US"/>
        </w:rPr>
        <w:t>28. =п.27</w:t>
      </w:r>
    </w:p>
  </w:comment>
  <w:comment w:id="4" w:author="Геркен П.В." w:date="2021-04-25T18:36:00Z" w:initials="">
    <w:p>
      <w:r>
        <w:rPr>
          <w:rFonts w:ascii="Liberation Serif" w:hAnsi="Liberation Serif" w:eastAsia="Segoe UI" w:cs="Tahoma"/>
          <w:lang w:val="en-US" w:eastAsia="en-US" w:bidi="en-US"/>
        </w:rPr>
        <w:t>32. =п.31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Segoe UI">
    <w:charset w:val="cc"/>
    <w:family w:val="roman"/>
    <w:pitch w:val="variable"/>
  </w:font>
  <w:font w:name="Liberation Sans">
    <w:altName w:val="Arial"/>
    <w:charset w:val="cc"/>
    <w:family w:val="swiss"/>
    <w:pitch w:val="variable"/>
  </w:font>
  <w:font w:name="Georgia">
    <w:charset w:val="cc"/>
    <w:family w:val="roman"/>
    <w:pitch w:val="variable"/>
  </w:font>
  <w:font w:name="yandex-sans">
    <w:charset w:val="cc"/>
    <w:family w:val="roman"/>
    <w:pitch w:val="variable"/>
  </w:font>
  <w:font w:name="Noto Sans Symbols">
    <w:charset w:val="01"/>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widowControl/>
      <w:pBdr/>
      <w:shd w:val="clear" w:fill="auto"/>
      <w:tabs>
        <w:tab w:val="clear" w:pos="720"/>
        <w:tab w:val="center" w:pos="4677" w:leader="none"/>
        <w:tab w:val="right" w:pos="9355" w:leader="none"/>
      </w:tabs>
      <w:spacing w:lineRule="auto" w:line="240" w:before="0" w:after="0"/>
      <w:ind w:left="0" w:right="0" w:hanging="0"/>
      <w:jc w:val="center"/>
      <w:rPr>
        <w:rFonts w:ascii="Times New Roman" w:hAnsi="Times New Roman" w:eastAsia="Times New Roman" w:cs="Times New Roman"/>
        <w:b/>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Page </w:t>
    </w:r>
    <w:r>
      <w:rPr/>
      <w:fldChar w:fldCharType="begin"/>
    </w:r>
    <w:r>
      <w:rPr/>
      <w:instrText> PAGE </w:instrText>
    </w:r>
    <w:r>
      <w:rPr/>
      <w:fldChar w:fldCharType="separate"/>
    </w:r>
    <w:r>
      <w:rPr/>
      <w:t>2</w:t>
    </w:r>
    <w:r>
      <w:rPr/>
      <w:fldChar w:fldCharType="end"/>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 of </w:t>
    </w:r>
    <w:r>
      <w:rPr/>
      <w:fldChar w:fldCharType="begin"/>
    </w:r>
    <w:r>
      <w:rPr/>
      <w:instrText> NUMPAGES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80" w:hanging="360"/>
      </w:pPr>
      <w:rPr>
        <w:rFonts w:ascii="Noto Sans Symbols" w:hAnsi="Noto Sans Symbols" w:cs="Noto Sans Symbols"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Noto Sans Symbols" w:hAnsi="Noto Sans Symbols" w:cs="Noto Sans Symbols" w:hint="default"/>
      </w:rPr>
    </w:lvl>
    <w:lvl w:ilvl="3">
      <w:start w:val="1"/>
      <w:numFmt w:val="bullet"/>
      <w:lvlText w:val="●"/>
      <w:lvlJc w:val="left"/>
      <w:pPr>
        <w:tabs>
          <w:tab w:val="num" w:pos="0"/>
        </w:tabs>
        <w:ind w:left="2940" w:hanging="360"/>
      </w:pPr>
      <w:rPr>
        <w:rFonts w:ascii="Noto Sans Symbols" w:hAnsi="Noto Sans Symbols" w:cs="Noto Sans Symbols"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Noto Sans Symbols" w:hAnsi="Noto Sans Symbols" w:cs="Noto Sans Symbols" w:hint="default"/>
      </w:rPr>
    </w:lvl>
    <w:lvl w:ilvl="6">
      <w:start w:val="1"/>
      <w:numFmt w:val="bullet"/>
      <w:lvlText w:val="●"/>
      <w:lvlJc w:val="left"/>
      <w:pPr>
        <w:tabs>
          <w:tab w:val="num" w:pos="0"/>
        </w:tabs>
        <w:ind w:left="5100" w:hanging="360"/>
      </w:pPr>
      <w:rPr>
        <w:rFonts w:ascii="Noto Sans Symbols" w:hAnsi="Noto Sans Symbols" w:cs="Noto Sans Symbols"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ru-RU"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NSimSun" w:cs="Lucida Sans"/>
      <w:color w:val="auto"/>
      <w:kern w:val="0"/>
      <w:sz w:val="24"/>
      <w:szCs w:val="24"/>
      <w:lang w:val="ru-RU" w:eastAsia="zh-CN" w:bidi="hi-IN"/>
    </w:rPr>
  </w:style>
  <w:style w:type="paragraph" w:styleId="1">
    <w:name w:val="Heading 1"/>
    <w:basedOn w:val="Normal1"/>
    <w:next w:val="Normal1"/>
    <w:qFormat/>
    <w:pPr>
      <w:keepNext w:val="true"/>
      <w:keepLines/>
      <w:spacing w:lineRule="auto" w:line="240" w:before="480" w:after="120"/>
    </w:pPr>
    <w:rPr>
      <w:b/>
      <w:sz w:val="48"/>
      <w:szCs w:val="48"/>
    </w:rPr>
  </w:style>
  <w:style w:type="paragraph" w:styleId="2">
    <w:name w:val="Heading 2"/>
    <w:basedOn w:val="Normal1"/>
    <w:next w:val="Normal1"/>
    <w:qFormat/>
    <w:pPr>
      <w:keepNext w:val="true"/>
      <w:keepLines/>
      <w:spacing w:lineRule="auto" w:line="240" w:before="360" w:after="80"/>
    </w:pPr>
    <w:rPr>
      <w:b/>
      <w:sz w:val="36"/>
      <w:szCs w:val="36"/>
    </w:rPr>
  </w:style>
  <w:style w:type="paragraph" w:styleId="3">
    <w:name w:val="Heading 3"/>
    <w:basedOn w:val="Normal1"/>
    <w:next w:val="Normal1"/>
    <w:qFormat/>
    <w:pPr>
      <w:keepNext w:val="true"/>
      <w:keepLines/>
      <w:spacing w:lineRule="auto" w:line="240" w:before="280" w:after="80"/>
    </w:pPr>
    <w:rPr>
      <w:b/>
      <w:sz w:val="28"/>
      <w:szCs w:val="28"/>
    </w:rPr>
  </w:style>
  <w:style w:type="paragraph" w:styleId="4">
    <w:name w:val="Heading 4"/>
    <w:basedOn w:val="Normal1"/>
    <w:next w:val="Normal1"/>
    <w:qFormat/>
    <w:pPr>
      <w:keepNext w:val="true"/>
      <w:keepLines/>
      <w:spacing w:lineRule="auto" w:line="240" w:before="240" w:after="40"/>
    </w:pPr>
    <w:rPr>
      <w:b/>
      <w:sz w:val="24"/>
      <w:szCs w:val="24"/>
    </w:rPr>
  </w:style>
  <w:style w:type="paragraph" w:styleId="5">
    <w:name w:val="Heading 5"/>
    <w:basedOn w:val="Normal1"/>
    <w:next w:val="Normal1"/>
    <w:qFormat/>
    <w:pPr>
      <w:keepNext w:val="true"/>
      <w:keepLines/>
      <w:spacing w:lineRule="auto" w:line="240" w:before="220" w:after="40"/>
    </w:pPr>
    <w:rPr>
      <w:b/>
      <w:sz w:val="22"/>
      <w:szCs w:val="22"/>
    </w:rPr>
  </w:style>
  <w:style w:type="paragraph" w:styleId="6">
    <w:name w:val="Heading 6"/>
    <w:basedOn w:val="Normal1"/>
    <w:next w:val="Normal1"/>
    <w:qFormat/>
    <w:pPr>
      <w:keepNext w:val="true"/>
      <w:keepLines/>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Style8">
    <w:name w:val="Интернет-ссылка"/>
    <w:uiPriority w:val="99"/>
    <w:rsid w:val="00b05b47"/>
    <w:rPr>
      <w:rFonts w:cs="Times New Roman"/>
      <w:color w:val="0000FF"/>
      <w:u w:val="single"/>
    </w:rPr>
  </w:style>
  <w:style w:type="character" w:styleId="Style9" w:customStyle="1">
    <w:name w:val="Верхний колонтитул Знак"/>
    <w:basedOn w:val="DefaultParagraphFont"/>
    <w:link w:val="a6"/>
    <w:qFormat/>
    <w:rsid w:val="00b05b47"/>
    <w:rPr>
      <w:sz w:val="24"/>
      <w:szCs w:val="24"/>
    </w:rPr>
  </w:style>
  <w:style w:type="character" w:styleId="Style10" w:customStyle="1">
    <w:name w:val="Нижний колонтитул Знак"/>
    <w:basedOn w:val="DefaultParagraphFont"/>
    <w:link w:val="a8"/>
    <w:qFormat/>
    <w:rsid w:val="00b05b47"/>
    <w:rPr>
      <w:sz w:val="24"/>
      <w:szCs w:val="24"/>
    </w:rPr>
  </w:style>
  <w:style w:type="character" w:styleId="Style11" w:customStyle="1">
    <w:name w:val="Текст выноски Знак"/>
    <w:basedOn w:val="DefaultParagraphFont"/>
    <w:link w:val="aa"/>
    <w:qFormat/>
    <w:rsid w:val="00124e5e"/>
    <w:rPr>
      <w:rFonts w:ascii="Segoe UI" w:hAnsi="Segoe UI" w:cs="Segoe UI"/>
      <w:sz w:val="18"/>
      <w:szCs w:val="18"/>
    </w:rPr>
  </w:style>
  <w:style w:type="character" w:styleId="Annotationreference">
    <w:name w:val="annotation reference"/>
    <w:basedOn w:val="DefaultParagraphFont"/>
    <w:uiPriority w:val="99"/>
    <w:qFormat/>
    <w:rsid w:val="00d363b2"/>
    <w:rPr>
      <w:sz w:val="16"/>
      <w:szCs w:val="16"/>
    </w:rPr>
  </w:style>
  <w:style w:type="character" w:styleId="Style12" w:customStyle="1">
    <w:name w:val="Текст примечания Знак"/>
    <w:basedOn w:val="DefaultParagraphFont"/>
    <w:link w:val="ad"/>
    <w:uiPriority w:val="99"/>
    <w:qFormat/>
    <w:rsid w:val="00d363b2"/>
    <w:rPr/>
  </w:style>
  <w:style w:type="character" w:styleId="Style13" w:customStyle="1">
    <w:name w:val="Тема примечания Знак"/>
    <w:basedOn w:val="Style12"/>
    <w:link w:val="af"/>
    <w:qFormat/>
    <w:rsid w:val="00d363b2"/>
    <w:rPr>
      <w:b/>
      <w:bCs/>
    </w:rPr>
  </w:style>
  <w:style w:type="paragraph" w:styleId="Style14">
    <w:name w:val="Заголовок"/>
    <w:basedOn w:val="Normal"/>
    <w:next w:val="Style15"/>
    <w:qFormat/>
    <w:pPr>
      <w:keepNext w:val="true"/>
      <w:spacing w:before="240" w:after="120"/>
    </w:pPr>
    <w:rPr>
      <w:rFonts w:ascii="Liberation Sans" w:hAnsi="Liberation Sans" w:eastAsia="Microsoft YaHei" w:cs="Lucida Sans"/>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Lucida Sans"/>
    </w:rPr>
  </w:style>
  <w:style w:type="paragraph" w:styleId="Style17">
    <w:name w:val="Caption"/>
    <w:basedOn w:val="Normal"/>
    <w:qFormat/>
    <w:pPr>
      <w:suppressLineNumbers/>
      <w:spacing w:before="120" w:after="120"/>
    </w:pPr>
    <w:rPr>
      <w:rFonts w:cs="Lucida Sans"/>
      <w:i/>
      <w:iCs/>
      <w:sz w:val="24"/>
      <w:szCs w:val="24"/>
    </w:rPr>
  </w:style>
  <w:style w:type="paragraph" w:styleId="Style18">
    <w:name w:val="Указатель"/>
    <w:basedOn w:val="Normal"/>
    <w:qFormat/>
    <w:pPr>
      <w:suppressLineNumbers/>
    </w:pPr>
    <w:rPr>
      <w:rFonts w:cs="Lucida Sans"/>
    </w:rPr>
  </w:style>
  <w:style w:type="paragraph" w:styleId="Normal1" w:default="1">
    <w:name w:val="LO-normal"/>
    <w:qFormat/>
    <w:pPr>
      <w:widowControl/>
      <w:bidi w:val="0"/>
      <w:spacing w:before="0" w:after="0"/>
      <w:jc w:val="left"/>
    </w:pPr>
    <w:rPr>
      <w:rFonts w:ascii="Times New Roman" w:hAnsi="Times New Roman" w:eastAsia="NSimSun" w:cs="Lucida Sans"/>
      <w:color w:val="auto"/>
      <w:kern w:val="0"/>
      <w:sz w:val="24"/>
      <w:szCs w:val="24"/>
      <w:lang w:val="ru-RU" w:eastAsia="zh-CN" w:bidi="hi-IN"/>
    </w:rPr>
  </w:style>
  <w:style w:type="paragraph" w:styleId="Style19">
    <w:name w:val="Title"/>
    <w:basedOn w:val="Normal1"/>
    <w:next w:val="Normal1"/>
    <w:qFormat/>
    <w:pPr>
      <w:keepNext w:val="true"/>
      <w:keepLines/>
      <w:spacing w:lineRule="auto" w:line="240" w:before="480" w:after="120"/>
    </w:pPr>
    <w:rPr>
      <w:b/>
      <w:sz w:val="72"/>
      <w:szCs w:val="72"/>
    </w:rPr>
  </w:style>
  <w:style w:type="paragraph" w:styleId="ListParagraph">
    <w:name w:val="List Paragraph"/>
    <w:basedOn w:val="Normal"/>
    <w:uiPriority w:val="34"/>
    <w:qFormat/>
    <w:rsid w:val="006710c7"/>
    <w:pPr>
      <w:spacing w:before="0" w:after="0"/>
      <w:ind w:left="720" w:hanging="0"/>
      <w:contextualSpacing/>
    </w:pPr>
    <w:rPr/>
  </w:style>
  <w:style w:type="paragraph" w:styleId="Style20">
    <w:name w:val="Верхний и нижний колонтитулы"/>
    <w:basedOn w:val="Normal"/>
    <w:qFormat/>
    <w:pPr/>
    <w:rPr/>
  </w:style>
  <w:style w:type="paragraph" w:styleId="Style21">
    <w:name w:val="Header"/>
    <w:basedOn w:val="Normal"/>
    <w:link w:val="a7"/>
    <w:rsid w:val="00b05b47"/>
    <w:pPr>
      <w:tabs>
        <w:tab w:val="clear" w:pos="720"/>
        <w:tab w:val="center" w:pos="4677" w:leader="none"/>
        <w:tab w:val="right" w:pos="9355" w:leader="none"/>
      </w:tabs>
    </w:pPr>
    <w:rPr/>
  </w:style>
  <w:style w:type="paragraph" w:styleId="Style22">
    <w:name w:val="Footer"/>
    <w:basedOn w:val="Normal"/>
    <w:link w:val="a9"/>
    <w:rsid w:val="00b05b47"/>
    <w:pPr>
      <w:tabs>
        <w:tab w:val="clear" w:pos="720"/>
        <w:tab w:val="center" w:pos="4677" w:leader="none"/>
        <w:tab w:val="right" w:pos="9355" w:leader="none"/>
      </w:tabs>
    </w:pPr>
    <w:rPr/>
  </w:style>
  <w:style w:type="paragraph" w:styleId="BalloonText">
    <w:name w:val="Balloon Text"/>
    <w:basedOn w:val="Normal"/>
    <w:link w:val="ab"/>
    <w:qFormat/>
    <w:rsid w:val="00124e5e"/>
    <w:pPr/>
    <w:rPr>
      <w:rFonts w:ascii="Segoe UI" w:hAnsi="Segoe UI" w:cs="Segoe UI"/>
      <w:sz w:val="18"/>
      <w:szCs w:val="18"/>
    </w:rPr>
  </w:style>
  <w:style w:type="paragraph" w:styleId="Annotationtext">
    <w:name w:val="annotation text"/>
    <w:basedOn w:val="Normal"/>
    <w:link w:val="ae"/>
    <w:uiPriority w:val="99"/>
    <w:qFormat/>
    <w:rsid w:val="00d363b2"/>
    <w:pPr/>
    <w:rPr>
      <w:sz w:val="20"/>
      <w:szCs w:val="20"/>
    </w:rPr>
  </w:style>
  <w:style w:type="paragraph" w:styleId="Annotationsubject">
    <w:name w:val="annotation subject"/>
    <w:basedOn w:val="Annotationtext"/>
    <w:next w:val="Annotationtext"/>
    <w:link w:val="af0"/>
    <w:qFormat/>
    <w:rsid w:val="00d363b2"/>
    <w:pPr/>
    <w:rPr>
      <w:b/>
      <w:bCs/>
    </w:rPr>
  </w:style>
  <w:style w:type="paragraph" w:styleId="Style23">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rsid w:val="006710c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Gvst6z69AdlvLRT7vajHC238YiA==">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LibreOffice/7.1.0.3$Windows_X86_64 LibreOffice_project/f6099ecf3d29644b5008cc8f48f42f4a40986e4c</Application>
  <AppVersion>15.0000</AppVersion>
  <Pages>2</Pages>
  <Words>459</Words>
  <Characters>3078</Characters>
  <CharactersWithSpaces>3495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2020-11-30T14:16:00Z</dcterms:created>
  <dc:creator>Геркен П.В.</dc:creator>
  <dc:description/>
  <dc:language>ru-RU</dc:language>
  <cp:lastModifiedBy/>
  <dcterms:modified xsi:type="dcterms:W3CDTF">2021-04-27T23:24:30Z</dcterms:modified>
  <cp:revision>1</cp:revision>
  <dc:subject/>
  <dc:title/>
</cp:coreProperties>
</file>